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0AD" w:rsidRPr="00495271" w:rsidRDefault="00DF50AD" w:rsidP="00CB1FDF">
      <w:pPr>
        <w:spacing w:after="0" w:line="240" w:lineRule="auto"/>
        <w:ind w:left="-142"/>
        <w:jc w:val="both"/>
        <w:rPr>
          <w:rFonts w:asciiTheme="minorHAnsi" w:hAnsiTheme="minorHAnsi" w:cstheme="minorHAnsi"/>
          <w:i/>
          <w:sz w:val="20"/>
          <w:szCs w:val="20"/>
        </w:rPr>
      </w:pPr>
      <w:r w:rsidRPr="00495271">
        <w:rPr>
          <w:rFonts w:asciiTheme="minorHAnsi" w:hAnsiTheme="minorHAnsi" w:cstheme="minorHAnsi"/>
          <w:i/>
          <w:sz w:val="20"/>
          <w:szCs w:val="20"/>
        </w:rPr>
        <w:t xml:space="preserve">     </w:t>
      </w:r>
      <w:r w:rsidR="00363271" w:rsidRPr="00495271">
        <w:rPr>
          <w:rFonts w:asciiTheme="minorHAnsi" w:hAnsiTheme="minorHAnsi" w:cstheme="minorHAnsi"/>
          <w:i/>
          <w:sz w:val="20"/>
          <w:szCs w:val="20"/>
        </w:rPr>
        <w:t xml:space="preserve">         </w:t>
      </w:r>
      <w:r w:rsidRPr="00495271">
        <w:rPr>
          <w:rFonts w:asciiTheme="minorHAnsi" w:hAnsiTheme="minorHAnsi" w:cstheme="minorHAnsi"/>
          <w:i/>
          <w:sz w:val="20"/>
          <w:szCs w:val="20"/>
        </w:rPr>
        <w:t xml:space="preserve"> Bosna i Hercegovina</w:t>
      </w:r>
    </w:p>
    <w:p w:rsidR="00DF50AD" w:rsidRPr="00495271" w:rsidRDefault="00363271" w:rsidP="00CB1FDF">
      <w:pPr>
        <w:spacing w:after="0" w:line="240" w:lineRule="auto"/>
        <w:ind w:left="-142"/>
        <w:jc w:val="both"/>
        <w:rPr>
          <w:rFonts w:asciiTheme="minorHAnsi" w:hAnsiTheme="minorHAnsi" w:cstheme="minorHAnsi"/>
          <w:i/>
          <w:sz w:val="20"/>
          <w:szCs w:val="20"/>
        </w:rPr>
      </w:pPr>
      <w:r w:rsidRPr="00495271">
        <w:rPr>
          <w:rFonts w:asciiTheme="minorHAnsi" w:hAnsiTheme="minorHAnsi" w:cstheme="minorHAnsi"/>
          <w:i/>
          <w:sz w:val="20"/>
          <w:szCs w:val="20"/>
        </w:rPr>
        <w:t xml:space="preserve">        </w:t>
      </w:r>
      <w:r w:rsidR="00DF50AD" w:rsidRPr="00495271">
        <w:rPr>
          <w:rFonts w:asciiTheme="minorHAnsi" w:hAnsiTheme="minorHAnsi" w:cstheme="minorHAnsi"/>
          <w:i/>
          <w:sz w:val="20"/>
          <w:szCs w:val="20"/>
        </w:rPr>
        <w:t>Federacija Bosne i Hercegovine</w:t>
      </w:r>
    </w:p>
    <w:p w:rsidR="00DF50AD" w:rsidRPr="00495271" w:rsidRDefault="00CC3765" w:rsidP="00CB1FDF">
      <w:pPr>
        <w:spacing w:after="0" w:line="240" w:lineRule="auto"/>
        <w:ind w:left="-142"/>
        <w:jc w:val="both"/>
        <w:rPr>
          <w:rFonts w:asciiTheme="minorHAnsi" w:hAnsiTheme="minorHAnsi" w:cstheme="minorHAnsi"/>
          <w:i/>
          <w:sz w:val="20"/>
          <w:szCs w:val="20"/>
        </w:rPr>
      </w:pPr>
      <w:r w:rsidRPr="00495271">
        <w:rPr>
          <w:rFonts w:asciiTheme="minorHAnsi" w:hAnsiTheme="minorHAnsi" w:cstheme="minorHAnsi"/>
          <w:i/>
          <w:sz w:val="20"/>
          <w:szCs w:val="20"/>
        </w:rPr>
        <w:t>FEDERALNO MINISTARSTVO FINANSIJA</w:t>
      </w:r>
      <w:r w:rsidR="003544EA" w:rsidRPr="00495271">
        <w:rPr>
          <w:rFonts w:asciiTheme="minorHAnsi" w:hAnsiTheme="minorHAnsi" w:cstheme="minorHAnsi"/>
          <w:i/>
          <w:sz w:val="20"/>
          <w:szCs w:val="20"/>
        </w:rPr>
        <w:t>-FINANCIJA</w:t>
      </w:r>
    </w:p>
    <w:p w:rsidR="00DF50AD" w:rsidRPr="00495271" w:rsidRDefault="00DF50AD" w:rsidP="00CB1FDF">
      <w:pPr>
        <w:spacing w:after="0" w:line="240" w:lineRule="auto"/>
        <w:ind w:left="-142"/>
        <w:jc w:val="both"/>
        <w:rPr>
          <w:rFonts w:asciiTheme="minorHAnsi" w:hAnsiTheme="minorHAnsi" w:cstheme="minorHAnsi"/>
          <w:i/>
          <w:sz w:val="20"/>
          <w:szCs w:val="20"/>
        </w:rPr>
      </w:pPr>
    </w:p>
    <w:p w:rsidR="003544EA" w:rsidRPr="00495271" w:rsidRDefault="003544EA" w:rsidP="00CB1FDF">
      <w:pPr>
        <w:spacing w:after="0" w:line="240" w:lineRule="auto"/>
        <w:ind w:left="-142"/>
        <w:jc w:val="both"/>
        <w:rPr>
          <w:rFonts w:asciiTheme="minorHAnsi" w:hAnsiTheme="minorHAnsi" w:cstheme="minorHAnsi"/>
          <w:i/>
          <w:sz w:val="20"/>
          <w:szCs w:val="20"/>
        </w:rPr>
      </w:pPr>
    </w:p>
    <w:p w:rsidR="00DF50AD" w:rsidRPr="00495271" w:rsidRDefault="00DF50AD" w:rsidP="00CB1FDF">
      <w:pPr>
        <w:spacing w:after="0" w:line="240" w:lineRule="auto"/>
        <w:ind w:left="-142"/>
        <w:jc w:val="both"/>
        <w:rPr>
          <w:rFonts w:asciiTheme="minorHAnsi" w:hAnsiTheme="minorHAnsi" w:cstheme="minorHAnsi"/>
          <w:i/>
          <w:sz w:val="20"/>
          <w:szCs w:val="20"/>
        </w:rPr>
      </w:pPr>
    </w:p>
    <w:p w:rsidR="00DF50AD" w:rsidRPr="00495271" w:rsidRDefault="00DF50AD" w:rsidP="00CB1FDF">
      <w:pPr>
        <w:spacing w:after="0" w:line="240" w:lineRule="auto"/>
        <w:ind w:left="-142"/>
        <w:jc w:val="both"/>
        <w:rPr>
          <w:rFonts w:asciiTheme="minorHAnsi" w:hAnsiTheme="minorHAnsi" w:cstheme="minorHAnsi"/>
          <w:i/>
          <w:sz w:val="20"/>
          <w:szCs w:val="20"/>
        </w:rPr>
      </w:pPr>
    </w:p>
    <w:p w:rsidR="00DF50AD" w:rsidRPr="00495271" w:rsidRDefault="00DF50AD" w:rsidP="00CB1FDF">
      <w:pPr>
        <w:spacing w:after="0" w:line="240" w:lineRule="auto"/>
        <w:ind w:left="-142"/>
        <w:jc w:val="both"/>
        <w:rPr>
          <w:rFonts w:asciiTheme="minorHAnsi" w:hAnsiTheme="minorHAnsi" w:cstheme="minorHAnsi"/>
          <w:i/>
          <w:sz w:val="20"/>
          <w:szCs w:val="20"/>
        </w:rPr>
      </w:pPr>
    </w:p>
    <w:p w:rsidR="00DF50AD" w:rsidRPr="00495271" w:rsidRDefault="00DF50AD" w:rsidP="00CB1FDF">
      <w:pPr>
        <w:spacing w:after="0" w:line="240" w:lineRule="auto"/>
        <w:ind w:left="-142"/>
        <w:jc w:val="both"/>
        <w:rPr>
          <w:rFonts w:asciiTheme="minorHAnsi" w:hAnsiTheme="minorHAnsi" w:cstheme="minorHAnsi"/>
          <w:i/>
          <w:sz w:val="20"/>
          <w:szCs w:val="20"/>
        </w:rPr>
      </w:pPr>
    </w:p>
    <w:p w:rsidR="00DF50AD" w:rsidRPr="00495271" w:rsidRDefault="00DF50AD" w:rsidP="00CB1FDF">
      <w:pPr>
        <w:spacing w:after="0" w:line="240" w:lineRule="auto"/>
        <w:ind w:left="-142"/>
        <w:jc w:val="both"/>
        <w:rPr>
          <w:rFonts w:asciiTheme="minorHAnsi" w:hAnsiTheme="minorHAnsi" w:cstheme="minorHAnsi"/>
          <w:i/>
          <w:sz w:val="20"/>
          <w:szCs w:val="20"/>
        </w:rPr>
      </w:pPr>
    </w:p>
    <w:p w:rsidR="00DF50AD" w:rsidRPr="00495271" w:rsidRDefault="00DF50AD" w:rsidP="00CB1FDF">
      <w:pPr>
        <w:spacing w:after="0" w:line="240" w:lineRule="auto"/>
        <w:ind w:left="-142"/>
        <w:jc w:val="both"/>
        <w:rPr>
          <w:rFonts w:asciiTheme="minorHAnsi" w:hAnsiTheme="minorHAnsi" w:cstheme="minorHAnsi"/>
          <w:i/>
          <w:sz w:val="20"/>
          <w:szCs w:val="20"/>
        </w:rPr>
      </w:pPr>
    </w:p>
    <w:p w:rsidR="00DF50AD" w:rsidRPr="00495271" w:rsidRDefault="00DF50AD" w:rsidP="00CB1FDF">
      <w:pPr>
        <w:spacing w:after="0" w:line="240" w:lineRule="auto"/>
        <w:ind w:left="-142"/>
        <w:jc w:val="both"/>
        <w:rPr>
          <w:rFonts w:asciiTheme="minorHAnsi" w:hAnsiTheme="minorHAnsi" w:cstheme="minorHAnsi"/>
          <w:i/>
          <w:sz w:val="20"/>
          <w:szCs w:val="20"/>
        </w:rPr>
      </w:pPr>
    </w:p>
    <w:p w:rsidR="00DF50AD" w:rsidRPr="00495271" w:rsidRDefault="00DF50AD" w:rsidP="00CB1FDF">
      <w:pPr>
        <w:spacing w:after="0" w:line="240" w:lineRule="auto"/>
        <w:ind w:left="-142"/>
        <w:jc w:val="both"/>
        <w:rPr>
          <w:rFonts w:asciiTheme="minorHAnsi" w:hAnsiTheme="minorHAnsi" w:cstheme="minorHAnsi"/>
          <w:i/>
          <w:sz w:val="20"/>
          <w:szCs w:val="20"/>
        </w:rPr>
      </w:pPr>
    </w:p>
    <w:p w:rsidR="00DF50AD" w:rsidRPr="00495271" w:rsidRDefault="00DF50AD" w:rsidP="00CB1FDF">
      <w:pPr>
        <w:spacing w:after="0" w:line="240" w:lineRule="auto"/>
        <w:ind w:left="-142"/>
        <w:jc w:val="both"/>
        <w:rPr>
          <w:rFonts w:asciiTheme="minorHAnsi" w:hAnsiTheme="minorHAnsi" w:cstheme="minorHAnsi"/>
          <w:i/>
          <w:sz w:val="20"/>
          <w:szCs w:val="20"/>
        </w:rPr>
      </w:pPr>
    </w:p>
    <w:p w:rsidR="00DF50AD" w:rsidRPr="00495271" w:rsidRDefault="00DF50AD" w:rsidP="00CB1FDF">
      <w:pPr>
        <w:spacing w:after="0" w:line="240" w:lineRule="auto"/>
        <w:ind w:left="-142"/>
        <w:jc w:val="both"/>
        <w:rPr>
          <w:rFonts w:asciiTheme="minorHAnsi" w:hAnsiTheme="minorHAnsi" w:cstheme="minorHAnsi"/>
          <w:i/>
          <w:sz w:val="20"/>
          <w:szCs w:val="20"/>
        </w:rPr>
      </w:pPr>
    </w:p>
    <w:p w:rsidR="00DF50AD" w:rsidRPr="00495271" w:rsidRDefault="00DF50AD" w:rsidP="00CB1FDF">
      <w:pPr>
        <w:spacing w:after="0" w:line="240" w:lineRule="auto"/>
        <w:ind w:left="-142"/>
        <w:jc w:val="both"/>
        <w:rPr>
          <w:rFonts w:asciiTheme="minorHAnsi" w:hAnsiTheme="minorHAnsi" w:cstheme="minorHAnsi"/>
          <w:i/>
          <w:sz w:val="20"/>
          <w:szCs w:val="20"/>
        </w:rPr>
      </w:pPr>
    </w:p>
    <w:p w:rsidR="00DF50AD" w:rsidRPr="00495271" w:rsidRDefault="00DF50AD" w:rsidP="00CB1FDF">
      <w:pPr>
        <w:pStyle w:val="BodyText"/>
        <w:jc w:val="center"/>
        <w:rPr>
          <w:rFonts w:asciiTheme="minorHAnsi" w:hAnsiTheme="minorHAnsi" w:cstheme="minorHAnsi"/>
          <w:b/>
          <w:i/>
          <w:color w:val="auto"/>
          <w:sz w:val="20"/>
        </w:rPr>
      </w:pPr>
      <w:r w:rsidRPr="00495271">
        <w:rPr>
          <w:rFonts w:asciiTheme="minorHAnsi" w:hAnsiTheme="minorHAnsi" w:cstheme="minorHAnsi"/>
          <w:b/>
          <w:i/>
          <w:color w:val="auto"/>
          <w:sz w:val="20"/>
        </w:rPr>
        <w:t xml:space="preserve">PLAN I PROGRAM AKTIVNOSTI </w:t>
      </w:r>
      <w:r w:rsidR="006E5520" w:rsidRPr="00495271">
        <w:rPr>
          <w:rFonts w:asciiTheme="minorHAnsi" w:hAnsiTheme="minorHAnsi" w:cstheme="minorHAnsi"/>
          <w:b/>
          <w:i/>
          <w:color w:val="auto"/>
          <w:sz w:val="20"/>
        </w:rPr>
        <w:t xml:space="preserve">I MJERA VEZANIH ZA </w:t>
      </w:r>
      <w:r w:rsidRPr="00495271">
        <w:rPr>
          <w:rFonts w:asciiTheme="minorHAnsi" w:hAnsiTheme="minorHAnsi" w:cstheme="minorHAnsi"/>
          <w:b/>
          <w:i/>
          <w:color w:val="auto"/>
          <w:sz w:val="20"/>
        </w:rPr>
        <w:t xml:space="preserve"> IZVRŠAVANJ</w:t>
      </w:r>
      <w:r w:rsidR="006E5520" w:rsidRPr="00495271">
        <w:rPr>
          <w:rFonts w:asciiTheme="minorHAnsi" w:hAnsiTheme="minorHAnsi" w:cstheme="minorHAnsi"/>
          <w:b/>
          <w:i/>
          <w:color w:val="auto"/>
          <w:sz w:val="20"/>
        </w:rPr>
        <w:t>E</w:t>
      </w:r>
      <w:r w:rsidRPr="00495271">
        <w:rPr>
          <w:rFonts w:asciiTheme="minorHAnsi" w:hAnsiTheme="minorHAnsi" w:cstheme="minorHAnsi"/>
          <w:b/>
          <w:i/>
          <w:color w:val="auto"/>
          <w:sz w:val="20"/>
        </w:rPr>
        <w:t xml:space="preserve">  PREPORUKA </w:t>
      </w:r>
    </w:p>
    <w:p w:rsidR="00DF50AD" w:rsidRPr="00495271" w:rsidRDefault="00DF50AD" w:rsidP="00CB1FDF">
      <w:pPr>
        <w:pStyle w:val="BodyText"/>
        <w:jc w:val="center"/>
        <w:rPr>
          <w:rFonts w:asciiTheme="minorHAnsi" w:hAnsiTheme="minorHAnsi" w:cstheme="minorHAnsi"/>
          <w:b/>
          <w:i/>
          <w:color w:val="auto"/>
          <w:sz w:val="20"/>
        </w:rPr>
      </w:pPr>
      <w:r w:rsidRPr="00495271">
        <w:rPr>
          <w:rFonts w:asciiTheme="minorHAnsi" w:hAnsiTheme="minorHAnsi" w:cstheme="minorHAnsi"/>
          <w:b/>
          <w:i/>
          <w:color w:val="auto"/>
          <w:sz w:val="20"/>
        </w:rPr>
        <w:t xml:space="preserve">PO KONAČNOM REVIZORSKOM IZVJEŠTAJU O </w:t>
      </w:r>
      <w:r w:rsidR="00CC3765" w:rsidRPr="00495271">
        <w:rPr>
          <w:rFonts w:asciiTheme="minorHAnsi" w:hAnsiTheme="minorHAnsi" w:cstheme="minorHAnsi"/>
          <w:b/>
          <w:i/>
          <w:color w:val="auto"/>
          <w:sz w:val="20"/>
        </w:rPr>
        <w:t xml:space="preserve">FINANSIJSKOJ REVIZIJI </w:t>
      </w:r>
      <w:r w:rsidR="003544EA" w:rsidRPr="00495271">
        <w:rPr>
          <w:rFonts w:asciiTheme="minorHAnsi" w:hAnsiTheme="minorHAnsi" w:cstheme="minorHAnsi"/>
          <w:b/>
          <w:i/>
          <w:color w:val="auto"/>
          <w:sz w:val="20"/>
        </w:rPr>
        <w:t xml:space="preserve">FEDERALNOG </w:t>
      </w:r>
      <w:r w:rsidR="00CC3765" w:rsidRPr="00495271">
        <w:rPr>
          <w:rFonts w:asciiTheme="minorHAnsi" w:hAnsiTheme="minorHAnsi" w:cstheme="minorHAnsi"/>
          <w:b/>
          <w:i/>
          <w:color w:val="auto"/>
          <w:sz w:val="20"/>
        </w:rPr>
        <w:t>MINISTARSTVA</w:t>
      </w:r>
      <w:r w:rsidR="003544EA" w:rsidRPr="00495271">
        <w:rPr>
          <w:rFonts w:asciiTheme="minorHAnsi" w:hAnsiTheme="minorHAnsi" w:cstheme="minorHAnsi"/>
          <w:b/>
          <w:i/>
          <w:color w:val="auto"/>
          <w:sz w:val="20"/>
        </w:rPr>
        <w:t xml:space="preserve"> FINANSIJA-FINANCIJA</w:t>
      </w:r>
      <w:r w:rsidR="00007916" w:rsidRPr="00495271">
        <w:rPr>
          <w:rFonts w:asciiTheme="minorHAnsi" w:hAnsiTheme="minorHAnsi" w:cstheme="minorHAnsi"/>
          <w:b/>
          <w:i/>
          <w:color w:val="auto"/>
          <w:sz w:val="20"/>
        </w:rPr>
        <w:t xml:space="preserve"> ZA 20</w:t>
      </w:r>
      <w:r w:rsidR="00CC3765" w:rsidRPr="00495271">
        <w:rPr>
          <w:rFonts w:asciiTheme="minorHAnsi" w:hAnsiTheme="minorHAnsi" w:cstheme="minorHAnsi"/>
          <w:b/>
          <w:i/>
          <w:color w:val="auto"/>
          <w:sz w:val="20"/>
        </w:rPr>
        <w:t>20</w:t>
      </w:r>
      <w:r w:rsidRPr="00495271">
        <w:rPr>
          <w:rFonts w:asciiTheme="minorHAnsi" w:hAnsiTheme="minorHAnsi" w:cstheme="minorHAnsi"/>
          <w:b/>
          <w:i/>
          <w:color w:val="auto"/>
          <w:sz w:val="20"/>
        </w:rPr>
        <w:t>.GODINU</w:t>
      </w:r>
    </w:p>
    <w:p w:rsidR="00DF50AD" w:rsidRPr="00495271" w:rsidRDefault="00DF50AD" w:rsidP="00CB1FDF">
      <w:pPr>
        <w:spacing w:after="0" w:line="240" w:lineRule="auto"/>
        <w:ind w:left="-142"/>
        <w:jc w:val="center"/>
        <w:rPr>
          <w:rFonts w:asciiTheme="minorHAnsi" w:hAnsiTheme="minorHAnsi" w:cstheme="minorHAnsi"/>
          <w:i/>
          <w:sz w:val="20"/>
          <w:szCs w:val="20"/>
        </w:rPr>
      </w:pPr>
    </w:p>
    <w:p w:rsidR="00DF50AD" w:rsidRPr="00495271" w:rsidRDefault="0048065B" w:rsidP="00CB1FDF">
      <w:pPr>
        <w:spacing w:after="0" w:line="240" w:lineRule="auto"/>
        <w:ind w:left="-142"/>
        <w:jc w:val="both"/>
        <w:rPr>
          <w:rFonts w:asciiTheme="minorHAnsi" w:hAnsiTheme="minorHAnsi" w:cstheme="minorHAnsi"/>
          <w:i/>
          <w:sz w:val="20"/>
          <w:szCs w:val="20"/>
        </w:rPr>
      </w:pPr>
      <w:r w:rsidRPr="00495271">
        <w:rPr>
          <w:rFonts w:asciiTheme="minorHAnsi" w:hAnsiTheme="minorHAnsi" w:cstheme="minorHAnsi"/>
          <w:i/>
          <w:sz w:val="20"/>
          <w:szCs w:val="20"/>
        </w:rPr>
        <w:t xml:space="preserve"> </w:t>
      </w:r>
    </w:p>
    <w:p w:rsidR="00DF50AD" w:rsidRPr="00495271" w:rsidRDefault="00DF50AD" w:rsidP="00CB1FDF">
      <w:pPr>
        <w:spacing w:after="0" w:line="240" w:lineRule="auto"/>
        <w:ind w:left="-142"/>
        <w:jc w:val="both"/>
        <w:rPr>
          <w:rFonts w:asciiTheme="minorHAnsi" w:hAnsiTheme="minorHAnsi" w:cstheme="minorHAnsi"/>
          <w:i/>
          <w:sz w:val="20"/>
          <w:szCs w:val="20"/>
        </w:rPr>
      </w:pPr>
    </w:p>
    <w:p w:rsidR="00DF50AD" w:rsidRPr="00495271" w:rsidRDefault="00DF50AD" w:rsidP="00CB1FDF">
      <w:pPr>
        <w:spacing w:after="0" w:line="240" w:lineRule="auto"/>
        <w:ind w:left="-142"/>
        <w:jc w:val="both"/>
        <w:rPr>
          <w:rFonts w:asciiTheme="minorHAnsi" w:hAnsiTheme="minorHAnsi" w:cstheme="minorHAnsi"/>
          <w:i/>
          <w:sz w:val="20"/>
          <w:szCs w:val="20"/>
        </w:rPr>
      </w:pPr>
    </w:p>
    <w:p w:rsidR="00DF50AD" w:rsidRPr="00495271" w:rsidRDefault="00DF50AD" w:rsidP="00CB1FDF">
      <w:pPr>
        <w:spacing w:after="0" w:line="240" w:lineRule="auto"/>
        <w:ind w:left="-142"/>
        <w:jc w:val="both"/>
        <w:rPr>
          <w:rFonts w:asciiTheme="minorHAnsi" w:hAnsiTheme="minorHAnsi" w:cstheme="minorHAnsi"/>
          <w:i/>
          <w:sz w:val="20"/>
          <w:szCs w:val="20"/>
        </w:rPr>
      </w:pPr>
    </w:p>
    <w:p w:rsidR="00DF50AD" w:rsidRPr="00495271" w:rsidRDefault="00DF50AD" w:rsidP="00CB1FDF">
      <w:pPr>
        <w:spacing w:after="0" w:line="240" w:lineRule="auto"/>
        <w:ind w:left="-142"/>
        <w:jc w:val="both"/>
        <w:rPr>
          <w:rFonts w:asciiTheme="minorHAnsi" w:hAnsiTheme="minorHAnsi" w:cstheme="minorHAnsi"/>
          <w:i/>
          <w:sz w:val="20"/>
          <w:szCs w:val="20"/>
        </w:rPr>
      </w:pPr>
    </w:p>
    <w:p w:rsidR="00DF50AD" w:rsidRPr="00495271" w:rsidRDefault="00DF50AD" w:rsidP="00CB1FDF">
      <w:pPr>
        <w:spacing w:after="0" w:line="240" w:lineRule="auto"/>
        <w:ind w:left="-142"/>
        <w:jc w:val="both"/>
        <w:rPr>
          <w:rFonts w:asciiTheme="minorHAnsi" w:hAnsiTheme="minorHAnsi" w:cstheme="minorHAnsi"/>
          <w:i/>
          <w:sz w:val="20"/>
          <w:szCs w:val="20"/>
        </w:rPr>
      </w:pPr>
    </w:p>
    <w:p w:rsidR="00DF50AD" w:rsidRPr="00495271" w:rsidRDefault="00DF50AD" w:rsidP="00CB1FDF">
      <w:pPr>
        <w:spacing w:after="0" w:line="240" w:lineRule="auto"/>
        <w:ind w:left="-142"/>
        <w:jc w:val="both"/>
        <w:rPr>
          <w:rFonts w:asciiTheme="minorHAnsi" w:hAnsiTheme="minorHAnsi" w:cstheme="minorHAnsi"/>
          <w:i/>
          <w:sz w:val="20"/>
          <w:szCs w:val="20"/>
        </w:rPr>
      </w:pPr>
    </w:p>
    <w:p w:rsidR="00DF50AD" w:rsidRPr="00495271" w:rsidRDefault="00DF50AD" w:rsidP="00CB1FDF">
      <w:pPr>
        <w:spacing w:after="0" w:line="240" w:lineRule="auto"/>
        <w:ind w:left="-142"/>
        <w:jc w:val="both"/>
        <w:rPr>
          <w:rFonts w:asciiTheme="minorHAnsi" w:hAnsiTheme="minorHAnsi" w:cstheme="minorHAnsi"/>
          <w:i/>
          <w:sz w:val="20"/>
          <w:szCs w:val="20"/>
        </w:rPr>
      </w:pPr>
    </w:p>
    <w:p w:rsidR="00DF50AD" w:rsidRPr="00495271" w:rsidRDefault="00DF50AD" w:rsidP="00CB1FDF">
      <w:pPr>
        <w:spacing w:after="0" w:line="240" w:lineRule="auto"/>
        <w:ind w:left="-142"/>
        <w:jc w:val="both"/>
        <w:rPr>
          <w:rFonts w:asciiTheme="minorHAnsi" w:hAnsiTheme="minorHAnsi" w:cstheme="minorHAnsi"/>
          <w:i/>
          <w:sz w:val="20"/>
          <w:szCs w:val="20"/>
        </w:rPr>
      </w:pPr>
    </w:p>
    <w:p w:rsidR="00DF50AD" w:rsidRPr="00495271" w:rsidRDefault="00DF50AD" w:rsidP="00CB1FDF">
      <w:pPr>
        <w:spacing w:after="0" w:line="240" w:lineRule="auto"/>
        <w:ind w:left="-142"/>
        <w:jc w:val="both"/>
        <w:rPr>
          <w:rFonts w:asciiTheme="minorHAnsi" w:hAnsiTheme="minorHAnsi" w:cstheme="minorHAnsi"/>
          <w:i/>
          <w:sz w:val="20"/>
          <w:szCs w:val="20"/>
        </w:rPr>
      </w:pPr>
    </w:p>
    <w:p w:rsidR="00DF50AD" w:rsidRPr="00495271" w:rsidRDefault="00DF50AD" w:rsidP="00CB1FDF">
      <w:pPr>
        <w:spacing w:after="0" w:line="240" w:lineRule="auto"/>
        <w:ind w:left="-142"/>
        <w:jc w:val="both"/>
        <w:rPr>
          <w:rFonts w:asciiTheme="minorHAnsi" w:hAnsiTheme="minorHAnsi" w:cstheme="minorHAnsi"/>
          <w:i/>
          <w:sz w:val="20"/>
          <w:szCs w:val="20"/>
        </w:rPr>
      </w:pPr>
    </w:p>
    <w:p w:rsidR="00DF50AD" w:rsidRPr="00495271" w:rsidRDefault="00DF50AD" w:rsidP="00CB1FDF">
      <w:pPr>
        <w:spacing w:after="0" w:line="240" w:lineRule="auto"/>
        <w:ind w:left="-142"/>
        <w:jc w:val="both"/>
        <w:rPr>
          <w:rFonts w:asciiTheme="minorHAnsi" w:hAnsiTheme="minorHAnsi" w:cstheme="minorHAnsi"/>
          <w:i/>
          <w:sz w:val="20"/>
          <w:szCs w:val="20"/>
        </w:rPr>
      </w:pPr>
    </w:p>
    <w:p w:rsidR="00DF50AD" w:rsidRPr="00495271" w:rsidRDefault="00DF50AD" w:rsidP="00CB1FDF">
      <w:pPr>
        <w:spacing w:after="0" w:line="240" w:lineRule="auto"/>
        <w:ind w:left="-142"/>
        <w:jc w:val="both"/>
        <w:rPr>
          <w:rFonts w:asciiTheme="minorHAnsi" w:hAnsiTheme="minorHAnsi" w:cstheme="minorHAnsi"/>
          <w:i/>
          <w:sz w:val="20"/>
          <w:szCs w:val="20"/>
        </w:rPr>
      </w:pPr>
    </w:p>
    <w:p w:rsidR="00DF50AD" w:rsidRPr="00495271" w:rsidRDefault="00DF50AD" w:rsidP="00CB1FDF">
      <w:pPr>
        <w:tabs>
          <w:tab w:val="left" w:pos="7980"/>
        </w:tabs>
        <w:spacing w:after="0" w:line="240" w:lineRule="auto"/>
        <w:ind w:left="-142"/>
        <w:jc w:val="center"/>
        <w:rPr>
          <w:rFonts w:asciiTheme="minorHAnsi" w:hAnsiTheme="minorHAnsi" w:cstheme="minorHAnsi"/>
          <w:i/>
          <w:sz w:val="20"/>
          <w:szCs w:val="20"/>
        </w:rPr>
      </w:pPr>
      <w:r w:rsidRPr="00495271">
        <w:rPr>
          <w:rFonts w:asciiTheme="minorHAnsi" w:hAnsiTheme="minorHAnsi" w:cstheme="minorHAnsi"/>
          <w:i/>
          <w:sz w:val="20"/>
          <w:szCs w:val="20"/>
        </w:rPr>
        <w:t>Sarajevo,</w:t>
      </w:r>
      <w:r w:rsidR="003A588E" w:rsidRPr="00495271">
        <w:rPr>
          <w:rFonts w:asciiTheme="minorHAnsi" w:hAnsiTheme="minorHAnsi" w:cstheme="minorHAnsi"/>
          <w:i/>
          <w:sz w:val="20"/>
          <w:szCs w:val="20"/>
        </w:rPr>
        <w:t xml:space="preserve"> </w:t>
      </w:r>
      <w:r w:rsidR="00363271" w:rsidRPr="00495271">
        <w:rPr>
          <w:rFonts w:asciiTheme="minorHAnsi" w:hAnsiTheme="minorHAnsi" w:cstheme="minorHAnsi"/>
          <w:i/>
          <w:sz w:val="20"/>
          <w:szCs w:val="20"/>
        </w:rPr>
        <w:t>April</w:t>
      </w:r>
      <w:r w:rsidR="00927893" w:rsidRPr="00495271">
        <w:rPr>
          <w:rFonts w:asciiTheme="minorHAnsi" w:hAnsiTheme="minorHAnsi" w:cstheme="minorHAnsi"/>
          <w:i/>
          <w:sz w:val="20"/>
          <w:szCs w:val="20"/>
        </w:rPr>
        <w:t xml:space="preserve"> 202</w:t>
      </w:r>
      <w:r w:rsidR="00CC3765" w:rsidRPr="00495271">
        <w:rPr>
          <w:rFonts w:asciiTheme="minorHAnsi" w:hAnsiTheme="minorHAnsi" w:cstheme="minorHAnsi"/>
          <w:i/>
          <w:sz w:val="20"/>
          <w:szCs w:val="20"/>
        </w:rPr>
        <w:t>2</w:t>
      </w:r>
      <w:r w:rsidRPr="00495271">
        <w:rPr>
          <w:rFonts w:asciiTheme="minorHAnsi" w:hAnsiTheme="minorHAnsi" w:cstheme="minorHAnsi"/>
          <w:i/>
          <w:sz w:val="20"/>
          <w:szCs w:val="20"/>
        </w:rPr>
        <w:t>. godine</w:t>
      </w:r>
    </w:p>
    <w:p w:rsidR="00DF50AD" w:rsidRPr="00495271" w:rsidRDefault="00DF50AD" w:rsidP="00CB1FDF">
      <w:pPr>
        <w:spacing w:after="0" w:line="240" w:lineRule="auto"/>
        <w:ind w:left="-142"/>
        <w:jc w:val="both"/>
        <w:rPr>
          <w:rFonts w:asciiTheme="minorHAnsi" w:hAnsiTheme="minorHAnsi" w:cstheme="minorHAnsi"/>
          <w:i/>
          <w:sz w:val="20"/>
          <w:szCs w:val="20"/>
        </w:rPr>
      </w:pPr>
    </w:p>
    <w:p w:rsidR="00DF50AD" w:rsidRPr="00495271" w:rsidRDefault="00DF50AD" w:rsidP="00CB1FDF">
      <w:pPr>
        <w:spacing w:after="0" w:line="240" w:lineRule="auto"/>
        <w:jc w:val="both"/>
        <w:rPr>
          <w:rFonts w:asciiTheme="minorHAnsi" w:hAnsiTheme="minorHAnsi" w:cstheme="minorHAnsi"/>
          <w:i/>
          <w:sz w:val="20"/>
          <w:szCs w:val="20"/>
        </w:rPr>
      </w:pPr>
    </w:p>
    <w:p w:rsidR="00DF50AD" w:rsidRPr="00495271" w:rsidRDefault="00DF50AD" w:rsidP="00CB1FDF">
      <w:pPr>
        <w:spacing w:after="0" w:line="240" w:lineRule="auto"/>
        <w:rPr>
          <w:rFonts w:asciiTheme="minorHAnsi" w:hAnsiTheme="minorHAnsi" w:cstheme="minorHAnsi"/>
          <w:i/>
          <w:sz w:val="20"/>
          <w:szCs w:val="20"/>
        </w:rPr>
      </w:pPr>
    </w:p>
    <w:p w:rsidR="0031049E" w:rsidRPr="00495271" w:rsidRDefault="0031049E" w:rsidP="00CB1FDF">
      <w:pPr>
        <w:spacing w:after="0" w:line="240" w:lineRule="auto"/>
        <w:rPr>
          <w:rFonts w:asciiTheme="minorHAnsi" w:hAnsiTheme="minorHAnsi" w:cstheme="minorHAnsi"/>
          <w:i/>
          <w:sz w:val="20"/>
          <w:szCs w:val="20"/>
        </w:rPr>
      </w:pPr>
    </w:p>
    <w:p w:rsidR="0031049E" w:rsidRPr="00495271" w:rsidRDefault="0031049E" w:rsidP="00CB1FDF">
      <w:pPr>
        <w:spacing w:after="0" w:line="240" w:lineRule="auto"/>
        <w:rPr>
          <w:rFonts w:asciiTheme="minorHAnsi" w:hAnsiTheme="minorHAnsi" w:cstheme="minorHAnsi"/>
          <w:i/>
          <w:sz w:val="20"/>
          <w:szCs w:val="20"/>
        </w:rPr>
      </w:pPr>
    </w:p>
    <w:p w:rsidR="0031049E" w:rsidRPr="00495271" w:rsidRDefault="0031049E" w:rsidP="00CB1FDF">
      <w:pPr>
        <w:spacing w:after="0" w:line="240" w:lineRule="auto"/>
        <w:rPr>
          <w:rFonts w:asciiTheme="minorHAnsi" w:hAnsiTheme="minorHAnsi" w:cstheme="minorHAnsi"/>
          <w:i/>
          <w:sz w:val="20"/>
          <w:szCs w:val="20"/>
        </w:rPr>
      </w:pPr>
    </w:p>
    <w:p w:rsidR="0031049E" w:rsidRPr="00495271" w:rsidRDefault="0031049E" w:rsidP="00CB1FDF">
      <w:pPr>
        <w:spacing w:after="0" w:line="240" w:lineRule="auto"/>
        <w:rPr>
          <w:rFonts w:asciiTheme="minorHAnsi" w:hAnsiTheme="minorHAnsi" w:cstheme="minorHAnsi"/>
          <w:i/>
          <w:sz w:val="20"/>
          <w:szCs w:val="20"/>
        </w:rPr>
      </w:pPr>
    </w:p>
    <w:p w:rsidR="0031049E" w:rsidRPr="00495271" w:rsidRDefault="0031049E" w:rsidP="00CB1FDF">
      <w:pPr>
        <w:spacing w:after="0" w:line="240" w:lineRule="auto"/>
        <w:rPr>
          <w:rFonts w:asciiTheme="minorHAnsi" w:hAnsiTheme="minorHAnsi" w:cstheme="minorHAnsi"/>
          <w:i/>
          <w:sz w:val="20"/>
          <w:szCs w:val="20"/>
        </w:rPr>
      </w:pPr>
    </w:p>
    <w:p w:rsidR="006A6DDF" w:rsidRPr="00495271" w:rsidRDefault="006A6DDF" w:rsidP="007712B9">
      <w:pPr>
        <w:pStyle w:val="Heading7"/>
        <w:keepNext w:val="0"/>
        <w:keepLines w:val="0"/>
        <w:widowControl w:val="0"/>
        <w:tabs>
          <w:tab w:val="left" w:pos="1332"/>
          <w:tab w:val="left" w:pos="1333"/>
        </w:tabs>
        <w:autoSpaceDE w:val="0"/>
        <w:autoSpaceDN w:val="0"/>
        <w:spacing w:before="0" w:line="240" w:lineRule="auto"/>
        <w:rPr>
          <w:rFonts w:asciiTheme="minorHAnsi" w:hAnsiTheme="minorHAnsi" w:cstheme="minorHAnsi"/>
          <w:color w:val="auto"/>
          <w:w w:val="105"/>
          <w:sz w:val="20"/>
          <w:szCs w:val="20"/>
        </w:rPr>
      </w:pPr>
    </w:p>
    <w:p w:rsidR="003544EA" w:rsidRPr="00495271" w:rsidRDefault="0054270E" w:rsidP="003544EA">
      <w:pPr>
        <w:pStyle w:val="BodyText"/>
        <w:jc w:val="center"/>
        <w:rPr>
          <w:rFonts w:asciiTheme="minorHAnsi" w:hAnsiTheme="minorHAnsi" w:cstheme="minorHAnsi"/>
          <w:b/>
          <w:i/>
          <w:color w:val="auto"/>
          <w:sz w:val="22"/>
          <w:szCs w:val="22"/>
        </w:rPr>
      </w:pPr>
      <w:r w:rsidRPr="00495271">
        <w:rPr>
          <w:rFonts w:asciiTheme="minorHAnsi" w:hAnsiTheme="minorHAnsi" w:cstheme="minorHAnsi"/>
          <w:b/>
          <w:i/>
          <w:color w:val="auto"/>
          <w:sz w:val="22"/>
          <w:szCs w:val="22"/>
        </w:rPr>
        <w:lastRenderedPageBreak/>
        <w:t>PLAN</w:t>
      </w:r>
      <w:r w:rsidR="00AE3FBE">
        <w:rPr>
          <w:rFonts w:asciiTheme="minorHAnsi" w:hAnsiTheme="minorHAnsi" w:cstheme="minorHAnsi"/>
          <w:b/>
          <w:i/>
          <w:color w:val="auto"/>
          <w:sz w:val="22"/>
          <w:szCs w:val="22"/>
        </w:rPr>
        <w:t xml:space="preserve"> I PROGRAM</w:t>
      </w:r>
      <w:r w:rsidR="00DF50AD" w:rsidRPr="00495271">
        <w:rPr>
          <w:rFonts w:asciiTheme="minorHAnsi" w:hAnsiTheme="minorHAnsi" w:cstheme="minorHAnsi"/>
          <w:b/>
          <w:i/>
          <w:color w:val="auto"/>
          <w:sz w:val="22"/>
          <w:szCs w:val="22"/>
        </w:rPr>
        <w:t xml:space="preserve"> MJERA I AKTIVNOSTI PO KONAČNOM IZVJEŠTAJU O </w:t>
      </w:r>
      <w:r w:rsidR="003544EA" w:rsidRPr="00495271">
        <w:rPr>
          <w:rFonts w:asciiTheme="minorHAnsi" w:hAnsiTheme="minorHAnsi" w:cstheme="minorHAnsi"/>
          <w:b/>
          <w:i/>
          <w:color w:val="auto"/>
          <w:sz w:val="22"/>
          <w:szCs w:val="22"/>
        </w:rPr>
        <w:t>FINANSIJSKOJ REVIZIJI FEDERALNOG MINISTARSTVA FINANSIJA-FINANCIJA ZA 2020.GODINU</w:t>
      </w:r>
    </w:p>
    <w:p w:rsidR="00CC3765" w:rsidRPr="00495271" w:rsidRDefault="00CC3765" w:rsidP="00CC3765">
      <w:pPr>
        <w:pStyle w:val="BodyText"/>
        <w:jc w:val="center"/>
        <w:rPr>
          <w:rFonts w:asciiTheme="minorHAnsi" w:hAnsiTheme="minorHAnsi" w:cstheme="minorHAnsi"/>
          <w:b/>
          <w:i/>
          <w:color w:val="auto"/>
          <w:sz w:val="22"/>
          <w:szCs w:val="22"/>
        </w:rPr>
      </w:pPr>
    </w:p>
    <w:p w:rsidR="007B2A2F" w:rsidRPr="00495271" w:rsidRDefault="007B2A2F" w:rsidP="003544EA">
      <w:pPr>
        <w:autoSpaceDE w:val="0"/>
        <w:autoSpaceDN w:val="0"/>
        <w:adjustRightInd w:val="0"/>
        <w:spacing w:after="0" w:line="240" w:lineRule="auto"/>
        <w:jc w:val="both"/>
        <w:rPr>
          <w:rFonts w:asciiTheme="minorHAnsi" w:hAnsiTheme="minorHAnsi" w:cstheme="minorHAnsi"/>
          <w:lang w:val="bs-Latn-BA"/>
        </w:rPr>
      </w:pPr>
      <w:r w:rsidRPr="00495271">
        <w:rPr>
          <w:rFonts w:asciiTheme="minorHAnsi" w:hAnsiTheme="minorHAnsi" w:cstheme="minorHAnsi"/>
          <w:bCs/>
          <w:iCs/>
          <w:lang w:val="pl-PL"/>
        </w:rPr>
        <w:t>Ured</w:t>
      </w:r>
      <w:r w:rsidRPr="00495271">
        <w:rPr>
          <w:rFonts w:asciiTheme="minorHAnsi" w:hAnsiTheme="minorHAnsi" w:cstheme="minorHAnsi"/>
          <w:bCs/>
          <w:iCs/>
          <w:lang w:val="bs-Latn-BA"/>
        </w:rPr>
        <w:t xml:space="preserve"> </w:t>
      </w:r>
      <w:r w:rsidRPr="00495271">
        <w:rPr>
          <w:rFonts w:asciiTheme="minorHAnsi" w:hAnsiTheme="minorHAnsi" w:cstheme="minorHAnsi"/>
          <w:bCs/>
          <w:iCs/>
          <w:lang w:val="pl-PL"/>
        </w:rPr>
        <w:t>za</w:t>
      </w:r>
      <w:r w:rsidRPr="00495271">
        <w:rPr>
          <w:rFonts w:asciiTheme="minorHAnsi" w:hAnsiTheme="minorHAnsi" w:cstheme="minorHAnsi"/>
          <w:bCs/>
          <w:iCs/>
          <w:lang w:val="bs-Latn-BA"/>
        </w:rPr>
        <w:t xml:space="preserve"> </w:t>
      </w:r>
      <w:r w:rsidRPr="00495271">
        <w:rPr>
          <w:rFonts w:asciiTheme="minorHAnsi" w:hAnsiTheme="minorHAnsi" w:cstheme="minorHAnsi"/>
          <w:bCs/>
          <w:iCs/>
          <w:lang w:val="pl-PL"/>
        </w:rPr>
        <w:t>reviziju</w:t>
      </w:r>
      <w:r w:rsidRPr="00495271">
        <w:rPr>
          <w:rFonts w:asciiTheme="minorHAnsi" w:hAnsiTheme="minorHAnsi" w:cstheme="minorHAnsi"/>
          <w:bCs/>
          <w:iCs/>
          <w:lang w:val="bs-Latn-BA"/>
        </w:rPr>
        <w:t xml:space="preserve"> </w:t>
      </w:r>
      <w:r w:rsidRPr="00495271">
        <w:rPr>
          <w:rFonts w:asciiTheme="minorHAnsi" w:hAnsiTheme="minorHAnsi" w:cstheme="minorHAnsi"/>
          <w:bCs/>
          <w:iCs/>
          <w:lang w:val="pl-PL"/>
        </w:rPr>
        <w:t>institucija</w:t>
      </w:r>
      <w:r w:rsidRPr="00495271">
        <w:rPr>
          <w:rFonts w:asciiTheme="minorHAnsi" w:hAnsiTheme="minorHAnsi" w:cstheme="minorHAnsi"/>
          <w:bCs/>
          <w:iCs/>
          <w:lang w:val="bs-Latn-BA"/>
        </w:rPr>
        <w:t xml:space="preserve"> </w:t>
      </w:r>
      <w:r w:rsidRPr="00495271">
        <w:rPr>
          <w:rFonts w:asciiTheme="minorHAnsi" w:hAnsiTheme="minorHAnsi" w:cstheme="minorHAnsi"/>
          <w:bCs/>
          <w:iCs/>
          <w:lang w:val="pl-PL"/>
        </w:rPr>
        <w:t>Federacije</w:t>
      </w:r>
      <w:r w:rsidRPr="00495271">
        <w:rPr>
          <w:rFonts w:asciiTheme="minorHAnsi" w:hAnsiTheme="minorHAnsi" w:cstheme="minorHAnsi"/>
          <w:bCs/>
          <w:iCs/>
          <w:lang w:val="bs-Latn-BA"/>
        </w:rPr>
        <w:t xml:space="preserve"> </w:t>
      </w:r>
      <w:r w:rsidRPr="00495271">
        <w:rPr>
          <w:rFonts w:asciiTheme="minorHAnsi" w:hAnsiTheme="minorHAnsi" w:cstheme="minorHAnsi"/>
          <w:bCs/>
          <w:iCs/>
          <w:lang w:val="pl-PL"/>
        </w:rPr>
        <w:t>Bosne</w:t>
      </w:r>
      <w:r w:rsidRPr="00495271">
        <w:rPr>
          <w:rFonts w:asciiTheme="minorHAnsi" w:hAnsiTheme="minorHAnsi" w:cstheme="minorHAnsi"/>
          <w:bCs/>
          <w:iCs/>
          <w:lang w:val="bs-Latn-BA"/>
        </w:rPr>
        <w:t xml:space="preserve"> </w:t>
      </w:r>
      <w:r w:rsidRPr="00495271">
        <w:rPr>
          <w:rFonts w:asciiTheme="minorHAnsi" w:hAnsiTheme="minorHAnsi" w:cstheme="minorHAnsi"/>
          <w:bCs/>
          <w:iCs/>
          <w:lang w:val="pl-PL"/>
        </w:rPr>
        <w:t>i</w:t>
      </w:r>
      <w:r w:rsidRPr="00495271">
        <w:rPr>
          <w:rFonts w:asciiTheme="minorHAnsi" w:hAnsiTheme="minorHAnsi" w:cstheme="minorHAnsi"/>
          <w:bCs/>
          <w:iCs/>
          <w:lang w:val="bs-Latn-BA"/>
        </w:rPr>
        <w:t xml:space="preserve"> </w:t>
      </w:r>
      <w:r w:rsidRPr="00495271">
        <w:rPr>
          <w:rFonts w:asciiTheme="minorHAnsi" w:hAnsiTheme="minorHAnsi" w:cstheme="minorHAnsi"/>
          <w:bCs/>
          <w:iCs/>
          <w:lang w:val="pl-PL"/>
        </w:rPr>
        <w:t>Hercegovine</w:t>
      </w:r>
      <w:r w:rsidRPr="00495271">
        <w:rPr>
          <w:rFonts w:asciiTheme="minorHAnsi" w:hAnsiTheme="minorHAnsi" w:cstheme="minorHAnsi"/>
          <w:bCs/>
          <w:iCs/>
          <w:lang w:val="bs-Latn-BA"/>
        </w:rPr>
        <w:t xml:space="preserve"> </w:t>
      </w:r>
      <w:r w:rsidRPr="00495271">
        <w:rPr>
          <w:rFonts w:asciiTheme="minorHAnsi" w:hAnsiTheme="minorHAnsi" w:cstheme="minorHAnsi"/>
          <w:bCs/>
          <w:iCs/>
          <w:lang w:val="pl-PL"/>
        </w:rPr>
        <w:t>izvr</w:t>
      </w:r>
      <w:r w:rsidRPr="00495271">
        <w:rPr>
          <w:rFonts w:asciiTheme="minorHAnsi" w:hAnsiTheme="minorHAnsi" w:cstheme="minorHAnsi"/>
          <w:bCs/>
          <w:iCs/>
          <w:lang w:val="bs-Latn-BA"/>
        </w:rPr>
        <w:t>š</w:t>
      </w:r>
      <w:r w:rsidRPr="00495271">
        <w:rPr>
          <w:rFonts w:asciiTheme="minorHAnsi" w:hAnsiTheme="minorHAnsi" w:cstheme="minorHAnsi"/>
          <w:bCs/>
          <w:iCs/>
          <w:lang w:val="pl-PL"/>
        </w:rPr>
        <w:t>io</w:t>
      </w:r>
      <w:r w:rsidRPr="00495271">
        <w:rPr>
          <w:rFonts w:asciiTheme="minorHAnsi" w:hAnsiTheme="minorHAnsi" w:cstheme="minorHAnsi"/>
          <w:bCs/>
          <w:iCs/>
          <w:lang w:val="bs-Latn-BA"/>
        </w:rPr>
        <w:t xml:space="preserve"> </w:t>
      </w:r>
      <w:r w:rsidRPr="00495271">
        <w:rPr>
          <w:rFonts w:asciiTheme="minorHAnsi" w:hAnsiTheme="minorHAnsi" w:cstheme="minorHAnsi"/>
          <w:bCs/>
          <w:iCs/>
          <w:lang w:val="pl-PL"/>
        </w:rPr>
        <w:t>je</w:t>
      </w:r>
      <w:r w:rsidRPr="00495271">
        <w:rPr>
          <w:rFonts w:asciiTheme="minorHAnsi" w:hAnsiTheme="minorHAnsi" w:cstheme="minorHAnsi"/>
          <w:bCs/>
          <w:iCs/>
          <w:lang w:val="bs-Latn-BA"/>
        </w:rPr>
        <w:t xml:space="preserve"> </w:t>
      </w:r>
      <w:r w:rsidRPr="00495271">
        <w:rPr>
          <w:rFonts w:asciiTheme="minorHAnsi" w:hAnsiTheme="minorHAnsi" w:cstheme="minorHAnsi"/>
          <w:bCs/>
          <w:iCs/>
          <w:lang w:val="pl-PL"/>
        </w:rPr>
        <w:t>reviziju</w:t>
      </w:r>
      <w:r w:rsidRPr="00495271">
        <w:rPr>
          <w:rFonts w:asciiTheme="minorHAnsi" w:hAnsiTheme="minorHAnsi" w:cstheme="minorHAnsi"/>
          <w:lang w:val="bs-Latn-BA"/>
        </w:rPr>
        <w:t xml:space="preserve"> </w:t>
      </w:r>
      <w:r w:rsidR="003544EA" w:rsidRPr="00495271">
        <w:rPr>
          <w:rFonts w:asciiTheme="minorHAnsi" w:hAnsiTheme="minorHAnsi" w:cstheme="minorHAnsi"/>
          <w:lang w:val="bs-Latn-BA"/>
        </w:rPr>
        <w:t>finansijskih izvještaja i reviziju usklađenosti aktivnosti, finansijskih transakcija i informacija s relevantnim zakonima i drugim propisima i pri tome sačinio konačan izvještaj broj: 01-02-06-11-1-2073-6/20 od 28.05.2021.godine.</w:t>
      </w:r>
    </w:p>
    <w:p w:rsidR="003544EA" w:rsidRPr="00495271" w:rsidRDefault="003544EA" w:rsidP="003544EA">
      <w:pPr>
        <w:autoSpaceDE w:val="0"/>
        <w:autoSpaceDN w:val="0"/>
        <w:adjustRightInd w:val="0"/>
        <w:spacing w:after="0" w:line="240" w:lineRule="auto"/>
        <w:rPr>
          <w:rFonts w:asciiTheme="minorHAnsi" w:hAnsiTheme="minorHAnsi" w:cstheme="minorHAnsi"/>
          <w:lang w:val="bs-Latn-BA"/>
        </w:rPr>
      </w:pPr>
    </w:p>
    <w:p w:rsidR="005E56E1" w:rsidRPr="00495271" w:rsidRDefault="00DD250D" w:rsidP="00DD250D">
      <w:pPr>
        <w:autoSpaceDE w:val="0"/>
        <w:autoSpaceDN w:val="0"/>
        <w:adjustRightInd w:val="0"/>
        <w:spacing w:after="0" w:line="240" w:lineRule="auto"/>
        <w:jc w:val="both"/>
        <w:rPr>
          <w:rFonts w:asciiTheme="minorHAnsi" w:hAnsiTheme="minorHAnsi" w:cstheme="minorHAnsi"/>
          <w:i/>
          <w:lang w:val="bs-Latn-BA"/>
        </w:rPr>
      </w:pPr>
      <w:r w:rsidRPr="00495271">
        <w:rPr>
          <w:rFonts w:asciiTheme="minorHAnsi" w:hAnsiTheme="minorHAnsi" w:cstheme="minorHAnsi"/>
          <w:lang w:val="bs-Latn-BA"/>
        </w:rPr>
        <w:t>U konačnom izvještaju,</w:t>
      </w:r>
      <w:r w:rsidRPr="00495271">
        <w:rPr>
          <w:rFonts w:asciiTheme="minorHAnsi" w:hAnsiTheme="minorHAnsi" w:cstheme="minorHAnsi"/>
          <w:b/>
          <w:lang w:val="bs-Latn-BA"/>
        </w:rPr>
        <w:t xml:space="preserve"> z</w:t>
      </w:r>
      <w:r w:rsidR="003544EA" w:rsidRPr="00495271">
        <w:rPr>
          <w:rFonts w:asciiTheme="minorHAnsi" w:hAnsiTheme="minorHAnsi" w:cstheme="minorHAnsi"/>
          <w:b/>
          <w:lang w:val="bs-Latn-BA"/>
        </w:rPr>
        <w:t>a Izvještaj o reviziji finansijskih izvještaja Federalnog ministarstva finansija-financija</w:t>
      </w:r>
      <w:r w:rsidR="003544EA" w:rsidRPr="00495271">
        <w:rPr>
          <w:rFonts w:asciiTheme="minorHAnsi" w:hAnsiTheme="minorHAnsi" w:cstheme="minorHAnsi"/>
          <w:lang w:val="bs-Latn-BA"/>
        </w:rPr>
        <w:t xml:space="preserve"> (u daljem tekstu:</w:t>
      </w:r>
      <w:r w:rsidR="006E5520" w:rsidRPr="00495271">
        <w:rPr>
          <w:rFonts w:asciiTheme="minorHAnsi" w:hAnsiTheme="minorHAnsi" w:cstheme="minorHAnsi"/>
          <w:lang w:val="bs-Latn-BA"/>
        </w:rPr>
        <w:t xml:space="preserve"> </w:t>
      </w:r>
      <w:r w:rsidR="003544EA" w:rsidRPr="00495271">
        <w:rPr>
          <w:rFonts w:asciiTheme="minorHAnsi" w:hAnsiTheme="minorHAnsi" w:cstheme="minorHAnsi"/>
          <w:lang w:val="bs-Latn-BA"/>
        </w:rPr>
        <w:t>Ministarstvo), koj</w:t>
      </w:r>
      <w:r w:rsidR="005E56E1" w:rsidRPr="00495271">
        <w:rPr>
          <w:rFonts w:asciiTheme="minorHAnsi" w:hAnsiTheme="minorHAnsi" w:cstheme="minorHAnsi"/>
          <w:lang w:val="bs-Latn-BA"/>
        </w:rPr>
        <w:t>i</w:t>
      </w:r>
      <w:r w:rsidR="003544EA" w:rsidRPr="00495271">
        <w:rPr>
          <w:rFonts w:asciiTheme="minorHAnsi" w:hAnsiTheme="minorHAnsi" w:cstheme="minorHAnsi"/>
          <w:lang w:val="bs-Latn-BA"/>
        </w:rPr>
        <w:t xml:space="preserve"> obuhva</w:t>
      </w:r>
      <w:r w:rsidR="005E56E1" w:rsidRPr="00495271">
        <w:rPr>
          <w:rFonts w:asciiTheme="minorHAnsi" w:hAnsiTheme="minorHAnsi" w:cstheme="minorHAnsi"/>
          <w:lang w:val="bs-Latn-BA"/>
        </w:rPr>
        <w:t>t</w:t>
      </w:r>
      <w:r w:rsidR="003544EA" w:rsidRPr="00495271">
        <w:rPr>
          <w:rFonts w:asciiTheme="minorHAnsi" w:hAnsiTheme="minorHAnsi" w:cstheme="minorHAnsi"/>
          <w:lang w:val="bs-Latn-BA"/>
        </w:rPr>
        <w:t>aju: Bilan</w:t>
      </w:r>
      <w:r w:rsidR="005E56E1" w:rsidRPr="00495271">
        <w:rPr>
          <w:rFonts w:asciiTheme="minorHAnsi" w:hAnsiTheme="minorHAnsi" w:cstheme="minorHAnsi"/>
          <w:lang w:val="bs-Latn-BA"/>
        </w:rPr>
        <w:t>s</w:t>
      </w:r>
      <w:r w:rsidR="003544EA" w:rsidRPr="00495271">
        <w:rPr>
          <w:rFonts w:asciiTheme="minorHAnsi" w:hAnsiTheme="minorHAnsi" w:cstheme="minorHAnsi"/>
          <w:lang w:val="bs-Latn-BA"/>
        </w:rPr>
        <w:t xml:space="preserve"> stanja na 31.12.2020.</w:t>
      </w:r>
      <w:r w:rsidR="005E56E1" w:rsidRPr="00495271">
        <w:rPr>
          <w:rFonts w:asciiTheme="minorHAnsi" w:hAnsiTheme="minorHAnsi" w:cstheme="minorHAnsi"/>
          <w:lang w:val="bs-Latn-BA"/>
        </w:rPr>
        <w:t>godine, Rač</w:t>
      </w:r>
      <w:r w:rsidR="003544EA" w:rsidRPr="00495271">
        <w:rPr>
          <w:rFonts w:asciiTheme="minorHAnsi" w:hAnsiTheme="minorHAnsi" w:cstheme="minorHAnsi"/>
          <w:lang w:val="bs-Latn-BA"/>
        </w:rPr>
        <w:t>un prihoda i</w:t>
      </w:r>
      <w:r w:rsidR="005E56E1" w:rsidRPr="00495271">
        <w:rPr>
          <w:rFonts w:asciiTheme="minorHAnsi" w:hAnsiTheme="minorHAnsi" w:cstheme="minorHAnsi"/>
          <w:lang w:val="bs-Latn-BA"/>
        </w:rPr>
        <w:t xml:space="preserve"> </w:t>
      </w:r>
      <w:r w:rsidR="003544EA" w:rsidRPr="00495271">
        <w:rPr>
          <w:rFonts w:asciiTheme="minorHAnsi" w:hAnsiTheme="minorHAnsi" w:cstheme="minorHAnsi"/>
          <w:lang w:val="bs-Latn-BA"/>
        </w:rPr>
        <w:t>rashoda,</w:t>
      </w:r>
      <w:r w:rsidR="005E56E1" w:rsidRPr="00495271">
        <w:rPr>
          <w:rFonts w:asciiTheme="minorHAnsi" w:hAnsiTheme="minorHAnsi" w:cstheme="minorHAnsi"/>
          <w:lang w:val="bs-Latn-BA"/>
        </w:rPr>
        <w:t xml:space="preserve"> </w:t>
      </w:r>
      <w:r w:rsidR="003544EA" w:rsidRPr="00495271">
        <w:rPr>
          <w:rFonts w:asciiTheme="minorHAnsi" w:hAnsiTheme="minorHAnsi" w:cstheme="minorHAnsi"/>
          <w:lang w:val="bs-Latn-BA"/>
        </w:rPr>
        <w:t>lzvje</w:t>
      </w:r>
      <w:r w:rsidR="005E56E1" w:rsidRPr="00495271">
        <w:rPr>
          <w:rFonts w:asciiTheme="minorHAnsi" w:hAnsiTheme="minorHAnsi" w:cstheme="minorHAnsi"/>
          <w:lang w:val="bs-Latn-BA"/>
        </w:rPr>
        <w:t>štaj</w:t>
      </w:r>
      <w:r w:rsidR="003544EA" w:rsidRPr="00495271">
        <w:rPr>
          <w:rFonts w:asciiTheme="minorHAnsi" w:hAnsiTheme="minorHAnsi" w:cstheme="minorHAnsi"/>
          <w:lang w:val="bs-Latn-BA"/>
        </w:rPr>
        <w:t xml:space="preserve"> o kapitalnim izdacima i</w:t>
      </w:r>
      <w:r w:rsidR="005E56E1" w:rsidRPr="00495271">
        <w:rPr>
          <w:rFonts w:asciiTheme="minorHAnsi" w:hAnsiTheme="minorHAnsi" w:cstheme="minorHAnsi"/>
          <w:lang w:val="bs-Latn-BA"/>
        </w:rPr>
        <w:t xml:space="preserve"> finans</w:t>
      </w:r>
      <w:r w:rsidR="003544EA" w:rsidRPr="00495271">
        <w:rPr>
          <w:rFonts w:asciiTheme="minorHAnsi" w:hAnsiTheme="minorHAnsi" w:cstheme="minorHAnsi"/>
          <w:lang w:val="bs-Latn-BA"/>
        </w:rPr>
        <w:t>iranju, Posebne podatke o pla</w:t>
      </w:r>
      <w:r w:rsidR="005E56E1" w:rsidRPr="00495271">
        <w:rPr>
          <w:rFonts w:asciiTheme="minorHAnsi" w:hAnsiTheme="minorHAnsi" w:cstheme="minorHAnsi"/>
          <w:lang w:val="bs-Latn-BA"/>
        </w:rPr>
        <w:t>ć</w:t>
      </w:r>
      <w:r w:rsidR="003544EA" w:rsidRPr="00495271">
        <w:rPr>
          <w:rFonts w:asciiTheme="minorHAnsi" w:hAnsiTheme="minorHAnsi" w:cstheme="minorHAnsi"/>
          <w:lang w:val="bs-Latn-BA"/>
        </w:rPr>
        <w:t>ama i broju zaposlenih, Godi</w:t>
      </w:r>
      <w:r w:rsidR="005E56E1" w:rsidRPr="00495271">
        <w:rPr>
          <w:rFonts w:asciiTheme="minorHAnsi" w:hAnsiTheme="minorHAnsi" w:cstheme="minorHAnsi"/>
          <w:lang w:val="bs-Latn-BA"/>
        </w:rPr>
        <w:t>š</w:t>
      </w:r>
      <w:r w:rsidR="003544EA" w:rsidRPr="00495271">
        <w:rPr>
          <w:rFonts w:asciiTheme="minorHAnsi" w:hAnsiTheme="minorHAnsi" w:cstheme="minorHAnsi"/>
          <w:lang w:val="bs-Latn-BA"/>
        </w:rPr>
        <w:t>nj</w:t>
      </w:r>
      <w:r w:rsidR="005E56E1" w:rsidRPr="00495271">
        <w:rPr>
          <w:rFonts w:asciiTheme="minorHAnsi" w:hAnsiTheme="minorHAnsi" w:cstheme="minorHAnsi"/>
          <w:lang w:val="bs-Latn-BA"/>
        </w:rPr>
        <w:t>i izvještaj</w:t>
      </w:r>
      <w:r w:rsidR="003544EA" w:rsidRPr="00495271">
        <w:rPr>
          <w:rFonts w:asciiTheme="minorHAnsi" w:hAnsiTheme="minorHAnsi" w:cstheme="minorHAnsi"/>
          <w:lang w:val="bs-Latn-BA"/>
        </w:rPr>
        <w:t xml:space="preserve"> o izvr</w:t>
      </w:r>
      <w:r w:rsidR="005E56E1" w:rsidRPr="00495271">
        <w:rPr>
          <w:rFonts w:asciiTheme="minorHAnsi" w:hAnsiTheme="minorHAnsi" w:cstheme="minorHAnsi"/>
          <w:lang w:val="bs-Latn-BA"/>
        </w:rPr>
        <w:t>š</w:t>
      </w:r>
      <w:r w:rsidR="003544EA" w:rsidRPr="00495271">
        <w:rPr>
          <w:rFonts w:asciiTheme="minorHAnsi" w:hAnsiTheme="minorHAnsi" w:cstheme="minorHAnsi"/>
          <w:lang w:val="bs-Latn-BA"/>
        </w:rPr>
        <w:t xml:space="preserve">enju </w:t>
      </w:r>
      <w:r w:rsidR="005E56E1" w:rsidRPr="00495271">
        <w:rPr>
          <w:rFonts w:asciiTheme="minorHAnsi" w:hAnsiTheme="minorHAnsi" w:cstheme="minorHAnsi"/>
          <w:lang w:val="bs-Latn-BA"/>
        </w:rPr>
        <w:t>budžeta</w:t>
      </w:r>
      <w:r w:rsidR="003544EA" w:rsidRPr="00495271">
        <w:rPr>
          <w:rFonts w:asciiTheme="minorHAnsi" w:hAnsiTheme="minorHAnsi" w:cstheme="minorHAnsi"/>
          <w:lang w:val="bs-Latn-BA"/>
        </w:rPr>
        <w:t xml:space="preserve"> za godinu koja se zavr</w:t>
      </w:r>
      <w:r w:rsidR="005E56E1" w:rsidRPr="00495271">
        <w:rPr>
          <w:rFonts w:asciiTheme="minorHAnsi" w:hAnsiTheme="minorHAnsi" w:cstheme="minorHAnsi"/>
          <w:lang w:val="bs-Latn-BA"/>
        </w:rPr>
        <w:t>š</w:t>
      </w:r>
      <w:r w:rsidR="003544EA" w:rsidRPr="00495271">
        <w:rPr>
          <w:rFonts w:asciiTheme="minorHAnsi" w:hAnsiTheme="minorHAnsi" w:cstheme="minorHAnsi"/>
          <w:lang w:val="bs-Latn-BA"/>
        </w:rPr>
        <w:t>ava na taj dan, te Analizu iskaza - tekstualni dio,uklju</w:t>
      </w:r>
      <w:r w:rsidR="005E56E1" w:rsidRPr="00495271">
        <w:rPr>
          <w:rFonts w:asciiTheme="minorHAnsi" w:hAnsiTheme="minorHAnsi" w:cstheme="minorHAnsi"/>
          <w:lang w:val="bs-Latn-BA"/>
        </w:rPr>
        <w:t>č</w:t>
      </w:r>
      <w:r w:rsidR="003544EA" w:rsidRPr="00495271">
        <w:rPr>
          <w:rFonts w:asciiTheme="minorHAnsi" w:hAnsiTheme="minorHAnsi" w:cstheme="minorHAnsi"/>
          <w:lang w:val="bs-Latn-BA"/>
        </w:rPr>
        <w:t>uju</w:t>
      </w:r>
      <w:r w:rsidR="005E56E1" w:rsidRPr="00495271">
        <w:rPr>
          <w:rFonts w:asciiTheme="minorHAnsi" w:hAnsiTheme="minorHAnsi" w:cstheme="minorHAnsi"/>
          <w:lang w:val="bs-Latn-BA"/>
        </w:rPr>
        <w:t>ć</w:t>
      </w:r>
      <w:r w:rsidR="003544EA" w:rsidRPr="00495271">
        <w:rPr>
          <w:rFonts w:asciiTheme="minorHAnsi" w:hAnsiTheme="minorHAnsi" w:cstheme="minorHAnsi"/>
          <w:lang w:val="bs-Latn-BA"/>
        </w:rPr>
        <w:t>i i rezime zna</w:t>
      </w:r>
      <w:r w:rsidR="005E56E1" w:rsidRPr="00495271">
        <w:rPr>
          <w:rFonts w:asciiTheme="minorHAnsi" w:hAnsiTheme="minorHAnsi" w:cstheme="minorHAnsi"/>
          <w:lang w:val="bs-Latn-BA"/>
        </w:rPr>
        <w:t>č</w:t>
      </w:r>
      <w:r w:rsidR="003544EA" w:rsidRPr="00495271">
        <w:rPr>
          <w:rFonts w:asciiTheme="minorHAnsi" w:hAnsiTheme="minorHAnsi" w:cstheme="minorHAnsi"/>
          <w:lang w:val="bs-Latn-BA"/>
        </w:rPr>
        <w:t>ajnih ra</w:t>
      </w:r>
      <w:r w:rsidR="005E56E1" w:rsidRPr="00495271">
        <w:rPr>
          <w:rFonts w:asciiTheme="minorHAnsi" w:hAnsiTheme="minorHAnsi" w:cstheme="minorHAnsi"/>
          <w:lang w:val="bs-Latn-BA"/>
        </w:rPr>
        <w:t>č</w:t>
      </w:r>
      <w:r w:rsidR="003544EA" w:rsidRPr="00495271">
        <w:rPr>
          <w:rFonts w:asciiTheme="minorHAnsi" w:hAnsiTheme="minorHAnsi" w:cstheme="minorHAnsi"/>
          <w:lang w:val="bs-Latn-BA"/>
        </w:rPr>
        <w:t>unovods</w:t>
      </w:r>
      <w:r w:rsidR="005E56E1" w:rsidRPr="00495271">
        <w:rPr>
          <w:rFonts w:asciiTheme="minorHAnsi" w:hAnsiTheme="minorHAnsi" w:cstheme="minorHAnsi"/>
          <w:lang w:val="bs-Latn-BA"/>
        </w:rPr>
        <w:t>v</w:t>
      </w:r>
      <w:r w:rsidR="003544EA" w:rsidRPr="00495271">
        <w:rPr>
          <w:rFonts w:asciiTheme="minorHAnsi" w:hAnsiTheme="minorHAnsi" w:cstheme="minorHAnsi"/>
          <w:lang w:val="bs-Latn-BA"/>
        </w:rPr>
        <w:t>enih politika</w:t>
      </w:r>
      <w:r w:rsidR="005E56E1" w:rsidRPr="00495271">
        <w:rPr>
          <w:rFonts w:asciiTheme="minorHAnsi" w:hAnsiTheme="minorHAnsi" w:cstheme="minorHAnsi"/>
          <w:lang w:val="bs-Latn-BA"/>
        </w:rPr>
        <w:t xml:space="preserve">, </w:t>
      </w:r>
      <w:r w:rsidR="005E56E1" w:rsidRPr="00495271">
        <w:rPr>
          <w:rFonts w:asciiTheme="minorHAnsi" w:hAnsiTheme="minorHAnsi" w:cstheme="minorHAnsi"/>
          <w:b/>
          <w:lang w:val="bs-Latn-BA"/>
        </w:rPr>
        <w:t>dato je pozitivno mišljenje</w:t>
      </w:r>
      <w:r w:rsidR="005E56E1" w:rsidRPr="00495271">
        <w:rPr>
          <w:rFonts w:asciiTheme="minorHAnsi" w:hAnsiTheme="minorHAnsi" w:cstheme="minorHAnsi"/>
          <w:lang w:val="bs-Latn-BA"/>
        </w:rPr>
        <w:t xml:space="preserve"> koje glasi: </w:t>
      </w:r>
      <w:r w:rsidR="005E56E1" w:rsidRPr="00495271">
        <w:rPr>
          <w:rFonts w:asciiTheme="minorHAnsi" w:hAnsiTheme="minorHAnsi" w:cstheme="minorHAnsi"/>
          <w:i/>
          <w:lang w:val="bs-Latn-BA"/>
        </w:rPr>
        <w:t>„Prem</w:t>
      </w:r>
      <w:r w:rsidR="003544EA" w:rsidRPr="00495271">
        <w:rPr>
          <w:rFonts w:asciiTheme="minorHAnsi" w:hAnsiTheme="minorHAnsi" w:cstheme="minorHAnsi"/>
          <w:i/>
          <w:lang w:val="bs-Latn-BA"/>
        </w:rPr>
        <w:t>a na</w:t>
      </w:r>
      <w:r w:rsidR="005E56E1" w:rsidRPr="00495271">
        <w:rPr>
          <w:rFonts w:asciiTheme="minorHAnsi" w:hAnsiTheme="minorHAnsi" w:cstheme="minorHAnsi"/>
          <w:i/>
          <w:lang w:val="bs-Latn-BA"/>
        </w:rPr>
        <w:t>š</w:t>
      </w:r>
      <w:r w:rsidR="003544EA" w:rsidRPr="00495271">
        <w:rPr>
          <w:rFonts w:asciiTheme="minorHAnsi" w:hAnsiTheme="minorHAnsi" w:cstheme="minorHAnsi"/>
          <w:i/>
          <w:lang w:val="bs-Latn-BA"/>
        </w:rPr>
        <w:t>em mi</w:t>
      </w:r>
      <w:r w:rsidR="005E56E1" w:rsidRPr="00495271">
        <w:rPr>
          <w:rFonts w:asciiTheme="minorHAnsi" w:hAnsiTheme="minorHAnsi" w:cstheme="minorHAnsi"/>
          <w:i/>
          <w:lang w:val="bs-Latn-BA"/>
        </w:rPr>
        <w:t>š</w:t>
      </w:r>
      <w:r w:rsidR="003544EA" w:rsidRPr="00495271">
        <w:rPr>
          <w:rFonts w:asciiTheme="minorHAnsi" w:hAnsiTheme="minorHAnsi" w:cstheme="minorHAnsi"/>
          <w:i/>
          <w:lang w:val="bs-Latn-BA"/>
        </w:rPr>
        <w:t>ljenju, finan</w:t>
      </w:r>
      <w:r w:rsidR="005E56E1" w:rsidRPr="00495271">
        <w:rPr>
          <w:rFonts w:asciiTheme="minorHAnsi" w:hAnsiTheme="minorHAnsi" w:cstheme="minorHAnsi"/>
          <w:i/>
          <w:lang w:val="bs-Latn-BA"/>
        </w:rPr>
        <w:t>s</w:t>
      </w:r>
      <w:r w:rsidR="003544EA" w:rsidRPr="00495271">
        <w:rPr>
          <w:rFonts w:asciiTheme="minorHAnsi" w:hAnsiTheme="minorHAnsi" w:cstheme="minorHAnsi"/>
          <w:i/>
          <w:lang w:val="bs-Latn-BA"/>
        </w:rPr>
        <w:t>ijsk</w:t>
      </w:r>
      <w:r w:rsidR="005E56E1" w:rsidRPr="00495271">
        <w:rPr>
          <w:rFonts w:asciiTheme="minorHAnsi" w:hAnsiTheme="minorHAnsi" w:cstheme="minorHAnsi"/>
          <w:i/>
          <w:lang w:val="bs-Latn-BA"/>
        </w:rPr>
        <w:t>i</w:t>
      </w:r>
      <w:r w:rsidR="003544EA" w:rsidRPr="00495271">
        <w:rPr>
          <w:rFonts w:asciiTheme="minorHAnsi" w:hAnsiTheme="minorHAnsi" w:cstheme="minorHAnsi"/>
          <w:i/>
          <w:lang w:val="bs-Latn-BA"/>
        </w:rPr>
        <w:t xml:space="preserve"> </w:t>
      </w:r>
      <w:r w:rsidR="005E56E1" w:rsidRPr="00495271">
        <w:rPr>
          <w:rFonts w:asciiTheme="minorHAnsi" w:hAnsiTheme="minorHAnsi" w:cstheme="minorHAnsi"/>
          <w:i/>
          <w:lang w:val="bs-Latn-BA"/>
        </w:rPr>
        <w:t>izvještaji</w:t>
      </w:r>
      <w:r w:rsidR="003544EA" w:rsidRPr="00495271">
        <w:rPr>
          <w:rFonts w:asciiTheme="minorHAnsi" w:hAnsiTheme="minorHAnsi" w:cstheme="minorHAnsi"/>
          <w:i/>
          <w:lang w:val="bs-Latn-BA"/>
        </w:rPr>
        <w:t xml:space="preserve"> istinito i fer prikazuju, u svim materijalnim aspe</w:t>
      </w:r>
      <w:r w:rsidR="005E56E1" w:rsidRPr="00495271">
        <w:rPr>
          <w:rFonts w:asciiTheme="minorHAnsi" w:hAnsiTheme="minorHAnsi" w:cstheme="minorHAnsi"/>
          <w:i/>
          <w:lang w:val="bs-Latn-BA"/>
        </w:rPr>
        <w:t>k</w:t>
      </w:r>
      <w:r w:rsidR="003544EA" w:rsidRPr="00495271">
        <w:rPr>
          <w:rFonts w:asciiTheme="minorHAnsi" w:hAnsiTheme="minorHAnsi" w:cstheme="minorHAnsi"/>
          <w:i/>
          <w:lang w:val="bs-Latn-BA"/>
        </w:rPr>
        <w:t>tima, finan</w:t>
      </w:r>
      <w:r w:rsidR="005E56E1" w:rsidRPr="00495271">
        <w:rPr>
          <w:rFonts w:asciiTheme="minorHAnsi" w:hAnsiTheme="minorHAnsi" w:cstheme="minorHAnsi"/>
          <w:i/>
          <w:lang w:val="bs-Latn-BA"/>
        </w:rPr>
        <w:t>sijski</w:t>
      </w:r>
      <w:r w:rsidR="003544EA" w:rsidRPr="00495271">
        <w:rPr>
          <w:rFonts w:asciiTheme="minorHAnsi" w:hAnsiTheme="minorHAnsi" w:cstheme="minorHAnsi"/>
          <w:i/>
          <w:lang w:val="bs-Latn-BA"/>
        </w:rPr>
        <w:t xml:space="preserve"> polo</w:t>
      </w:r>
      <w:r w:rsidR="005E56E1" w:rsidRPr="00495271">
        <w:rPr>
          <w:rFonts w:asciiTheme="minorHAnsi" w:hAnsiTheme="minorHAnsi" w:cstheme="minorHAnsi"/>
          <w:i/>
          <w:lang w:val="bs-Latn-BA"/>
        </w:rPr>
        <w:t>ž</w:t>
      </w:r>
      <w:r w:rsidR="003544EA" w:rsidRPr="00495271">
        <w:rPr>
          <w:rFonts w:asciiTheme="minorHAnsi" w:hAnsiTheme="minorHAnsi" w:cstheme="minorHAnsi"/>
          <w:i/>
          <w:lang w:val="bs-Latn-BA"/>
        </w:rPr>
        <w:t>aj Minista</w:t>
      </w:r>
      <w:r w:rsidR="005E56E1" w:rsidRPr="00495271">
        <w:rPr>
          <w:rFonts w:asciiTheme="minorHAnsi" w:hAnsiTheme="minorHAnsi" w:cstheme="minorHAnsi"/>
          <w:i/>
          <w:lang w:val="bs-Latn-BA"/>
        </w:rPr>
        <w:t>rstva</w:t>
      </w:r>
      <w:r w:rsidR="003544EA" w:rsidRPr="00495271">
        <w:rPr>
          <w:rFonts w:asciiTheme="minorHAnsi" w:hAnsiTheme="minorHAnsi" w:cstheme="minorHAnsi"/>
          <w:i/>
          <w:lang w:val="bs-Latn-BA"/>
        </w:rPr>
        <w:t xml:space="preserve"> na 31</w:t>
      </w:r>
      <w:r w:rsidR="005E56E1" w:rsidRPr="00495271">
        <w:rPr>
          <w:rFonts w:asciiTheme="minorHAnsi" w:hAnsiTheme="minorHAnsi" w:cstheme="minorHAnsi"/>
          <w:i/>
          <w:lang w:val="bs-Latn-BA"/>
        </w:rPr>
        <w:t>.</w:t>
      </w:r>
      <w:r w:rsidR="003544EA" w:rsidRPr="00495271">
        <w:rPr>
          <w:rFonts w:asciiTheme="minorHAnsi" w:hAnsiTheme="minorHAnsi" w:cstheme="minorHAnsi"/>
          <w:i/>
          <w:lang w:val="bs-Latn-BA"/>
        </w:rPr>
        <w:t>12.2020.</w:t>
      </w:r>
      <w:r w:rsidR="005E56E1" w:rsidRPr="00495271">
        <w:rPr>
          <w:rFonts w:asciiTheme="minorHAnsi" w:hAnsiTheme="minorHAnsi" w:cstheme="minorHAnsi"/>
          <w:i/>
          <w:lang w:val="bs-Latn-BA"/>
        </w:rPr>
        <w:t>g</w:t>
      </w:r>
      <w:r w:rsidR="003544EA" w:rsidRPr="00495271">
        <w:rPr>
          <w:rFonts w:asciiTheme="minorHAnsi" w:hAnsiTheme="minorHAnsi" w:cstheme="minorHAnsi"/>
          <w:i/>
          <w:lang w:val="bs-Latn-BA"/>
        </w:rPr>
        <w:t>odine i izv</w:t>
      </w:r>
      <w:r w:rsidR="005E56E1" w:rsidRPr="00495271">
        <w:rPr>
          <w:rFonts w:asciiTheme="minorHAnsi" w:hAnsiTheme="minorHAnsi" w:cstheme="minorHAnsi"/>
          <w:i/>
          <w:lang w:val="bs-Latn-BA"/>
        </w:rPr>
        <w:t>rš</w:t>
      </w:r>
      <w:r w:rsidR="003544EA" w:rsidRPr="00495271">
        <w:rPr>
          <w:rFonts w:asciiTheme="minorHAnsi" w:hAnsiTheme="minorHAnsi" w:cstheme="minorHAnsi"/>
          <w:i/>
          <w:lang w:val="bs-Latn-BA"/>
        </w:rPr>
        <w:t>en</w:t>
      </w:r>
      <w:r w:rsidR="005E56E1" w:rsidRPr="00495271">
        <w:rPr>
          <w:rFonts w:asciiTheme="minorHAnsi" w:hAnsiTheme="minorHAnsi" w:cstheme="minorHAnsi"/>
          <w:i/>
          <w:lang w:val="bs-Latn-BA"/>
        </w:rPr>
        <w:t>j</w:t>
      </w:r>
      <w:r w:rsidR="003544EA" w:rsidRPr="00495271">
        <w:rPr>
          <w:rFonts w:asciiTheme="minorHAnsi" w:hAnsiTheme="minorHAnsi" w:cstheme="minorHAnsi"/>
          <w:i/>
          <w:lang w:val="bs-Latn-BA"/>
        </w:rPr>
        <w:t xml:space="preserve">e </w:t>
      </w:r>
      <w:r w:rsidR="005E56E1" w:rsidRPr="00495271">
        <w:rPr>
          <w:rFonts w:asciiTheme="minorHAnsi" w:hAnsiTheme="minorHAnsi" w:cstheme="minorHAnsi"/>
          <w:i/>
          <w:lang w:val="bs-Latn-BA"/>
        </w:rPr>
        <w:t>budžeta</w:t>
      </w:r>
      <w:r w:rsidR="003544EA" w:rsidRPr="00495271">
        <w:rPr>
          <w:rFonts w:asciiTheme="minorHAnsi" w:hAnsiTheme="minorHAnsi" w:cstheme="minorHAnsi"/>
          <w:i/>
          <w:lang w:val="bs-Latn-BA"/>
        </w:rPr>
        <w:t xml:space="preserve"> za godinu koja se zavr</w:t>
      </w:r>
      <w:r w:rsidR="005E56E1" w:rsidRPr="00495271">
        <w:rPr>
          <w:rFonts w:asciiTheme="minorHAnsi" w:hAnsiTheme="minorHAnsi" w:cstheme="minorHAnsi"/>
          <w:i/>
          <w:lang w:val="bs-Latn-BA"/>
        </w:rPr>
        <w:t>š</w:t>
      </w:r>
      <w:r w:rsidR="003544EA" w:rsidRPr="00495271">
        <w:rPr>
          <w:rFonts w:asciiTheme="minorHAnsi" w:hAnsiTheme="minorHAnsi" w:cstheme="minorHAnsi"/>
          <w:i/>
          <w:lang w:val="bs-Latn-BA"/>
        </w:rPr>
        <w:t xml:space="preserve">ava na taj dan, </w:t>
      </w:r>
      <w:r w:rsidR="005E56E1" w:rsidRPr="00495271">
        <w:rPr>
          <w:rFonts w:asciiTheme="minorHAnsi" w:hAnsiTheme="minorHAnsi" w:cstheme="minorHAnsi"/>
          <w:i/>
          <w:lang w:val="bs-Latn-BA"/>
        </w:rPr>
        <w:t>u skladu sa prihvaćenim</w:t>
      </w:r>
      <w:r w:rsidR="003544EA" w:rsidRPr="00495271">
        <w:rPr>
          <w:rFonts w:asciiTheme="minorHAnsi" w:hAnsiTheme="minorHAnsi" w:cstheme="minorHAnsi"/>
          <w:i/>
          <w:lang w:val="bs-Latn-BA"/>
        </w:rPr>
        <w:t xml:space="preserve"> okvir</w:t>
      </w:r>
      <w:r w:rsidR="005E56E1" w:rsidRPr="00495271">
        <w:rPr>
          <w:rFonts w:asciiTheme="minorHAnsi" w:hAnsiTheme="minorHAnsi" w:cstheme="minorHAnsi"/>
          <w:i/>
          <w:lang w:val="bs-Latn-BA"/>
        </w:rPr>
        <w:t>om</w:t>
      </w:r>
      <w:r w:rsidR="003544EA" w:rsidRPr="00495271">
        <w:rPr>
          <w:rFonts w:asciiTheme="minorHAnsi" w:hAnsiTheme="minorHAnsi" w:cstheme="minorHAnsi"/>
          <w:i/>
          <w:lang w:val="bs-Latn-BA"/>
        </w:rPr>
        <w:t xml:space="preserve"> finan</w:t>
      </w:r>
      <w:r w:rsidR="005E56E1" w:rsidRPr="00495271">
        <w:rPr>
          <w:rFonts w:asciiTheme="minorHAnsi" w:hAnsiTheme="minorHAnsi" w:cstheme="minorHAnsi"/>
          <w:i/>
          <w:lang w:val="bs-Latn-BA"/>
        </w:rPr>
        <w:t>s</w:t>
      </w:r>
      <w:r w:rsidR="003544EA" w:rsidRPr="00495271">
        <w:rPr>
          <w:rFonts w:asciiTheme="minorHAnsi" w:hAnsiTheme="minorHAnsi" w:cstheme="minorHAnsi"/>
          <w:i/>
          <w:lang w:val="bs-Latn-BA"/>
        </w:rPr>
        <w:t>ijskog izvje</w:t>
      </w:r>
      <w:r w:rsidR="005E56E1" w:rsidRPr="00495271">
        <w:rPr>
          <w:rFonts w:asciiTheme="minorHAnsi" w:hAnsiTheme="minorHAnsi" w:cstheme="minorHAnsi"/>
          <w:i/>
          <w:lang w:val="bs-Latn-BA"/>
        </w:rPr>
        <w:t>šta</w:t>
      </w:r>
      <w:r w:rsidR="003544EA" w:rsidRPr="00495271">
        <w:rPr>
          <w:rFonts w:asciiTheme="minorHAnsi" w:hAnsiTheme="minorHAnsi" w:cstheme="minorHAnsi"/>
          <w:i/>
          <w:lang w:val="bs-Latn-BA"/>
        </w:rPr>
        <w:t>vanja.</w:t>
      </w:r>
      <w:r w:rsidR="005E56E1" w:rsidRPr="00495271">
        <w:rPr>
          <w:rFonts w:asciiTheme="minorHAnsi" w:hAnsiTheme="minorHAnsi" w:cstheme="minorHAnsi"/>
          <w:i/>
          <w:lang w:val="bs-Latn-BA"/>
        </w:rPr>
        <w:t>“</w:t>
      </w:r>
      <w:r w:rsidRPr="00495271">
        <w:rPr>
          <w:rFonts w:asciiTheme="minorHAnsi" w:hAnsiTheme="minorHAnsi" w:cstheme="minorHAnsi"/>
          <w:i/>
          <w:lang w:val="bs-Latn-BA"/>
        </w:rPr>
        <w:t xml:space="preserve"> Nadalje, z</w:t>
      </w:r>
      <w:r w:rsidR="005E56E1" w:rsidRPr="00495271">
        <w:rPr>
          <w:rFonts w:asciiTheme="minorHAnsi" w:hAnsiTheme="minorHAnsi" w:cstheme="minorHAnsi"/>
          <w:b/>
          <w:bCs/>
          <w:lang w:val="bs-Latn-BA"/>
        </w:rPr>
        <w:t>a izvještaj o reviziji usklađenosti</w:t>
      </w:r>
      <w:r w:rsidR="005E56E1" w:rsidRPr="00495271">
        <w:rPr>
          <w:rFonts w:asciiTheme="minorHAnsi" w:hAnsiTheme="minorHAnsi" w:cstheme="minorHAnsi"/>
          <w:bCs/>
          <w:lang w:val="bs-Latn-BA"/>
        </w:rPr>
        <w:t xml:space="preserve"> koji obuhvaća </w:t>
      </w:r>
      <w:r w:rsidR="005E56E1" w:rsidRPr="00495271">
        <w:rPr>
          <w:rFonts w:asciiTheme="minorHAnsi" w:hAnsiTheme="minorHAnsi" w:cstheme="minorHAnsi"/>
          <w:lang w:val="bs-Latn-BA"/>
        </w:rPr>
        <w:t xml:space="preserve">reviziju uskladenosti aktivnosti, finansijskih transakcija i informacija sa relevantnim zakonima i drugim propisima, </w:t>
      </w:r>
      <w:r w:rsidR="005E56E1" w:rsidRPr="00495271">
        <w:rPr>
          <w:rFonts w:asciiTheme="minorHAnsi" w:hAnsiTheme="minorHAnsi" w:cstheme="minorHAnsi"/>
          <w:b/>
          <w:lang w:val="bs-Latn-BA"/>
        </w:rPr>
        <w:t>dato je mišljenje sa rezervom</w:t>
      </w:r>
      <w:r w:rsidR="005E56E1" w:rsidRPr="00495271">
        <w:rPr>
          <w:rFonts w:asciiTheme="minorHAnsi" w:hAnsiTheme="minorHAnsi" w:cstheme="minorHAnsi"/>
          <w:lang w:val="bs-Latn-BA"/>
        </w:rPr>
        <w:t xml:space="preserve"> koje glasi:  </w:t>
      </w:r>
      <w:r w:rsidR="005E56E1" w:rsidRPr="00495271">
        <w:rPr>
          <w:rFonts w:asciiTheme="minorHAnsi" w:hAnsiTheme="minorHAnsi" w:cstheme="minorHAnsi"/>
          <w:i/>
          <w:lang w:val="bs-Latn-BA"/>
        </w:rPr>
        <w:t xml:space="preserve">„Prema našem mišljenju, osim za navedeno u </w:t>
      </w:r>
      <w:r w:rsidR="00F05FB4" w:rsidRPr="00495271">
        <w:rPr>
          <w:rFonts w:asciiTheme="minorHAnsi" w:hAnsiTheme="minorHAnsi" w:cstheme="minorHAnsi"/>
          <w:i/>
          <w:lang w:val="bs-Latn-BA"/>
        </w:rPr>
        <w:t>Poglavlju</w:t>
      </w:r>
      <w:r w:rsidR="005E56E1" w:rsidRPr="00495271">
        <w:rPr>
          <w:rFonts w:asciiTheme="minorHAnsi" w:hAnsiTheme="minorHAnsi" w:cstheme="minorHAnsi"/>
          <w:i/>
          <w:lang w:val="bs-Latn-BA"/>
        </w:rPr>
        <w:t xml:space="preserve"> </w:t>
      </w:r>
      <w:r w:rsidR="00F05FB4" w:rsidRPr="00495271">
        <w:rPr>
          <w:rFonts w:asciiTheme="minorHAnsi" w:hAnsiTheme="minorHAnsi" w:cstheme="minorHAnsi"/>
          <w:i/>
          <w:lang w:val="bs-Latn-BA"/>
        </w:rPr>
        <w:t>„</w:t>
      </w:r>
      <w:r w:rsidR="005E56E1" w:rsidRPr="00495271">
        <w:rPr>
          <w:rFonts w:asciiTheme="minorHAnsi" w:hAnsiTheme="minorHAnsi" w:cstheme="minorHAnsi"/>
          <w:i/>
          <w:lang w:val="bs-Latn-BA"/>
        </w:rPr>
        <w:t>Temelj z</w:t>
      </w:r>
      <w:r w:rsidR="00F05FB4" w:rsidRPr="00495271">
        <w:rPr>
          <w:rFonts w:asciiTheme="minorHAnsi" w:hAnsiTheme="minorHAnsi" w:cstheme="minorHAnsi"/>
          <w:i/>
          <w:lang w:val="bs-Latn-BA"/>
        </w:rPr>
        <w:t>a</w:t>
      </w:r>
      <w:r w:rsidR="005E56E1" w:rsidRPr="00495271">
        <w:rPr>
          <w:rFonts w:asciiTheme="minorHAnsi" w:hAnsiTheme="minorHAnsi" w:cstheme="minorHAnsi"/>
          <w:i/>
          <w:lang w:val="bs-Latn-BA"/>
        </w:rPr>
        <w:t xml:space="preserve"> mi</w:t>
      </w:r>
      <w:r w:rsidR="00F05FB4" w:rsidRPr="00495271">
        <w:rPr>
          <w:rFonts w:asciiTheme="minorHAnsi" w:hAnsiTheme="minorHAnsi" w:cstheme="minorHAnsi"/>
          <w:i/>
          <w:lang w:val="bs-Latn-BA"/>
        </w:rPr>
        <w:t>š</w:t>
      </w:r>
      <w:r w:rsidR="005E56E1" w:rsidRPr="00495271">
        <w:rPr>
          <w:rFonts w:asciiTheme="minorHAnsi" w:hAnsiTheme="minorHAnsi" w:cstheme="minorHAnsi"/>
          <w:i/>
          <w:lang w:val="bs-Latn-BA"/>
        </w:rPr>
        <w:t>ljenje s reze</w:t>
      </w:r>
      <w:r w:rsidR="00F05FB4" w:rsidRPr="00495271">
        <w:rPr>
          <w:rFonts w:asciiTheme="minorHAnsi" w:hAnsiTheme="minorHAnsi" w:cstheme="minorHAnsi"/>
          <w:i/>
          <w:lang w:val="bs-Latn-BA"/>
        </w:rPr>
        <w:t>rvom“,</w:t>
      </w:r>
      <w:r w:rsidR="005E56E1" w:rsidRPr="00495271">
        <w:rPr>
          <w:rFonts w:asciiTheme="minorHAnsi" w:hAnsiTheme="minorHAnsi" w:cstheme="minorHAnsi"/>
          <w:i/>
          <w:lang w:val="bs-Latn-BA"/>
        </w:rPr>
        <w:t xml:space="preserve"> aktivnosti, financijske transakc</w:t>
      </w:r>
      <w:r w:rsidR="00F05FB4" w:rsidRPr="00495271">
        <w:rPr>
          <w:rFonts w:asciiTheme="minorHAnsi" w:hAnsiTheme="minorHAnsi" w:cstheme="minorHAnsi"/>
          <w:i/>
          <w:lang w:val="bs-Latn-BA"/>
        </w:rPr>
        <w:t>ije</w:t>
      </w:r>
      <w:r w:rsidR="005E56E1" w:rsidRPr="00495271">
        <w:rPr>
          <w:rFonts w:asciiTheme="minorHAnsi" w:hAnsiTheme="minorHAnsi" w:cstheme="minorHAnsi"/>
          <w:i/>
          <w:lang w:val="bs-Latn-BA"/>
        </w:rPr>
        <w:t xml:space="preserve"> i informacije Ministarstva za 2020. godinu </w:t>
      </w:r>
      <w:r w:rsidR="00F05FB4" w:rsidRPr="00495271">
        <w:rPr>
          <w:rFonts w:asciiTheme="minorHAnsi" w:hAnsiTheme="minorHAnsi" w:cstheme="minorHAnsi"/>
          <w:i/>
          <w:lang w:val="bs-Latn-BA"/>
        </w:rPr>
        <w:t>su u skladu sa svim</w:t>
      </w:r>
      <w:r w:rsidR="005E56E1" w:rsidRPr="00495271">
        <w:rPr>
          <w:rFonts w:asciiTheme="minorHAnsi" w:hAnsiTheme="minorHAnsi" w:cstheme="minorHAnsi"/>
          <w:i/>
          <w:lang w:val="bs-Latn-BA"/>
        </w:rPr>
        <w:t xml:space="preserve"> materijalnim aspektima, zakonima i</w:t>
      </w:r>
      <w:r w:rsidR="00F05FB4" w:rsidRPr="00495271">
        <w:rPr>
          <w:rFonts w:asciiTheme="minorHAnsi" w:hAnsiTheme="minorHAnsi" w:cstheme="minorHAnsi"/>
          <w:i/>
          <w:lang w:val="bs-Latn-BA"/>
        </w:rPr>
        <w:t xml:space="preserve"> </w:t>
      </w:r>
      <w:r w:rsidR="005E56E1" w:rsidRPr="00495271">
        <w:rPr>
          <w:rFonts w:asciiTheme="minorHAnsi" w:hAnsiTheme="minorHAnsi" w:cstheme="minorHAnsi"/>
          <w:i/>
          <w:lang w:val="bs-Latn-BA"/>
        </w:rPr>
        <w:t>drugim propisima koji su definirani kao kriteriji za da</w:t>
      </w:r>
      <w:r w:rsidR="00F05FB4" w:rsidRPr="00495271">
        <w:rPr>
          <w:rFonts w:asciiTheme="minorHAnsi" w:hAnsiTheme="minorHAnsi" w:cstheme="minorHAnsi"/>
          <w:i/>
          <w:lang w:val="bs-Latn-BA"/>
        </w:rPr>
        <w:t>t</w:t>
      </w:r>
      <w:r w:rsidR="005E56E1" w:rsidRPr="00495271">
        <w:rPr>
          <w:rFonts w:asciiTheme="minorHAnsi" w:hAnsiTheme="minorHAnsi" w:cstheme="minorHAnsi"/>
          <w:i/>
          <w:lang w:val="bs-Latn-BA"/>
        </w:rPr>
        <w:t>u reviziju.</w:t>
      </w:r>
      <w:r w:rsidR="00F05FB4" w:rsidRPr="00495271">
        <w:rPr>
          <w:rFonts w:asciiTheme="minorHAnsi" w:hAnsiTheme="minorHAnsi" w:cstheme="minorHAnsi"/>
          <w:i/>
          <w:lang w:val="bs-Latn-BA"/>
        </w:rPr>
        <w:t>“</w:t>
      </w:r>
    </w:p>
    <w:p w:rsidR="00A16BDD" w:rsidRPr="00495271" w:rsidRDefault="00F05FB4" w:rsidP="005E56E1">
      <w:pPr>
        <w:jc w:val="both"/>
        <w:rPr>
          <w:rFonts w:asciiTheme="minorHAnsi" w:hAnsiTheme="minorHAnsi" w:cstheme="minorHAnsi"/>
          <w:lang w:val="bs-Latn-BA"/>
        </w:rPr>
      </w:pPr>
      <w:r w:rsidRPr="00495271">
        <w:rPr>
          <w:rFonts w:asciiTheme="minorHAnsi" w:hAnsiTheme="minorHAnsi" w:cstheme="minorHAnsi"/>
          <w:lang w:val="bs-Latn-BA"/>
        </w:rPr>
        <w:t xml:space="preserve">U Konačnom revizorskom izvještaju sačinjen je rezime datih preporuka za unapređenje procesa, aktivnosti, finansijskih transakcija i informacija u izvršavanju poslova iz nadležnosti </w:t>
      </w:r>
      <w:r w:rsidR="006E5520" w:rsidRPr="00495271">
        <w:rPr>
          <w:rFonts w:asciiTheme="minorHAnsi" w:hAnsiTheme="minorHAnsi" w:cstheme="minorHAnsi"/>
          <w:lang w:val="bs-Latn-BA"/>
        </w:rPr>
        <w:t>Ministarstva</w:t>
      </w:r>
      <w:r w:rsidR="00A16BDD" w:rsidRPr="00495271">
        <w:rPr>
          <w:rFonts w:asciiTheme="minorHAnsi" w:hAnsiTheme="minorHAnsi" w:cstheme="minorHAnsi"/>
          <w:lang w:val="bs-Latn-BA"/>
        </w:rPr>
        <w:t>.</w:t>
      </w:r>
    </w:p>
    <w:p w:rsidR="00F05FB4" w:rsidRPr="00495271" w:rsidRDefault="00A16BDD" w:rsidP="006E5520">
      <w:pPr>
        <w:pStyle w:val="BodyText"/>
        <w:rPr>
          <w:rFonts w:asciiTheme="minorHAnsi" w:hAnsiTheme="minorHAnsi" w:cstheme="minorHAnsi"/>
          <w:i/>
          <w:color w:val="auto"/>
          <w:sz w:val="22"/>
          <w:szCs w:val="22"/>
          <w:lang w:val="bs-Latn-BA"/>
        </w:rPr>
      </w:pPr>
      <w:r w:rsidRPr="00495271">
        <w:rPr>
          <w:rFonts w:asciiTheme="minorHAnsi" w:hAnsiTheme="minorHAnsi" w:cstheme="minorHAnsi"/>
          <w:color w:val="auto"/>
          <w:sz w:val="22"/>
          <w:szCs w:val="22"/>
          <w:lang w:val="bs-Latn-BA"/>
        </w:rPr>
        <w:t xml:space="preserve">S tim u vezi, </w:t>
      </w:r>
      <w:r w:rsidR="00ED6114" w:rsidRPr="00495271">
        <w:rPr>
          <w:rFonts w:asciiTheme="minorHAnsi" w:hAnsiTheme="minorHAnsi" w:cstheme="minorHAnsi"/>
          <w:b/>
          <w:i/>
          <w:color w:val="auto"/>
          <w:sz w:val="22"/>
          <w:szCs w:val="22"/>
          <w:lang w:val="bs-Latn-BA"/>
        </w:rPr>
        <w:t xml:space="preserve">postupajući u skladu sa tačkom 7. </w:t>
      </w:r>
      <w:r w:rsidR="000B5292" w:rsidRPr="00495271">
        <w:rPr>
          <w:rFonts w:asciiTheme="minorHAnsi" w:hAnsiTheme="minorHAnsi" w:cstheme="minorHAnsi"/>
          <w:b/>
          <w:i/>
          <w:color w:val="auto"/>
          <w:sz w:val="22"/>
          <w:szCs w:val="22"/>
          <w:lang w:val="bs-Latn-BA"/>
        </w:rPr>
        <w:t>Zaključka</w:t>
      </w:r>
      <w:r w:rsidR="000B5292" w:rsidRPr="00495271">
        <w:rPr>
          <w:rFonts w:asciiTheme="minorHAnsi" w:hAnsiTheme="minorHAnsi" w:cstheme="minorHAnsi"/>
          <w:color w:val="auto"/>
          <w:sz w:val="22"/>
          <w:szCs w:val="22"/>
          <w:lang w:val="bs-Latn-BA"/>
        </w:rPr>
        <w:t xml:space="preserve"> sadržanog u </w:t>
      </w:r>
      <w:r w:rsidR="006E5520" w:rsidRPr="00495271">
        <w:rPr>
          <w:rFonts w:asciiTheme="minorHAnsi" w:hAnsiTheme="minorHAnsi" w:cstheme="minorHAnsi"/>
          <w:color w:val="auto"/>
          <w:sz w:val="22"/>
          <w:szCs w:val="22"/>
          <w:lang w:val="bs-Latn-BA"/>
        </w:rPr>
        <w:t>Izvještaj</w:t>
      </w:r>
      <w:r w:rsidR="000B5292" w:rsidRPr="00495271">
        <w:rPr>
          <w:rFonts w:asciiTheme="minorHAnsi" w:hAnsiTheme="minorHAnsi" w:cstheme="minorHAnsi"/>
          <w:color w:val="auto"/>
          <w:sz w:val="22"/>
          <w:szCs w:val="22"/>
          <w:lang w:val="bs-Latn-BA"/>
        </w:rPr>
        <w:t>u</w:t>
      </w:r>
      <w:r w:rsidRPr="00495271">
        <w:rPr>
          <w:rFonts w:asciiTheme="minorHAnsi" w:hAnsiTheme="minorHAnsi" w:cstheme="minorHAnsi"/>
          <w:color w:val="auto"/>
          <w:sz w:val="22"/>
          <w:szCs w:val="22"/>
          <w:lang w:val="bs-Latn-BA"/>
        </w:rPr>
        <w:t xml:space="preserve"> Parlamentarne komisije </w:t>
      </w:r>
      <w:r w:rsidR="006E5520" w:rsidRPr="00495271">
        <w:rPr>
          <w:rFonts w:asciiTheme="minorHAnsi" w:hAnsiTheme="minorHAnsi" w:cstheme="minorHAnsi"/>
          <w:color w:val="auto"/>
          <w:sz w:val="22"/>
          <w:szCs w:val="22"/>
          <w:lang w:val="bs-Latn-BA"/>
        </w:rPr>
        <w:t>odgovorne za reviziju Predstavničkog Doma i Doma naroda Parlamenta Federacije Bosne i Hercegovine broj:</w:t>
      </w:r>
      <w:r w:rsidR="00DD250D" w:rsidRPr="00495271">
        <w:rPr>
          <w:rFonts w:asciiTheme="minorHAnsi" w:hAnsiTheme="minorHAnsi" w:cstheme="minorHAnsi"/>
          <w:color w:val="auto"/>
          <w:sz w:val="22"/>
          <w:szCs w:val="22"/>
          <w:lang w:val="bs-Latn-BA"/>
        </w:rPr>
        <w:t xml:space="preserve"> </w:t>
      </w:r>
      <w:r w:rsidR="006E5520" w:rsidRPr="00495271">
        <w:rPr>
          <w:rFonts w:asciiTheme="minorHAnsi" w:hAnsiTheme="minorHAnsi" w:cstheme="minorHAnsi"/>
          <w:color w:val="auto"/>
          <w:sz w:val="22"/>
          <w:szCs w:val="22"/>
          <w:lang w:val="bs-Latn-BA"/>
        </w:rPr>
        <w:t xml:space="preserve">04/1-02-227/22-1 od 28.01.2022.godine, </w:t>
      </w:r>
      <w:r w:rsidR="006E5520" w:rsidRPr="00495271">
        <w:rPr>
          <w:rFonts w:asciiTheme="minorHAnsi" w:hAnsiTheme="minorHAnsi" w:cstheme="minorHAnsi"/>
          <w:b/>
          <w:i/>
          <w:color w:val="auto"/>
          <w:sz w:val="22"/>
          <w:szCs w:val="22"/>
          <w:lang w:val="bs-Latn-BA"/>
        </w:rPr>
        <w:t>sačinjen je ovaj Plan i program aktivnosti i mjera</w:t>
      </w:r>
      <w:r w:rsidRPr="00495271">
        <w:rPr>
          <w:rFonts w:asciiTheme="minorHAnsi" w:hAnsiTheme="minorHAnsi" w:cstheme="minorHAnsi"/>
          <w:b/>
          <w:i/>
          <w:color w:val="auto"/>
          <w:sz w:val="22"/>
          <w:szCs w:val="22"/>
          <w:lang w:val="bs-Latn-BA"/>
        </w:rPr>
        <w:t xml:space="preserve"> </w:t>
      </w:r>
      <w:r w:rsidR="006E5520" w:rsidRPr="00495271">
        <w:rPr>
          <w:rFonts w:asciiTheme="minorHAnsi" w:hAnsiTheme="minorHAnsi" w:cstheme="minorHAnsi"/>
          <w:b/>
          <w:i/>
          <w:color w:val="auto"/>
          <w:sz w:val="22"/>
          <w:szCs w:val="22"/>
        </w:rPr>
        <w:t>vezanih za  izvršavanje  preporuka po konačnom revizorskom Izvještaju o finansijskoj reviziji Ministarstva za 2020.godinu</w:t>
      </w:r>
      <w:r w:rsidR="006E5520" w:rsidRPr="00495271">
        <w:rPr>
          <w:rFonts w:asciiTheme="minorHAnsi" w:hAnsiTheme="minorHAnsi" w:cstheme="minorHAnsi"/>
          <w:b/>
          <w:i/>
          <w:color w:val="auto"/>
          <w:sz w:val="22"/>
          <w:szCs w:val="22"/>
          <w:lang w:val="bs-Latn-BA"/>
        </w:rPr>
        <w:t>.</w:t>
      </w:r>
    </w:p>
    <w:p w:rsidR="005E56E1" w:rsidRPr="00495271" w:rsidRDefault="005E56E1" w:rsidP="005E56E1">
      <w:pPr>
        <w:autoSpaceDE w:val="0"/>
        <w:autoSpaceDN w:val="0"/>
        <w:adjustRightInd w:val="0"/>
        <w:spacing w:after="0" w:line="240" w:lineRule="auto"/>
        <w:rPr>
          <w:rFonts w:asciiTheme="minorHAnsi" w:hAnsiTheme="minorHAnsi" w:cstheme="minorHAnsi"/>
          <w:bCs/>
          <w:i/>
          <w:lang w:val="bs-Latn-BA"/>
        </w:rPr>
      </w:pPr>
    </w:p>
    <w:p w:rsidR="00DD250D" w:rsidRPr="00495271" w:rsidRDefault="007B2A2F" w:rsidP="00B46BB4">
      <w:pPr>
        <w:jc w:val="both"/>
        <w:rPr>
          <w:rFonts w:asciiTheme="minorHAnsi" w:hAnsiTheme="minorHAnsi" w:cstheme="minorHAnsi"/>
          <w:b/>
          <w:i/>
        </w:rPr>
      </w:pPr>
      <w:r w:rsidRPr="00495271">
        <w:rPr>
          <w:rFonts w:asciiTheme="minorHAnsi" w:hAnsiTheme="minorHAnsi" w:cstheme="minorHAnsi"/>
          <w:b/>
          <w:bCs/>
          <w:i/>
          <w:lang w:val="bs-Latn-BA"/>
        </w:rPr>
        <w:t>Radi bolje preglednosti</w:t>
      </w:r>
      <w:r w:rsidR="006E5520" w:rsidRPr="00495271">
        <w:rPr>
          <w:rFonts w:asciiTheme="minorHAnsi" w:hAnsiTheme="minorHAnsi" w:cstheme="minorHAnsi"/>
          <w:b/>
          <w:bCs/>
          <w:i/>
          <w:lang w:val="bs-Latn-BA"/>
        </w:rPr>
        <w:t>,</w:t>
      </w:r>
      <w:r w:rsidRPr="00495271">
        <w:rPr>
          <w:rFonts w:asciiTheme="minorHAnsi" w:hAnsiTheme="minorHAnsi" w:cstheme="minorHAnsi"/>
          <w:b/>
          <w:bCs/>
          <w:i/>
          <w:lang w:val="bs-Latn-BA"/>
        </w:rPr>
        <w:t xml:space="preserve"> </w:t>
      </w:r>
      <w:r w:rsidR="00ED6114" w:rsidRPr="00AE3FBE">
        <w:rPr>
          <w:rFonts w:asciiTheme="minorHAnsi" w:hAnsiTheme="minorHAnsi" w:cstheme="minorHAnsi"/>
          <w:bCs/>
          <w:lang w:val="bs-Latn-BA"/>
        </w:rPr>
        <w:t>u ovom Planu</w:t>
      </w:r>
      <w:r w:rsidR="009A0096" w:rsidRPr="00AE3FBE">
        <w:rPr>
          <w:rFonts w:asciiTheme="minorHAnsi" w:hAnsiTheme="minorHAnsi" w:cstheme="minorHAnsi"/>
          <w:bCs/>
          <w:lang w:val="bs-Latn-BA"/>
        </w:rPr>
        <w:t xml:space="preserve"> i programu aktivnosti</w:t>
      </w:r>
      <w:r w:rsidR="00AE3FBE" w:rsidRPr="00AE3FBE">
        <w:rPr>
          <w:rFonts w:asciiTheme="minorHAnsi" w:hAnsiTheme="minorHAnsi" w:cstheme="minorHAnsi"/>
          <w:bCs/>
          <w:lang w:val="bs-Latn-BA"/>
        </w:rPr>
        <w:t xml:space="preserve"> i mjera</w:t>
      </w:r>
      <w:r w:rsidR="00ED6114" w:rsidRPr="00AE3FBE">
        <w:rPr>
          <w:rFonts w:asciiTheme="minorHAnsi" w:hAnsiTheme="minorHAnsi" w:cstheme="minorHAnsi"/>
          <w:bCs/>
          <w:lang w:val="bs-Latn-BA"/>
        </w:rPr>
        <w:t>,</w:t>
      </w:r>
      <w:r w:rsidR="00ED6114" w:rsidRPr="00495271">
        <w:rPr>
          <w:rFonts w:asciiTheme="minorHAnsi" w:hAnsiTheme="minorHAnsi" w:cstheme="minorHAnsi"/>
          <w:b/>
          <w:bCs/>
          <w:i/>
          <w:lang w:val="bs-Latn-BA"/>
        </w:rPr>
        <w:t xml:space="preserve"> </w:t>
      </w:r>
      <w:r w:rsidRPr="00495271">
        <w:rPr>
          <w:rFonts w:asciiTheme="minorHAnsi" w:hAnsiTheme="minorHAnsi" w:cstheme="minorHAnsi"/>
          <w:b/>
          <w:bCs/>
          <w:i/>
          <w:lang w:val="bs-Latn-BA"/>
        </w:rPr>
        <w:t>preporuke po Konačnom revizorskom Izvještaju</w:t>
      </w:r>
      <w:r w:rsidR="006E5520" w:rsidRPr="00495271">
        <w:rPr>
          <w:rFonts w:asciiTheme="minorHAnsi" w:hAnsiTheme="minorHAnsi" w:cstheme="minorHAnsi"/>
          <w:bCs/>
          <w:lang w:val="bs-Latn-BA"/>
        </w:rPr>
        <w:t xml:space="preserve"> </w:t>
      </w:r>
      <w:r w:rsidR="006E5520" w:rsidRPr="00495271">
        <w:rPr>
          <w:rFonts w:asciiTheme="minorHAnsi" w:hAnsiTheme="minorHAnsi" w:cstheme="minorHAnsi"/>
        </w:rPr>
        <w:t xml:space="preserve">o finansijskoj reviziji Ministarstva za 2020.godinu sa uključenim obrazloženjima u vezi </w:t>
      </w:r>
      <w:r w:rsidR="008948F2" w:rsidRPr="00495271">
        <w:rPr>
          <w:rFonts w:asciiTheme="minorHAnsi" w:hAnsiTheme="minorHAnsi" w:cstheme="minorHAnsi"/>
        </w:rPr>
        <w:t>aktivnosti</w:t>
      </w:r>
      <w:r w:rsidR="00ED6114" w:rsidRPr="00495271">
        <w:rPr>
          <w:rFonts w:asciiTheme="minorHAnsi" w:hAnsiTheme="minorHAnsi" w:cstheme="minorHAnsi"/>
        </w:rPr>
        <w:t xml:space="preserve"> Federalnog ministarstva finansija-financija</w:t>
      </w:r>
      <w:r w:rsidR="008948F2" w:rsidRPr="00495271">
        <w:rPr>
          <w:rFonts w:asciiTheme="minorHAnsi" w:hAnsiTheme="minorHAnsi" w:cstheme="minorHAnsi"/>
        </w:rPr>
        <w:t xml:space="preserve"> koje </w:t>
      </w:r>
      <w:r w:rsidR="004B5E80" w:rsidRPr="00495271">
        <w:rPr>
          <w:rFonts w:asciiTheme="minorHAnsi" w:hAnsiTheme="minorHAnsi" w:cstheme="minorHAnsi"/>
        </w:rPr>
        <w:t xml:space="preserve">će </w:t>
      </w:r>
      <w:r w:rsidR="008948F2" w:rsidRPr="00495271">
        <w:rPr>
          <w:rFonts w:asciiTheme="minorHAnsi" w:hAnsiTheme="minorHAnsi" w:cstheme="minorHAnsi"/>
        </w:rPr>
        <w:t>se provesti u cilju</w:t>
      </w:r>
      <w:r w:rsidR="006E5520" w:rsidRPr="00495271">
        <w:rPr>
          <w:rFonts w:asciiTheme="minorHAnsi" w:hAnsiTheme="minorHAnsi" w:cstheme="minorHAnsi"/>
        </w:rPr>
        <w:t xml:space="preserve"> realiziranja </w:t>
      </w:r>
      <w:r w:rsidR="004B5E80" w:rsidRPr="00495271">
        <w:rPr>
          <w:rFonts w:asciiTheme="minorHAnsi" w:hAnsiTheme="minorHAnsi" w:cstheme="minorHAnsi"/>
        </w:rPr>
        <w:t>nerealiziranih preporuka</w:t>
      </w:r>
      <w:r w:rsidR="00DB5075" w:rsidRPr="00495271">
        <w:rPr>
          <w:rFonts w:asciiTheme="minorHAnsi" w:hAnsiTheme="minorHAnsi" w:cstheme="minorHAnsi"/>
        </w:rPr>
        <w:t>,</w:t>
      </w:r>
      <w:r w:rsidR="004B5E80" w:rsidRPr="00495271">
        <w:rPr>
          <w:rFonts w:asciiTheme="minorHAnsi" w:hAnsiTheme="minorHAnsi" w:cstheme="minorHAnsi"/>
        </w:rPr>
        <w:t xml:space="preserve"> zatim obrazloženjima vezanim za</w:t>
      </w:r>
      <w:r w:rsidR="006E5520" w:rsidRPr="00495271">
        <w:rPr>
          <w:rFonts w:asciiTheme="minorHAnsi" w:hAnsiTheme="minorHAnsi" w:cstheme="minorHAnsi"/>
        </w:rPr>
        <w:t xml:space="preserve"> </w:t>
      </w:r>
      <w:r w:rsidR="004B5E80" w:rsidRPr="00495271">
        <w:rPr>
          <w:rFonts w:asciiTheme="minorHAnsi" w:hAnsiTheme="minorHAnsi" w:cstheme="minorHAnsi"/>
        </w:rPr>
        <w:t xml:space="preserve">vrstu i obim aktivnosti provedenim na realizaciji preporuka </w:t>
      </w:r>
      <w:r w:rsidR="00C51B0F">
        <w:rPr>
          <w:rFonts w:asciiTheme="minorHAnsi" w:hAnsiTheme="minorHAnsi" w:cstheme="minorHAnsi"/>
        </w:rPr>
        <w:t xml:space="preserve">koje su do sada realizovane, </w:t>
      </w:r>
      <w:r w:rsidR="004B5E80" w:rsidRPr="00495271">
        <w:rPr>
          <w:rFonts w:asciiTheme="minorHAnsi" w:hAnsiTheme="minorHAnsi" w:cstheme="minorHAnsi"/>
        </w:rPr>
        <w:t xml:space="preserve">kao i </w:t>
      </w:r>
      <w:r w:rsidR="00DB5075" w:rsidRPr="00495271">
        <w:rPr>
          <w:rFonts w:asciiTheme="minorHAnsi" w:hAnsiTheme="minorHAnsi" w:cstheme="minorHAnsi"/>
        </w:rPr>
        <w:t>razl</w:t>
      </w:r>
      <w:r w:rsidR="004B5E80" w:rsidRPr="00495271">
        <w:rPr>
          <w:rFonts w:asciiTheme="minorHAnsi" w:hAnsiTheme="minorHAnsi" w:cstheme="minorHAnsi"/>
        </w:rPr>
        <w:t>ozima nemogućnosti postupanja</w:t>
      </w:r>
      <w:r w:rsidR="00C51B0F">
        <w:rPr>
          <w:rFonts w:asciiTheme="minorHAnsi" w:hAnsiTheme="minorHAnsi" w:cstheme="minorHAnsi"/>
        </w:rPr>
        <w:t xml:space="preserve"> po preporukama</w:t>
      </w:r>
      <w:r w:rsidR="004B5E80" w:rsidRPr="00495271">
        <w:rPr>
          <w:rFonts w:asciiTheme="minorHAnsi" w:hAnsiTheme="minorHAnsi" w:cstheme="minorHAnsi"/>
        </w:rPr>
        <w:t xml:space="preserve"> za koje </w:t>
      </w:r>
      <w:r w:rsidR="00C51B0F">
        <w:rPr>
          <w:rFonts w:asciiTheme="minorHAnsi" w:hAnsiTheme="minorHAnsi" w:cstheme="minorHAnsi"/>
        </w:rPr>
        <w:t>smatramo da su nep</w:t>
      </w:r>
      <w:r w:rsidR="004B5E80" w:rsidRPr="00495271">
        <w:rPr>
          <w:rFonts w:asciiTheme="minorHAnsi" w:hAnsiTheme="minorHAnsi" w:cstheme="minorHAnsi"/>
        </w:rPr>
        <w:t>rovodive</w:t>
      </w:r>
      <w:r w:rsidR="006E5520" w:rsidRPr="00495271">
        <w:rPr>
          <w:rFonts w:asciiTheme="minorHAnsi" w:hAnsiTheme="minorHAnsi" w:cstheme="minorHAnsi"/>
        </w:rPr>
        <w:t xml:space="preserve">, </w:t>
      </w:r>
      <w:r w:rsidR="006E5520" w:rsidRPr="00495271">
        <w:rPr>
          <w:rFonts w:asciiTheme="minorHAnsi" w:hAnsiTheme="minorHAnsi" w:cstheme="minorHAnsi"/>
          <w:b/>
          <w:i/>
        </w:rPr>
        <w:t xml:space="preserve">razvrstane su i prikazane u narednim tabelama u tri grupe i to: </w:t>
      </w:r>
    </w:p>
    <w:p w:rsidR="00DD250D" w:rsidRPr="00495271" w:rsidRDefault="00DB5075" w:rsidP="004B5E80">
      <w:pPr>
        <w:pStyle w:val="ListParagraph"/>
        <w:numPr>
          <w:ilvl w:val="0"/>
          <w:numId w:val="33"/>
        </w:numPr>
        <w:rPr>
          <w:rFonts w:asciiTheme="minorHAnsi" w:hAnsiTheme="minorHAnsi" w:cstheme="minorHAnsi"/>
          <w:b/>
        </w:rPr>
      </w:pPr>
      <w:proofErr w:type="spellStart"/>
      <w:r w:rsidRPr="00495271">
        <w:rPr>
          <w:rFonts w:asciiTheme="minorHAnsi" w:hAnsiTheme="minorHAnsi" w:cstheme="minorHAnsi"/>
          <w:b/>
        </w:rPr>
        <w:t>Preporuke</w:t>
      </w:r>
      <w:proofErr w:type="spellEnd"/>
      <w:r w:rsidRPr="00495271">
        <w:rPr>
          <w:rFonts w:asciiTheme="minorHAnsi" w:hAnsiTheme="minorHAnsi" w:cstheme="minorHAnsi"/>
          <w:b/>
        </w:rPr>
        <w:t xml:space="preserve"> </w:t>
      </w:r>
      <w:proofErr w:type="spellStart"/>
      <w:r w:rsidRPr="00495271">
        <w:rPr>
          <w:rFonts w:asciiTheme="minorHAnsi" w:hAnsiTheme="minorHAnsi" w:cstheme="minorHAnsi"/>
          <w:b/>
        </w:rPr>
        <w:t>koje</w:t>
      </w:r>
      <w:proofErr w:type="spellEnd"/>
      <w:r w:rsidRPr="00495271">
        <w:rPr>
          <w:rFonts w:asciiTheme="minorHAnsi" w:hAnsiTheme="minorHAnsi" w:cstheme="minorHAnsi"/>
          <w:b/>
        </w:rPr>
        <w:t xml:space="preserve"> </w:t>
      </w:r>
      <w:proofErr w:type="spellStart"/>
      <w:r w:rsidRPr="00495271">
        <w:rPr>
          <w:rFonts w:asciiTheme="minorHAnsi" w:hAnsiTheme="minorHAnsi" w:cstheme="minorHAnsi"/>
          <w:b/>
        </w:rPr>
        <w:t>će</w:t>
      </w:r>
      <w:proofErr w:type="spellEnd"/>
      <w:r w:rsidRPr="00495271">
        <w:rPr>
          <w:rFonts w:asciiTheme="minorHAnsi" w:hAnsiTheme="minorHAnsi" w:cstheme="minorHAnsi"/>
          <w:b/>
        </w:rPr>
        <w:t xml:space="preserve"> se </w:t>
      </w:r>
      <w:proofErr w:type="spellStart"/>
      <w:r w:rsidRPr="00495271">
        <w:rPr>
          <w:rFonts w:asciiTheme="minorHAnsi" w:hAnsiTheme="minorHAnsi" w:cstheme="minorHAnsi"/>
          <w:b/>
        </w:rPr>
        <w:t>realizirati</w:t>
      </w:r>
      <w:proofErr w:type="spellEnd"/>
      <w:r w:rsidR="00363271" w:rsidRPr="00495271">
        <w:rPr>
          <w:rFonts w:asciiTheme="minorHAnsi" w:hAnsiTheme="minorHAnsi" w:cstheme="minorHAnsi"/>
          <w:b/>
        </w:rPr>
        <w:t xml:space="preserve"> </w:t>
      </w:r>
      <w:proofErr w:type="spellStart"/>
      <w:r w:rsidR="00E24D80" w:rsidRPr="00495271">
        <w:rPr>
          <w:rFonts w:asciiTheme="minorHAnsi" w:hAnsiTheme="minorHAnsi" w:cstheme="minorHAnsi"/>
          <w:b/>
        </w:rPr>
        <w:t>ili</w:t>
      </w:r>
      <w:proofErr w:type="spellEnd"/>
      <w:r w:rsidR="00E24D80" w:rsidRPr="00495271">
        <w:rPr>
          <w:rFonts w:asciiTheme="minorHAnsi" w:hAnsiTheme="minorHAnsi" w:cstheme="minorHAnsi"/>
          <w:b/>
        </w:rPr>
        <w:t xml:space="preserve"> </w:t>
      </w:r>
      <w:proofErr w:type="spellStart"/>
      <w:r w:rsidR="00E24D80" w:rsidRPr="00495271">
        <w:rPr>
          <w:rFonts w:asciiTheme="minorHAnsi" w:hAnsiTheme="minorHAnsi" w:cstheme="minorHAnsi"/>
          <w:b/>
        </w:rPr>
        <w:t>će</w:t>
      </w:r>
      <w:proofErr w:type="spellEnd"/>
      <w:r w:rsidR="00363271" w:rsidRPr="00495271">
        <w:rPr>
          <w:rFonts w:asciiTheme="minorHAnsi" w:hAnsiTheme="minorHAnsi" w:cstheme="minorHAnsi"/>
          <w:b/>
        </w:rPr>
        <w:t xml:space="preserve"> </w:t>
      </w:r>
      <w:proofErr w:type="spellStart"/>
      <w:r w:rsidR="00363271" w:rsidRPr="00495271">
        <w:rPr>
          <w:rFonts w:asciiTheme="minorHAnsi" w:hAnsiTheme="minorHAnsi" w:cstheme="minorHAnsi"/>
          <w:b/>
        </w:rPr>
        <w:t>aktivnosti</w:t>
      </w:r>
      <w:proofErr w:type="spellEnd"/>
      <w:r w:rsidR="00363271" w:rsidRPr="00495271">
        <w:rPr>
          <w:rFonts w:asciiTheme="minorHAnsi" w:hAnsiTheme="minorHAnsi" w:cstheme="minorHAnsi"/>
          <w:b/>
        </w:rPr>
        <w:t xml:space="preserve"> </w:t>
      </w:r>
      <w:proofErr w:type="spellStart"/>
      <w:r w:rsidR="00363271" w:rsidRPr="00495271">
        <w:rPr>
          <w:rFonts w:asciiTheme="minorHAnsi" w:hAnsiTheme="minorHAnsi" w:cstheme="minorHAnsi"/>
          <w:b/>
        </w:rPr>
        <w:t>za</w:t>
      </w:r>
      <w:proofErr w:type="spellEnd"/>
      <w:r w:rsidR="00363271" w:rsidRPr="00495271">
        <w:rPr>
          <w:rFonts w:asciiTheme="minorHAnsi" w:hAnsiTheme="minorHAnsi" w:cstheme="minorHAnsi"/>
          <w:b/>
        </w:rPr>
        <w:t xml:space="preserve"> </w:t>
      </w:r>
      <w:proofErr w:type="spellStart"/>
      <w:r w:rsidR="00363271" w:rsidRPr="00495271">
        <w:rPr>
          <w:rFonts w:asciiTheme="minorHAnsi" w:hAnsiTheme="minorHAnsi" w:cstheme="minorHAnsi"/>
          <w:b/>
        </w:rPr>
        <w:t>realizaciju</w:t>
      </w:r>
      <w:proofErr w:type="spellEnd"/>
      <w:r w:rsidR="00363271" w:rsidRPr="00495271">
        <w:rPr>
          <w:rFonts w:asciiTheme="minorHAnsi" w:hAnsiTheme="minorHAnsi" w:cstheme="minorHAnsi"/>
          <w:b/>
        </w:rPr>
        <w:t xml:space="preserve"> </w:t>
      </w:r>
      <w:proofErr w:type="spellStart"/>
      <w:r w:rsidR="00363271" w:rsidRPr="00495271">
        <w:rPr>
          <w:rFonts w:asciiTheme="minorHAnsi" w:hAnsiTheme="minorHAnsi" w:cstheme="minorHAnsi"/>
          <w:b/>
        </w:rPr>
        <w:t>istih</w:t>
      </w:r>
      <w:proofErr w:type="spellEnd"/>
      <w:r w:rsidR="00E24D80" w:rsidRPr="00495271">
        <w:rPr>
          <w:rFonts w:asciiTheme="minorHAnsi" w:hAnsiTheme="minorHAnsi" w:cstheme="minorHAnsi"/>
          <w:b/>
        </w:rPr>
        <w:t xml:space="preserve"> </w:t>
      </w:r>
      <w:proofErr w:type="spellStart"/>
      <w:r w:rsidR="00E24D80" w:rsidRPr="00495271">
        <w:rPr>
          <w:rFonts w:asciiTheme="minorHAnsi" w:hAnsiTheme="minorHAnsi" w:cstheme="minorHAnsi"/>
          <w:b/>
        </w:rPr>
        <w:t>biti</w:t>
      </w:r>
      <w:proofErr w:type="spellEnd"/>
      <w:r w:rsidR="00E24D80" w:rsidRPr="00495271">
        <w:rPr>
          <w:rFonts w:asciiTheme="minorHAnsi" w:hAnsiTheme="minorHAnsi" w:cstheme="minorHAnsi"/>
          <w:b/>
        </w:rPr>
        <w:t xml:space="preserve"> </w:t>
      </w:r>
      <w:proofErr w:type="spellStart"/>
      <w:r w:rsidR="00E24D80" w:rsidRPr="00495271">
        <w:rPr>
          <w:rFonts w:asciiTheme="minorHAnsi" w:hAnsiTheme="minorHAnsi" w:cstheme="minorHAnsi"/>
          <w:b/>
        </w:rPr>
        <w:t>pokrenute</w:t>
      </w:r>
      <w:proofErr w:type="spellEnd"/>
      <w:r w:rsidR="00E24D80" w:rsidRPr="00495271">
        <w:rPr>
          <w:rFonts w:asciiTheme="minorHAnsi" w:hAnsiTheme="minorHAnsi" w:cstheme="minorHAnsi"/>
          <w:b/>
        </w:rPr>
        <w:t xml:space="preserve"> </w:t>
      </w:r>
      <w:r w:rsidRPr="00495271">
        <w:rPr>
          <w:rFonts w:asciiTheme="minorHAnsi" w:hAnsiTheme="minorHAnsi" w:cstheme="minorHAnsi"/>
          <w:b/>
        </w:rPr>
        <w:t>u 2022.godini</w:t>
      </w:r>
      <w:r w:rsidR="00DD250D" w:rsidRPr="00495271">
        <w:rPr>
          <w:rFonts w:asciiTheme="minorHAnsi" w:hAnsiTheme="minorHAnsi" w:cstheme="minorHAnsi"/>
          <w:b/>
        </w:rPr>
        <w:t xml:space="preserve"> (TABELA </w:t>
      </w:r>
      <w:r w:rsidR="004B5E80" w:rsidRPr="00495271">
        <w:rPr>
          <w:rFonts w:asciiTheme="minorHAnsi" w:hAnsiTheme="minorHAnsi" w:cstheme="minorHAnsi"/>
          <w:b/>
        </w:rPr>
        <w:t>1</w:t>
      </w:r>
      <w:r w:rsidR="00DD250D" w:rsidRPr="00495271">
        <w:rPr>
          <w:rFonts w:asciiTheme="minorHAnsi" w:hAnsiTheme="minorHAnsi" w:cstheme="minorHAnsi"/>
          <w:b/>
        </w:rPr>
        <w:t xml:space="preserve">a. </w:t>
      </w:r>
      <w:proofErr w:type="spellStart"/>
      <w:r w:rsidR="00DD250D" w:rsidRPr="00495271">
        <w:rPr>
          <w:rFonts w:asciiTheme="minorHAnsi" w:hAnsiTheme="minorHAnsi" w:cstheme="minorHAnsi"/>
          <w:b/>
        </w:rPr>
        <w:t>i</w:t>
      </w:r>
      <w:proofErr w:type="spellEnd"/>
      <w:r w:rsidR="00DD250D" w:rsidRPr="00495271">
        <w:rPr>
          <w:rFonts w:asciiTheme="minorHAnsi" w:hAnsiTheme="minorHAnsi" w:cstheme="minorHAnsi"/>
          <w:b/>
        </w:rPr>
        <w:t xml:space="preserve"> TABELA </w:t>
      </w:r>
      <w:r w:rsidR="004B5E80" w:rsidRPr="00495271">
        <w:rPr>
          <w:rFonts w:asciiTheme="minorHAnsi" w:hAnsiTheme="minorHAnsi" w:cstheme="minorHAnsi"/>
          <w:b/>
        </w:rPr>
        <w:t>1</w:t>
      </w:r>
      <w:r w:rsidR="00DD250D" w:rsidRPr="00495271">
        <w:rPr>
          <w:rFonts w:asciiTheme="minorHAnsi" w:hAnsiTheme="minorHAnsi" w:cstheme="minorHAnsi"/>
          <w:b/>
        </w:rPr>
        <w:t>b.)</w:t>
      </w:r>
    </w:p>
    <w:p w:rsidR="004B5E80" w:rsidRPr="00495271" w:rsidRDefault="004B5E80" w:rsidP="004B5E80">
      <w:pPr>
        <w:pStyle w:val="ListParagraph"/>
        <w:numPr>
          <w:ilvl w:val="0"/>
          <w:numId w:val="33"/>
        </w:numPr>
        <w:rPr>
          <w:rFonts w:asciiTheme="minorHAnsi" w:hAnsiTheme="minorHAnsi" w:cstheme="minorHAnsi"/>
          <w:b/>
        </w:rPr>
      </w:pPr>
      <w:proofErr w:type="spellStart"/>
      <w:r w:rsidRPr="00495271">
        <w:rPr>
          <w:rFonts w:asciiTheme="minorHAnsi" w:hAnsiTheme="minorHAnsi" w:cstheme="minorHAnsi"/>
          <w:b/>
        </w:rPr>
        <w:t>Realizirane</w:t>
      </w:r>
      <w:proofErr w:type="spellEnd"/>
      <w:r w:rsidRPr="00495271">
        <w:rPr>
          <w:rFonts w:asciiTheme="minorHAnsi" w:hAnsiTheme="minorHAnsi" w:cstheme="minorHAnsi"/>
          <w:b/>
        </w:rPr>
        <w:t xml:space="preserve"> </w:t>
      </w:r>
      <w:proofErr w:type="spellStart"/>
      <w:r w:rsidRPr="00495271">
        <w:rPr>
          <w:rFonts w:asciiTheme="minorHAnsi" w:hAnsiTheme="minorHAnsi" w:cstheme="minorHAnsi"/>
          <w:b/>
        </w:rPr>
        <w:t>preporuke</w:t>
      </w:r>
      <w:proofErr w:type="spellEnd"/>
      <w:r w:rsidRPr="00495271">
        <w:rPr>
          <w:rFonts w:asciiTheme="minorHAnsi" w:hAnsiTheme="minorHAnsi" w:cstheme="minorHAnsi"/>
          <w:b/>
        </w:rPr>
        <w:t xml:space="preserve"> (TABELA 2.)</w:t>
      </w:r>
    </w:p>
    <w:p w:rsidR="006E5520" w:rsidRPr="00495271" w:rsidRDefault="00EC70C9" w:rsidP="00231345">
      <w:pPr>
        <w:pStyle w:val="ListParagraph"/>
        <w:numPr>
          <w:ilvl w:val="0"/>
          <w:numId w:val="33"/>
        </w:numPr>
        <w:rPr>
          <w:rFonts w:asciiTheme="minorHAnsi" w:hAnsiTheme="minorHAnsi" w:cstheme="minorHAnsi"/>
          <w:b/>
        </w:rPr>
      </w:pPr>
      <w:proofErr w:type="spellStart"/>
      <w:r w:rsidRPr="00495271">
        <w:rPr>
          <w:rFonts w:asciiTheme="minorHAnsi" w:hAnsiTheme="minorHAnsi" w:cstheme="minorHAnsi"/>
          <w:b/>
        </w:rPr>
        <w:t>P</w:t>
      </w:r>
      <w:r w:rsidR="00DB5075" w:rsidRPr="00495271">
        <w:rPr>
          <w:rFonts w:asciiTheme="minorHAnsi" w:hAnsiTheme="minorHAnsi" w:cstheme="minorHAnsi"/>
          <w:b/>
        </w:rPr>
        <w:t>reporuke</w:t>
      </w:r>
      <w:proofErr w:type="spellEnd"/>
      <w:r w:rsidRPr="00495271">
        <w:rPr>
          <w:rFonts w:asciiTheme="minorHAnsi" w:hAnsiTheme="minorHAnsi" w:cstheme="minorHAnsi"/>
          <w:b/>
        </w:rPr>
        <w:t xml:space="preserve"> </w:t>
      </w:r>
      <w:proofErr w:type="spellStart"/>
      <w:r w:rsidRPr="00495271">
        <w:rPr>
          <w:rFonts w:asciiTheme="minorHAnsi" w:hAnsiTheme="minorHAnsi" w:cstheme="minorHAnsi"/>
          <w:b/>
        </w:rPr>
        <w:t>koje</w:t>
      </w:r>
      <w:proofErr w:type="spellEnd"/>
      <w:r w:rsidRPr="00495271">
        <w:rPr>
          <w:rFonts w:asciiTheme="minorHAnsi" w:hAnsiTheme="minorHAnsi" w:cstheme="minorHAnsi"/>
          <w:b/>
        </w:rPr>
        <w:t xml:space="preserve"> </w:t>
      </w:r>
      <w:proofErr w:type="spellStart"/>
      <w:r w:rsidRPr="00495271">
        <w:rPr>
          <w:rFonts w:asciiTheme="minorHAnsi" w:hAnsiTheme="minorHAnsi" w:cstheme="minorHAnsi"/>
          <w:b/>
        </w:rPr>
        <w:t>nije</w:t>
      </w:r>
      <w:proofErr w:type="spellEnd"/>
      <w:r w:rsidRPr="00495271">
        <w:rPr>
          <w:rFonts w:asciiTheme="minorHAnsi" w:hAnsiTheme="minorHAnsi" w:cstheme="minorHAnsi"/>
          <w:b/>
        </w:rPr>
        <w:t xml:space="preserve"> </w:t>
      </w:r>
      <w:proofErr w:type="spellStart"/>
      <w:r w:rsidRPr="00495271">
        <w:rPr>
          <w:rFonts w:asciiTheme="minorHAnsi" w:hAnsiTheme="minorHAnsi" w:cstheme="minorHAnsi"/>
          <w:b/>
        </w:rPr>
        <w:t>moguće</w:t>
      </w:r>
      <w:proofErr w:type="spellEnd"/>
      <w:r w:rsidRPr="00495271">
        <w:rPr>
          <w:rFonts w:asciiTheme="minorHAnsi" w:hAnsiTheme="minorHAnsi" w:cstheme="minorHAnsi"/>
          <w:b/>
        </w:rPr>
        <w:t xml:space="preserve"> </w:t>
      </w:r>
      <w:proofErr w:type="spellStart"/>
      <w:r w:rsidRPr="00495271">
        <w:rPr>
          <w:rFonts w:asciiTheme="minorHAnsi" w:hAnsiTheme="minorHAnsi" w:cstheme="minorHAnsi"/>
          <w:b/>
        </w:rPr>
        <w:t>provesti</w:t>
      </w:r>
      <w:proofErr w:type="spellEnd"/>
      <w:r w:rsidR="000B5292" w:rsidRPr="00495271">
        <w:rPr>
          <w:rFonts w:asciiTheme="minorHAnsi" w:hAnsiTheme="minorHAnsi" w:cstheme="minorHAnsi"/>
          <w:b/>
        </w:rPr>
        <w:t xml:space="preserve"> </w:t>
      </w:r>
      <w:proofErr w:type="spellStart"/>
      <w:r w:rsidR="000B5292" w:rsidRPr="00495271">
        <w:rPr>
          <w:rFonts w:asciiTheme="minorHAnsi" w:hAnsiTheme="minorHAnsi" w:cstheme="minorHAnsi"/>
          <w:b/>
        </w:rPr>
        <w:t>sa</w:t>
      </w:r>
      <w:proofErr w:type="spellEnd"/>
      <w:r w:rsidR="000B5292" w:rsidRPr="00495271">
        <w:rPr>
          <w:rFonts w:asciiTheme="minorHAnsi" w:hAnsiTheme="minorHAnsi" w:cstheme="minorHAnsi"/>
          <w:b/>
        </w:rPr>
        <w:t xml:space="preserve"> </w:t>
      </w:r>
      <w:proofErr w:type="spellStart"/>
      <w:r w:rsidR="00C51B0F">
        <w:rPr>
          <w:rFonts w:asciiTheme="minorHAnsi" w:hAnsiTheme="minorHAnsi" w:cstheme="minorHAnsi"/>
          <w:b/>
        </w:rPr>
        <w:t>datim</w:t>
      </w:r>
      <w:proofErr w:type="spellEnd"/>
      <w:r w:rsidR="00C51B0F">
        <w:rPr>
          <w:rFonts w:asciiTheme="minorHAnsi" w:hAnsiTheme="minorHAnsi" w:cstheme="minorHAnsi"/>
          <w:b/>
        </w:rPr>
        <w:t xml:space="preserve"> </w:t>
      </w:r>
      <w:proofErr w:type="spellStart"/>
      <w:r w:rsidR="000B5292" w:rsidRPr="00495271">
        <w:rPr>
          <w:rFonts w:asciiTheme="minorHAnsi" w:hAnsiTheme="minorHAnsi" w:cstheme="minorHAnsi"/>
          <w:b/>
        </w:rPr>
        <w:t>obrazloženjem</w:t>
      </w:r>
      <w:proofErr w:type="spellEnd"/>
      <w:r w:rsidR="000B5292" w:rsidRPr="00495271">
        <w:rPr>
          <w:rFonts w:asciiTheme="minorHAnsi" w:hAnsiTheme="minorHAnsi" w:cstheme="minorHAnsi"/>
          <w:b/>
        </w:rPr>
        <w:t xml:space="preserve"> </w:t>
      </w:r>
      <w:proofErr w:type="spellStart"/>
      <w:r w:rsidR="000B5292" w:rsidRPr="00495271">
        <w:rPr>
          <w:rFonts w:asciiTheme="minorHAnsi" w:hAnsiTheme="minorHAnsi" w:cstheme="minorHAnsi"/>
          <w:b/>
        </w:rPr>
        <w:t>razloga</w:t>
      </w:r>
      <w:proofErr w:type="spellEnd"/>
      <w:r w:rsidR="000B5292" w:rsidRPr="00495271">
        <w:rPr>
          <w:rFonts w:asciiTheme="minorHAnsi" w:hAnsiTheme="minorHAnsi" w:cstheme="minorHAnsi"/>
          <w:b/>
        </w:rPr>
        <w:t xml:space="preserve"> </w:t>
      </w:r>
      <w:proofErr w:type="spellStart"/>
      <w:r w:rsidR="000B5292" w:rsidRPr="00495271">
        <w:rPr>
          <w:rFonts w:asciiTheme="minorHAnsi" w:hAnsiTheme="minorHAnsi" w:cstheme="minorHAnsi"/>
          <w:b/>
        </w:rPr>
        <w:t>neprovodivosti</w:t>
      </w:r>
      <w:proofErr w:type="spellEnd"/>
      <w:r w:rsidR="00DD250D" w:rsidRPr="00495271">
        <w:rPr>
          <w:rFonts w:asciiTheme="minorHAnsi" w:hAnsiTheme="minorHAnsi" w:cstheme="minorHAnsi"/>
          <w:b/>
        </w:rPr>
        <w:t xml:space="preserve"> (TABELA 3.)</w:t>
      </w:r>
    </w:p>
    <w:p w:rsidR="008948F2" w:rsidRPr="00495271" w:rsidRDefault="008948F2" w:rsidP="00B46BB4">
      <w:pPr>
        <w:jc w:val="both"/>
        <w:rPr>
          <w:rFonts w:asciiTheme="minorHAnsi" w:hAnsiTheme="minorHAnsi" w:cstheme="minorHAnsi"/>
        </w:rPr>
      </w:pPr>
    </w:p>
    <w:p w:rsidR="008948F2" w:rsidRPr="00495271" w:rsidRDefault="008948F2" w:rsidP="00B46BB4">
      <w:pPr>
        <w:jc w:val="both"/>
        <w:rPr>
          <w:rFonts w:asciiTheme="minorHAnsi" w:hAnsiTheme="minorHAnsi" w:cstheme="minorHAnsi"/>
        </w:rPr>
      </w:pPr>
    </w:p>
    <w:p w:rsidR="008948F2" w:rsidRPr="00495271" w:rsidRDefault="008948F2" w:rsidP="00B46BB4">
      <w:pPr>
        <w:jc w:val="both"/>
        <w:rPr>
          <w:rFonts w:asciiTheme="minorHAnsi" w:hAnsiTheme="minorHAnsi" w:cstheme="minorHAnsi"/>
        </w:rPr>
      </w:pPr>
    </w:p>
    <w:p w:rsidR="00D11355" w:rsidRDefault="00D11355" w:rsidP="00E24D80">
      <w:pPr>
        <w:jc w:val="both"/>
        <w:rPr>
          <w:rFonts w:asciiTheme="minorHAnsi" w:hAnsiTheme="minorHAnsi" w:cstheme="minorHAnsi"/>
        </w:rPr>
      </w:pPr>
    </w:p>
    <w:p w:rsidR="00E24D80" w:rsidRPr="00495271" w:rsidRDefault="00E24D80" w:rsidP="00E24D80">
      <w:pPr>
        <w:jc w:val="both"/>
        <w:rPr>
          <w:rFonts w:asciiTheme="minorHAnsi" w:hAnsiTheme="minorHAnsi" w:cstheme="minorHAnsi"/>
          <w:b/>
          <w:i/>
        </w:rPr>
      </w:pPr>
      <w:r w:rsidRPr="00495271">
        <w:rPr>
          <w:rFonts w:asciiTheme="minorHAnsi" w:hAnsiTheme="minorHAnsi" w:cstheme="minorHAnsi"/>
          <w:b/>
          <w:i/>
        </w:rPr>
        <w:lastRenderedPageBreak/>
        <w:t xml:space="preserve">TABELA </w:t>
      </w:r>
      <w:r w:rsidR="004B5E80" w:rsidRPr="00495271">
        <w:rPr>
          <w:rFonts w:asciiTheme="minorHAnsi" w:hAnsiTheme="minorHAnsi" w:cstheme="minorHAnsi"/>
          <w:b/>
          <w:i/>
        </w:rPr>
        <w:t>1</w:t>
      </w:r>
      <w:r w:rsidRPr="00495271">
        <w:rPr>
          <w:rFonts w:asciiTheme="minorHAnsi" w:hAnsiTheme="minorHAnsi" w:cstheme="minorHAnsi"/>
          <w:b/>
          <w:i/>
        </w:rPr>
        <w:t>.a – PREPORUKE KOJE ĆE SE REALIZIRATI U 2022.GODINI</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3"/>
        <w:gridCol w:w="5841"/>
        <w:gridCol w:w="7253"/>
      </w:tblGrid>
      <w:tr w:rsidR="00495271" w:rsidRPr="00495271" w:rsidTr="003174FA">
        <w:tc>
          <w:tcPr>
            <w:tcW w:w="1223" w:type="dxa"/>
            <w:shd w:val="clear" w:color="auto" w:fill="A6A6A6" w:themeFill="background1" w:themeFillShade="A6"/>
          </w:tcPr>
          <w:p w:rsidR="00D2625B" w:rsidRPr="00495271" w:rsidRDefault="004B5E80" w:rsidP="004B5E80">
            <w:pPr>
              <w:spacing w:after="0" w:line="240" w:lineRule="auto"/>
              <w:jc w:val="center"/>
              <w:rPr>
                <w:rFonts w:asciiTheme="minorHAnsi" w:hAnsiTheme="minorHAnsi" w:cstheme="minorHAnsi"/>
                <w:b/>
                <w:i/>
                <w:sz w:val="20"/>
                <w:szCs w:val="20"/>
              </w:rPr>
            </w:pPr>
            <w:r w:rsidRPr="00495271">
              <w:rPr>
                <w:rFonts w:asciiTheme="minorHAnsi" w:hAnsiTheme="minorHAnsi" w:cstheme="minorHAnsi"/>
                <w:b/>
                <w:i/>
                <w:sz w:val="20"/>
                <w:szCs w:val="20"/>
              </w:rPr>
              <w:t>BROJ</w:t>
            </w:r>
          </w:p>
          <w:p w:rsidR="00D2625B" w:rsidRPr="00495271" w:rsidRDefault="004B5E80" w:rsidP="004B5E80">
            <w:pPr>
              <w:spacing w:after="0" w:line="240" w:lineRule="auto"/>
              <w:jc w:val="center"/>
              <w:rPr>
                <w:rFonts w:asciiTheme="minorHAnsi" w:hAnsiTheme="minorHAnsi" w:cstheme="minorHAnsi"/>
                <w:b/>
                <w:i/>
                <w:sz w:val="20"/>
                <w:szCs w:val="20"/>
              </w:rPr>
            </w:pPr>
            <w:r w:rsidRPr="00495271">
              <w:rPr>
                <w:rFonts w:asciiTheme="minorHAnsi" w:hAnsiTheme="minorHAnsi" w:cstheme="minorHAnsi"/>
                <w:b/>
                <w:i/>
                <w:sz w:val="20"/>
                <w:szCs w:val="20"/>
              </w:rPr>
              <w:t>PREPORUKE</w:t>
            </w:r>
          </w:p>
        </w:tc>
        <w:tc>
          <w:tcPr>
            <w:tcW w:w="5841" w:type="dxa"/>
            <w:shd w:val="clear" w:color="auto" w:fill="A6A6A6" w:themeFill="background1" w:themeFillShade="A6"/>
          </w:tcPr>
          <w:p w:rsidR="00D2625B" w:rsidRDefault="00D2625B" w:rsidP="00D2625B">
            <w:pPr>
              <w:spacing w:after="0" w:line="240" w:lineRule="auto"/>
              <w:jc w:val="center"/>
              <w:rPr>
                <w:rFonts w:asciiTheme="minorHAnsi" w:hAnsiTheme="minorHAnsi" w:cstheme="minorHAnsi"/>
                <w:b/>
                <w:i/>
                <w:sz w:val="20"/>
                <w:szCs w:val="20"/>
              </w:rPr>
            </w:pPr>
            <w:r w:rsidRPr="00495271">
              <w:rPr>
                <w:rFonts w:asciiTheme="minorHAnsi" w:hAnsiTheme="minorHAnsi" w:cstheme="minorHAnsi"/>
                <w:b/>
                <w:i/>
                <w:sz w:val="20"/>
                <w:szCs w:val="20"/>
              </w:rPr>
              <w:t>MIŠLJENJE REVIZIJE-NALAZI I PREPORUKE PO IZVJEŠTAJU O O FINANSIJSKOJ REVIZIJI FEDERALNOG MINISTARSTVA FINANSIJA-FINANCIJA ZA 2020.GODINU</w:t>
            </w:r>
          </w:p>
          <w:p w:rsidR="00D11355" w:rsidRDefault="00D11355" w:rsidP="00D2625B">
            <w:pPr>
              <w:spacing w:after="0" w:line="240" w:lineRule="auto"/>
              <w:jc w:val="center"/>
              <w:rPr>
                <w:rFonts w:asciiTheme="minorHAnsi" w:hAnsiTheme="minorHAnsi" w:cstheme="minorHAnsi"/>
                <w:b/>
                <w:i/>
                <w:sz w:val="20"/>
                <w:szCs w:val="20"/>
              </w:rPr>
            </w:pPr>
          </w:p>
          <w:p w:rsidR="00D11355" w:rsidRPr="00495271" w:rsidRDefault="00D11355" w:rsidP="00D2625B">
            <w:pPr>
              <w:spacing w:after="0" w:line="240" w:lineRule="auto"/>
              <w:jc w:val="center"/>
              <w:rPr>
                <w:rFonts w:asciiTheme="minorHAnsi" w:hAnsiTheme="minorHAnsi" w:cstheme="minorHAnsi"/>
                <w:b/>
                <w:i/>
                <w:sz w:val="20"/>
                <w:szCs w:val="20"/>
              </w:rPr>
            </w:pPr>
          </w:p>
        </w:tc>
        <w:tc>
          <w:tcPr>
            <w:tcW w:w="7253" w:type="dxa"/>
            <w:shd w:val="clear" w:color="auto" w:fill="A6A6A6" w:themeFill="background1" w:themeFillShade="A6"/>
          </w:tcPr>
          <w:p w:rsidR="00D2625B" w:rsidRPr="00495271" w:rsidRDefault="00D2625B" w:rsidP="0048065B">
            <w:pPr>
              <w:spacing w:after="0" w:line="240" w:lineRule="auto"/>
              <w:jc w:val="center"/>
              <w:rPr>
                <w:rFonts w:asciiTheme="minorHAnsi" w:hAnsiTheme="minorHAnsi" w:cstheme="minorHAnsi"/>
                <w:b/>
                <w:i/>
                <w:sz w:val="20"/>
                <w:szCs w:val="20"/>
              </w:rPr>
            </w:pPr>
            <w:r w:rsidRPr="00495271">
              <w:rPr>
                <w:rFonts w:asciiTheme="minorHAnsi" w:hAnsiTheme="minorHAnsi" w:cstheme="minorHAnsi"/>
                <w:b/>
                <w:i/>
                <w:sz w:val="20"/>
                <w:szCs w:val="20"/>
              </w:rPr>
              <w:t>AKTIVNOSTI KOJE SU PODUZETE ILI ĆE SE PODUZIMATI U 2022.GODINI</w:t>
            </w:r>
          </w:p>
        </w:tc>
      </w:tr>
      <w:tr w:rsidR="00495271" w:rsidRPr="00495271" w:rsidTr="003174FA">
        <w:tc>
          <w:tcPr>
            <w:tcW w:w="1223" w:type="dxa"/>
          </w:tcPr>
          <w:p w:rsidR="00D2625B" w:rsidRPr="00495271" w:rsidRDefault="00D2625B" w:rsidP="00C16163">
            <w:pPr>
              <w:spacing w:after="0" w:line="240" w:lineRule="auto"/>
              <w:rPr>
                <w:rFonts w:asciiTheme="minorHAnsi" w:hAnsiTheme="minorHAnsi" w:cstheme="minorHAnsi"/>
                <w:i/>
                <w:sz w:val="20"/>
                <w:szCs w:val="20"/>
              </w:rPr>
            </w:pPr>
            <w:r w:rsidRPr="00495271">
              <w:rPr>
                <w:rFonts w:asciiTheme="minorHAnsi" w:hAnsiTheme="minorHAnsi" w:cstheme="minorHAnsi"/>
                <w:i/>
                <w:sz w:val="20"/>
                <w:szCs w:val="20"/>
              </w:rPr>
              <w:t>1.</w:t>
            </w:r>
          </w:p>
          <w:p w:rsidR="00D2625B" w:rsidRPr="00495271" w:rsidRDefault="00D2625B" w:rsidP="00C16163">
            <w:pPr>
              <w:spacing w:after="0" w:line="240" w:lineRule="auto"/>
              <w:rPr>
                <w:rFonts w:asciiTheme="minorHAnsi" w:hAnsiTheme="minorHAnsi" w:cstheme="minorHAnsi"/>
                <w:i/>
                <w:sz w:val="20"/>
                <w:szCs w:val="20"/>
              </w:rPr>
            </w:pPr>
          </w:p>
        </w:tc>
        <w:tc>
          <w:tcPr>
            <w:tcW w:w="5841" w:type="dxa"/>
            <w:vAlign w:val="center"/>
          </w:tcPr>
          <w:p w:rsidR="00D11355" w:rsidRDefault="00D11355" w:rsidP="00A23559">
            <w:pPr>
              <w:spacing w:after="0" w:line="240" w:lineRule="auto"/>
              <w:jc w:val="both"/>
              <w:rPr>
                <w:rFonts w:asciiTheme="minorHAnsi" w:eastAsia="Times New Roman" w:hAnsiTheme="minorHAnsi"/>
                <w:b/>
                <w:bCs/>
                <w:i/>
                <w:iCs/>
                <w:sz w:val="20"/>
                <w:szCs w:val="20"/>
                <w:lang w:eastAsia="bs-Latn-BA"/>
              </w:rPr>
            </w:pPr>
          </w:p>
          <w:p w:rsidR="00D2625B" w:rsidRDefault="00D2625B" w:rsidP="00A23559">
            <w:pPr>
              <w:spacing w:after="0" w:line="240" w:lineRule="auto"/>
              <w:jc w:val="both"/>
              <w:rPr>
                <w:rFonts w:asciiTheme="minorHAnsi" w:eastAsia="Times New Roman" w:hAnsiTheme="minorHAnsi"/>
                <w:b/>
                <w:bCs/>
                <w:i/>
                <w:iCs/>
                <w:sz w:val="20"/>
                <w:szCs w:val="20"/>
                <w:lang w:eastAsia="bs-Latn-BA"/>
              </w:rPr>
            </w:pPr>
            <w:r w:rsidRPr="00495271">
              <w:rPr>
                <w:rFonts w:asciiTheme="minorHAnsi" w:eastAsia="Times New Roman" w:hAnsiTheme="minorHAnsi"/>
                <w:b/>
                <w:bCs/>
                <w:i/>
                <w:iCs/>
                <w:sz w:val="20"/>
                <w:szCs w:val="20"/>
                <w:lang w:eastAsia="bs-Latn-BA"/>
              </w:rPr>
              <w:t xml:space="preserve">Preispitati odredbe Pravilnika o unutarnjem ustrojstvu u dijelu utvrđenog broja potrebnih izvršitelja, uvažavajući zakonski dane nadležnosti Ministarstvu. </w:t>
            </w:r>
          </w:p>
          <w:p w:rsidR="00D11355" w:rsidRPr="00495271" w:rsidRDefault="00D11355" w:rsidP="00A23559">
            <w:pPr>
              <w:spacing w:after="0" w:line="240" w:lineRule="auto"/>
              <w:jc w:val="both"/>
              <w:rPr>
                <w:rFonts w:asciiTheme="minorHAnsi" w:eastAsia="Times New Roman" w:hAnsiTheme="minorHAnsi"/>
                <w:b/>
                <w:bCs/>
                <w:i/>
                <w:iCs/>
                <w:sz w:val="20"/>
                <w:szCs w:val="20"/>
                <w:lang w:eastAsia="bs-Latn-BA"/>
              </w:rPr>
            </w:pPr>
          </w:p>
        </w:tc>
        <w:tc>
          <w:tcPr>
            <w:tcW w:w="7253" w:type="dxa"/>
            <w:vAlign w:val="center"/>
          </w:tcPr>
          <w:p w:rsidR="00D2625B" w:rsidRPr="00495271" w:rsidRDefault="00AE3FBE" w:rsidP="00D11355">
            <w:pPr>
              <w:spacing w:after="0" w:line="240" w:lineRule="auto"/>
              <w:jc w:val="both"/>
              <w:rPr>
                <w:rFonts w:asciiTheme="minorHAnsi" w:eastAsia="Times New Roman" w:hAnsiTheme="minorHAnsi"/>
                <w:b/>
                <w:bCs/>
                <w:i/>
                <w:iCs/>
                <w:sz w:val="20"/>
                <w:szCs w:val="20"/>
                <w:lang w:eastAsia="bs-Latn-BA"/>
              </w:rPr>
            </w:pPr>
            <w:r>
              <w:rPr>
                <w:rFonts w:asciiTheme="minorHAnsi" w:eastAsia="Times New Roman" w:hAnsiTheme="minorHAnsi"/>
                <w:b/>
                <w:bCs/>
                <w:i/>
                <w:iCs/>
                <w:sz w:val="20"/>
                <w:szCs w:val="20"/>
                <w:lang w:eastAsia="bs-Latn-BA"/>
              </w:rPr>
              <w:t xml:space="preserve">Prijedlog </w:t>
            </w:r>
            <w:r w:rsidR="00D2625B" w:rsidRPr="00495271">
              <w:rPr>
                <w:rFonts w:asciiTheme="minorHAnsi" w:eastAsia="Times New Roman" w:hAnsiTheme="minorHAnsi"/>
                <w:b/>
                <w:bCs/>
                <w:i/>
                <w:iCs/>
                <w:sz w:val="20"/>
                <w:szCs w:val="20"/>
                <w:lang w:eastAsia="bs-Latn-BA"/>
              </w:rPr>
              <w:t>novog pravilnika o unutarnjoj organizaciji Federalnog ministarstva financija je izrađen i trenutno se provodi procedura za davanje saglasnosti na isti .</w:t>
            </w:r>
          </w:p>
        </w:tc>
      </w:tr>
      <w:tr w:rsidR="00495271" w:rsidRPr="00495271" w:rsidTr="003174FA">
        <w:tc>
          <w:tcPr>
            <w:tcW w:w="1223" w:type="dxa"/>
          </w:tcPr>
          <w:p w:rsidR="00D2625B" w:rsidRPr="00495271" w:rsidRDefault="00D2625B" w:rsidP="00443772">
            <w:pPr>
              <w:spacing w:after="0" w:line="240" w:lineRule="auto"/>
              <w:rPr>
                <w:rFonts w:asciiTheme="minorHAnsi" w:hAnsiTheme="minorHAnsi" w:cstheme="minorHAnsi"/>
                <w:i/>
                <w:sz w:val="20"/>
                <w:szCs w:val="20"/>
              </w:rPr>
            </w:pPr>
            <w:r w:rsidRPr="00495271">
              <w:rPr>
                <w:rFonts w:asciiTheme="minorHAnsi" w:hAnsiTheme="minorHAnsi" w:cstheme="minorHAnsi"/>
                <w:i/>
                <w:sz w:val="20"/>
                <w:szCs w:val="20"/>
              </w:rPr>
              <w:t>2.</w:t>
            </w:r>
          </w:p>
        </w:tc>
        <w:tc>
          <w:tcPr>
            <w:tcW w:w="5841" w:type="dxa"/>
            <w:vAlign w:val="center"/>
          </w:tcPr>
          <w:p w:rsidR="00D2625B" w:rsidRPr="00495271" w:rsidRDefault="00D2625B" w:rsidP="00443772">
            <w:pPr>
              <w:spacing w:after="0" w:line="240" w:lineRule="auto"/>
              <w:jc w:val="both"/>
              <w:rPr>
                <w:rFonts w:asciiTheme="minorHAnsi" w:eastAsia="Times New Roman" w:hAnsiTheme="minorHAnsi"/>
                <w:b/>
                <w:bCs/>
                <w:i/>
                <w:iCs/>
                <w:sz w:val="20"/>
                <w:szCs w:val="20"/>
                <w:lang w:eastAsia="bs-Latn-BA"/>
              </w:rPr>
            </w:pPr>
            <w:r w:rsidRPr="00495271">
              <w:rPr>
                <w:rFonts w:asciiTheme="minorHAnsi" w:eastAsia="Times New Roman" w:hAnsiTheme="minorHAnsi"/>
                <w:b/>
                <w:bCs/>
                <w:i/>
                <w:iCs/>
                <w:sz w:val="20"/>
                <w:szCs w:val="20"/>
                <w:lang w:eastAsia="bs-Latn-BA"/>
              </w:rPr>
              <w:t xml:space="preserve">Pravilnikom o unutarnjem ustrojstvu predvidjeti poslove vezane za Izjavu o fiskalnoj odgovornosti, te donijeti unutarnji akt koji će detaljnije propisati način i korake u postupku provjere sadržaja Izjave o fiskalnoj odgovornosti, sukladno Pravilniku o obliku i sadržaju, načinu popunjavanja i predaje izjave o fiskalnoj odgovornosti. </w:t>
            </w:r>
          </w:p>
        </w:tc>
        <w:tc>
          <w:tcPr>
            <w:tcW w:w="7253" w:type="dxa"/>
            <w:vAlign w:val="center"/>
          </w:tcPr>
          <w:p w:rsidR="003174FA" w:rsidRDefault="003174FA" w:rsidP="003174FA">
            <w:pPr>
              <w:spacing w:after="0" w:line="240" w:lineRule="auto"/>
              <w:jc w:val="both"/>
              <w:rPr>
                <w:rFonts w:asciiTheme="minorHAnsi" w:eastAsia="Times New Roman" w:hAnsiTheme="minorHAnsi"/>
                <w:b/>
                <w:bCs/>
                <w:i/>
                <w:iCs/>
                <w:sz w:val="20"/>
                <w:szCs w:val="20"/>
                <w:lang w:eastAsia="bs-Latn-BA"/>
              </w:rPr>
            </w:pPr>
            <w:r w:rsidRPr="00495271">
              <w:rPr>
                <w:rFonts w:asciiTheme="minorHAnsi" w:eastAsia="Times New Roman" w:hAnsiTheme="minorHAnsi"/>
                <w:b/>
                <w:bCs/>
                <w:i/>
                <w:iCs/>
                <w:sz w:val="20"/>
                <w:szCs w:val="20"/>
                <w:lang w:eastAsia="bs-Latn-BA"/>
              </w:rPr>
              <w:t xml:space="preserve">Pravilnikom o unutarnjoj organizaciji koji je u fazi </w:t>
            </w:r>
            <w:r w:rsidR="00AE3FBE">
              <w:rPr>
                <w:rFonts w:asciiTheme="minorHAnsi" w:eastAsia="Times New Roman" w:hAnsiTheme="minorHAnsi"/>
                <w:b/>
                <w:bCs/>
                <w:i/>
                <w:iCs/>
                <w:sz w:val="20"/>
                <w:szCs w:val="20"/>
                <w:lang w:eastAsia="bs-Latn-BA"/>
              </w:rPr>
              <w:t>donošenja,</w:t>
            </w:r>
            <w:r w:rsidRPr="00495271">
              <w:rPr>
                <w:rFonts w:asciiTheme="minorHAnsi" w:eastAsia="Times New Roman" w:hAnsiTheme="minorHAnsi"/>
                <w:b/>
                <w:bCs/>
                <w:i/>
                <w:iCs/>
                <w:sz w:val="20"/>
                <w:szCs w:val="20"/>
                <w:lang w:eastAsia="bs-Latn-BA"/>
              </w:rPr>
              <w:t xml:space="preserve"> planirana je dopuna kod opisa poslova radnog mjesta Stručni savjetnik za upravno rješavanje i normativno-pravne </w:t>
            </w:r>
            <w:r w:rsidRPr="00AE3FBE">
              <w:rPr>
                <w:rFonts w:asciiTheme="minorHAnsi" w:eastAsia="Times New Roman" w:hAnsiTheme="minorHAnsi"/>
                <w:b/>
                <w:bCs/>
                <w:i/>
                <w:iCs/>
                <w:sz w:val="20"/>
                <w:szCs w:val="20"/>
                <w:lang w:eastAsia="bs-Latn-BA"/>
              </w:rPr>
              <w:t>poslove i Stručni savjetnik za proračun-analitičar, u Sektoru za proračun i javne rashode, na način da se kod opisa poslova dodaje da isti provodi postupak provjere formalnog sadržaja zaprimljenih Izjava o fiskalnoj odgovornosti proračunskih korisnika te da vrši provjeru vjerodostojnosti danih odgovora u obrascima kod pojedinih korisnika.</w:t>
            </w:r>
            <w:r w:rsidRPr="00AE3FBE">
              <w:t xml:space="preserve"> </w:t>
            </w:r>
            <w:r w:rsidRPr="00AE3FBE">
              <w:rPr>
                <w:rFonts w:asciiTheme="minorHAnsi" w:eastAsia="Times New Roman" w:hAnsiTheme="minorHAnsi"/>
                <w:b/>
                <w:bCs/>
                <w:i/>
                <w:iCs/>
                <w:sz w:val="20"/>
                <w:szCs w:val="20"/>
                <w:lang w:eastAsia="bs-Latn-BA"/>
              </w:rPr>
              <w:t xml:space="preserve">Po usvajanju novoga Pravilnika (uvjet za donošenje unutarnje procedure), </w:t>
            </w:r>
            <w:r w:rsidR="00AE3FBE">
              <w:rPr>
                <w:rFonts w:asciiTheme="minorHAnsi" w:eastAsia="Times New Roman" w:hAnsiTheme="minorHAnsi"/>
                <w:b/>
                <w:bCs/>
                <w:i/>
                <w:iCs/>
                <w:sz w:val="20"/>
                <w:szCs w:val="20"/>
                <w:lang w:eastAsia="bs-Latn-BA"/>
              </w:rPr>
              <w:t xml:space="preserve">pisana Unutarnja </w:t>
            </w:r>
            <w:r w:rsidRPr="00AE3FBE">
              <w:rPr>
                <w:rFonts w:asciiTheme="minorHAnsi" w:eastAsia="Times New Roman" w:hAnsiTheme="minorHAnsi"/>
                <w:b/>
                <w:bCs/>
                <w:i/>
                <w:iCs/>
                <w:sz w:val="20"/>
                <w:szCs w:val="20"/>
                <w:lang w:eastAsia="bs-Latn-BA"/>
              </w:rPr>
              <w:t>procedura (čiji tekst je već pripremljen), kojom se na detaljniji način propisuju koraci Federalnog ministarstva financija u postupku provjere formalnog sadržaja Izjave o fiskalnoj odgovornosti i svih pripradajućih priloga, kao i načina odabira korisnika kod kojih će se izvršiti provjera vjerodostojnosti danih odgovora u obrascima, dužnosti sudionika, rokovi izrade informacije/izvješća i sl., a sve u skladu s odredbama Pravilnika o obliku, sadržaju, načinu popunjavanja i predaji Izjave o fiskalnoj odgovornosti („Službene novine Federacije BiH“, broj 34/14), biti će blagovremeno donesena.</w:t>
            </w:r>
            <w:r>
              <w:rPr>
                <w:rFonts w:asciiTheme="minorHAnsi" w:eastAsia="Times New Roman" w:hAnsiTheme="minorHAnsi"/>
                <w:b/>
                <w:bCs/>
                <w:i/>
                <w:iCs/>
                <w:sz w:val="20"/>
                <w:szCs w:val="20"/>
                <w:lang w:eastAsia="bs-Latn-BA"/>
              </w:rPr>
              <w:t xml:space="preserve"> </w:t>
            </w:r>
          </w:p>
          <w:p w:rsidR="00D11355" w:rsidRDefault="00D11355" w:rsidP="003174FA">
            <w:pPr>
              <w:spacing w:after="0" w:line="240" w:lineRule="auto"/>
              <w:jc w:val="both"/>
              <w:rPr>
                <w:rFonts w:asciiTheme="minorHAnsi" w:eastAsia="Times New Roman" w:hAnsiTheme="minorHAnsi"/>
                <w:b/>
                <w:bCs/>
                <w:i/>
                <w:iCs/>
                <w:sz w:val="20"/>
                <w:szCs w:val="20"/>
                <w:lang w:eastAsia="bs-Latn-BA"/>
              </w:rPr>
            </w:pPr>
          </w:p>
          <w:p w:rsidR="00D2625B" w:rsidRPr="00495271" w:rsidRDefault="00D2625B" w:rsidP="00D11355">
            <w:pPr>
              <w:spacing w:after="0" w:line="240" w:lineRule="auto"/>
              <w:jc w:val="both"/>
              <w:rPr>
                <w:rFonts w:asciiTheme="minorHAnsi" w:eastAsia="Times New Roman" w:hAnsiTheme="minorHAnsi"/>
                <w:b/>
                <w:bCs/>
                <w:i/>
                <w:iCs/>
                <w:sz w:val="20"/>
                <w:szCs w:val="20"/>
                <w:lang w:eastAsia="bs-Latn-BA"/>
              </w:rPr>
            </w:pPr>
            <w:r w:rsidRPr="00495271">
              <w:rPr>
                <w:rFonts w:asciiTheme="minorHAnsi" w:eastAsia="Times New Roman" w:hAnsiTheme="minorHAnsi"/>
                <w:b/>
                <w:bCs/>
                <w:i/>
                <w:iCs/>
                <w:sz w:val="20"/>
                <w:szCs w:val="20"/>
                <w:lang w:eastAsia="bs-Latn-BA"/>
              </w:rPr>
              <w:t>Takođe, moramo istaknuti da se bez obzira na tenutno nepostojanje unutarnjih procedura, postupak provjere formalnog sadržaja Izjave, Upitnika i odgovarajućih priloga koje korisnici dostavljaju u skladu s člankom 12. Pravilnika o obliku, sadržaju, načinu popunjavanja i predaji Izjave o fiskalnoj odgovornosti, obavlja analitički, stručno, blagovremeno (vode se pomoćne evidencije), uz obvezno praćenje propisa koji uređuju obveznike uspostavljanja jedinica za unutarnju reviziju, način uspostavljanja i vršenja unutarnje revizije, što se ostvaruje kroz suradnju sa Središnjom harmonizacijskom jedinicom Federalnog ministarstva financija.</w:t>
            </w:r>
          </w:p>
        </w:tc>
      </w:tr>
      <w:tr w:rsidR="00495271" w:rsidRPr="00495271" w:rsidTr="003174FA">
        <w:tc>
          <w:tcPr>
            <w:tcW w:w="1223" w:type="dxa"/>
          </w:tcPr>
          <w:p w:rsidR="00D2625B" w:rsidRPr="00495271" w:rsidRDefault="003174FA" w:rsidP="00443772">
            <w:pPr>
              <w:rPr>
                <w:rFonts w:asciiTheme="minorHAnsi" w:hAnsiTheme="minorHAnsi" w:cstheme="minorHAnsi"/>
                <w:i/>
                <w:sz w:val="20"/>
                <w:szCs w:val="20"/>
              </w:rPr>
            </w:pPr>
            <w:r>
              <w:rPr>
                <w:rFonts w:asciiTheme="minorHAnsi" w:hAnsiTheme="minorHAnsi" w:cstheme="minorHAnsi"/>
                <w:i/>
                <w:sz w:val="20"/>
                <w:szCs w:val="20"/>
              </w:rPr>
              <w:t>3</w:t>
            </w:r>
            <w:r w:rsidR="00D2625B" w:rsidRPr="00495271">
              <w:rPr>
                <w:rFonts w:asciiTheme="minorHAnsi" w:hAnsiTheme="minorHAnsi" w:cstheme="minorHAnsi"/>
                <w:i/>
                <w:sz w:val="20"/>
                <w:szCs w:val="20"/>
              </w:rPr>
              <w:t>.</w:t>
            </w:r>
          </w:p>
        </w:tc>
        <w:tc>
          <w:tcPr>
            <w:tcW w:w="5841" w:type="dxa"/>
            <w:vAlign w:val="center"/>
          </w:tcPr>
          <w:p w:rsidR="00D2625B" w:rsidRPr="00495271" w:rsidRDefault="00D2625B" w:rsidP="00443772">
            <w:pPr>
              <w:spacing w:after="0" w:line="240" w:lineRule="auto"/>
              <w:jc w:val="both"/>
              <w:rPr>
                <w:rFonts w:asciiTheme="minorHAnsi" w:eastAsia="Times New Roman" w:hAnsiTheme="minorHAnsi"/>
                <w:b/>
                <w:bCs/>
                <w:i/>
                <w:iCs/>
                <w:sz w:val="20"/>
                <w:szCs w:val="20"/>
                <w:lang w:eastAsia="bs-Latn-BA"/>
              </w:rPr>
            </w:pPr>
            <w:r w:rsidRPr="00495271">
              <w:rPr>
                <w:rFonts w:asciiTheme="minorHAnsi" w:eastAsia="Times New Roman" w:hAnsiTheme="minorHAnsi"/>
                <w:b/>
                <w:bCs/>
                <w:i/>
                <w:iCs/>
                <w:sz w:val="20"/>
                <w:szCs w:val="20"/>
                <w:lang w:eastAsia="bs-Latn-BA"/>
              </w:rPr>
              <w:t xml:space="preserve">Postupiti po prijedlogu Povjerenstva za popis obveza i potraživanja u Riznici kako bi se izvršilo zatvaranje razgraničenja. </w:t>
            </w:r>
          </w:p>
          <w:p w:rsidR="00D2625B" w:rsidRPr="00495271" w:rsidRDefault="00D2625B" w:rsidP="00443772">
            <w:pPr>
              <w:spacing w:after="0" w:line="240" w:lineRule="auto"/>
              <w:jc w:val="both"/>
              <w:rPr>
                <w:rFonts w:asciiTheme="minorHAnsi" w:eastAsia="Times New Roman" w:hAnsiTheme="minorHAnsi"/>
                <w:b/>
                <w:bCs/>
                <w:i/>
                <w:iCs/>
                <w:sz w:val="20"/>
                <w:szCs w:val="20"/>
                <w:lang w:eastAsia="bs-Latn-BA"/>
              </w:rPr>
            </w:pPr>
          </w:p>
        </w:tc>
        <w:tc>
          <w:tcPr>
            <w:tcW w:w="7253" w:type="dxa"/>
          </w:tcPr>
          <w:p w:rsidR="00D2625B" w:rsidRPr="00495271" w:rsidRDefault="00D2625B" w:rsidP="00AE3FBE">
            <w:pPr>
              <w:spacing w:after="0" w:line="240" w:lineRule="auto"/>
              <w:rPr>
                <w:rFonts w:asciiTheme="minorHAnsi" w:hAnsiTheme="minorHAnsi" w:cstheme="minorHAnsi"/>
                <w:i/>
                <w:sz w:val="20"/>
                <w:szCs w:val="20"/>
              </w:rPr>
            </w:pPr>
            <w:r w:rsidRPr="00495271">
              <w:rPr>
                <w:b/>
                <w:bCs/>
                <w:i/>
                <w:sz w:val="20"/>
                <w:szCs w:val="20"/>
              </w:rPr>
              <w:t xml:space="preserve">Federalno ministarstvo financija je u svojim komentarima na nacrt predmetnog izvješća naglašavalo da je ovo preporuku potrebno brisati ili korigirati, s obzirom na to da istu nije moguće provesti u skladu s važećim propisima. Naime, prema prijedlogu Povjerenstva za popis obveza i potraživanja u Riznici u Proračunu Federacije BiH potrebno je naknadno planirati sredstva koja su tijekom poplava u </w:t>
            </w:r>
            <w:r w:rsidRPr="00495271">
              <w:rPr>
                <w:b/>
                <w:bCs/>
                <w:i/>
                <w:sz w:val="20"/>
                <w:szCs w:val="20"/>
              </w:rPr>
              <w:lastRenderedPageBreak/>
              <w:t xml:space="preserve">2014. godini s posebnog računa kod Centralne banke BiH (koji je izvan Jedinstvenog računa riznice FBiH) dodijeljena i uplaćena Agenciji za vodno područje rijeke Save. S obzirom na to da Ured za reviziju institucija FBiH nije uvažio komentare i da se preporuka našla u konačnom Izvješću o financijskoj reviziji FMF-a za 2020. godinu, </w:t>
            </w:r>
            <w:r w:rsidR="00B37079" w:rsidRPr="00AE3FBE">
              <w:rPr>
                <w:b/>
                <w:bCs/>
                <w:i/>
                <w:sz w:val="20"/>
                <w:szCs w:val="20"/>
              </w:rPr>
              <w:t xml:space="preserve">Federalno ministarstvo financija će u procesu pripreme </w:t>
            </w:r>
            <w:r w:rsidR="00AE3FBE">
              <w:rPr>
                <w:b/>
                <w:bCs/>
                <w:i/>
                <w:sz w:val="20"/>
                <w:szCs w:val="20"/>
              </w:rPr>
              <w:t>Proračuna</w:t>
            </w:r>
            <w:r w:rsidR="00B37079" w:rsidRPr="00AE3FBE">
              <w:rPr>
                <w:b/>
                <w:bCs/>
                <w:i/>
                <w:sz w:val="20"/>
                <w:szCs w:val="20"/>
              </w:rPr>
              <w:t xml:space="preserve"> Federacije BiH za  2023.godinu planirati odgovarajuću poziciju kako bi se moglo izvršiti adekvatno knjiženje i zatvaranje razgraničenja.</w:t>
            </w:r>
          </w:p>
        </w:tc>
      </w:tr>
    </w:tbl>
    <w:p w:rsidR="002509BE" w:rsidRDefault="002509BE" w:rsidP="00EC70C9">
      <w:pPr>
        <w:jc w:val="both"/>
        <w:rPr>
          <w:rFonts w:asciiTheme="minorHAnsi" w:hAnsiTheme="minorHAnsi" w:cstheme="minorHAnsi"/>
          <w:b/>
          <w:i/>
        </w:rPr>
      </w:pPr>
    </w:p>
    <w:p w:rsidR="002509BE" w:rsidRDefault="002509BE" w:rsidP="00EC70C9">
      <w:pPr>
        <w:jc w:val="both"/>
        <w:rPr>
          <w:rFonts w:asciiTheme="minorHAnsi" w:hAnsiTheme="minorHAnsi" w:cstheme="minorHAnsi"/>
          <w:b/>
          <w:i/>
        </w:rPr>
      </w:pPr>
    </w:p>
    <w:p w:rsidR="002509BE" w:rsidRDefault="002509BE" w:rsidP="00EC70C9">
      <w:pPr>
        <w:jc w:val="both"/>
        <w:rPr>
          <w:rFonts w:asciiTheme="minorHAnsi" w:hAnsiTheme="minorHAnsi" w:cstheme="minorHAnsi"/>
          <w:b/>
          <w:i/>
        </w:rPr>
      </w:pPr>
    </w:p>
    <w:p w:rsidR="002509BE" w:rsidRDefault="002509BE" w:rsidP="00EC70C9">
      <w:pPr>
        <w:jc w:val="both"/>
        <w:rPr>
          <w:rFonts w:asciiTheme="minorHAnsi" w:hAnsiTheme="minorHAnsi" w:cstheme="minorHAnsi"/>
          <w:b/>
          <w:i/>
        </w:rPr>
      </w:pPr>
    </w:p>
    <w:p w:rsidR="002509BE" w:rsidRDefault="002509BE" w:rsidP="00EC70C9">
      <w:pPr>
        <w:jc w:val="both"/>
        <w:rPr>
          <w:rFonts w:asciiTheme="minorHAnsi" w:hAnsiTheme="minorHAnsi" w:cstheme="minorHAnsi"/>
          <w:b/>
          <w:i/>
        </w:rPr>
      </w:pPr>
    </w:p>
    <w:p w:rsidR="002509BE" w:rsidRDefault="002509BE" w:rsidP="00EC70C9">
      <w:pPr>
        <w:jc w:val="both"/>
        <w:rPr>
          <w:rFonts w:asciiTheme="minorHAnsi" w:hAnsiTheme="minorHAnsi" w:cstheme="minorHAnsi"/>
          <w:b/>
          <w:i/>
        </w:rPr>
      </w:pPr>
    </w:p>
    <w:p w:rsidR="002509BE" w:rsidRDefault="002509BE" w:rsidP="00EC70C9">
      <w:pPr>
        <w:jc w:val="both"/>
        <w:rPr>
          <w:rFonts w:asciiTheme="minorHAnsi" w:hAnsiTheme="minorHAnsi" w:cstheme="minorHAnsi"/>
          <w:b/>
          <w:i/>
        </w:rPr>
      </w:pPr>
    </w:p>
    <w:p w:rsidR="002509BE" w:rsidRDefault="002509BE" w:rsidP="00EC70C9">
      <w:pPr>
        <w:jc w:val="both"/>
        <w:rPr>
          <w:rFonts w:asciiTheme="minorHAnsi" w:hAnsiTheme="minorHAnsi" w:cstheme="minorHAnsi"/>
          <w:b/>
          <w:i/>
        </w:rPr>
      </w:pPr>
    </w:p>
    <w:p w:rsidR="002509BE" w:rsidRDefault="002509BE" w:rsidP="00EC70C9">
      <w:pPr>
        <w:jc w:val="both"/>
        <w:rPr>
          <w:rFonts w:asciiTheme="minorHAnsi" w:hAnsiTheme="minorHAnsi" w:cstheme="minorHAnsi"/>
          <w:b/>
          <w:i/>
        </w:rPr>
      </w:pPr>
    </w:p>
    <w:p w:rsidR="002509BE" w:rsidRDefault="002509BE" w:rsidP="00EC70C9">
      <w:pPr>
        <w:jc w:val="both"/>
        <w:rPr>
          <w:rFonts w:asciiTheme="minorHAnsi" w:hAnsiTheme="minorHAnsi" w:cstheme="minorHAnsi"/>
          <w:b/>
          <w:i/>
        </w:rPr>
      </w:pPr>
    </w:p>
    <w:p w:rsidR="002509BE" w:rsidRDefault="002509BE" w:rsidP="00EC70C9">
      <w:pPr>
        <w:jc w:val="both"/>
        <w:rPr>
          <w:rFonts w:asciiTheme="minorHAnsi" w:hAnsiTheme="minorHAnsi" w:cstheme="minorHAnsi"/>
          <w:b/>
          <w:i/>
        </w:rPr>
      </w:pPr>
    </w:p>
    <w:p w:rsidR="002509BE" w:rsidRDefault="002509BE" w:rsidP="00EC70C9">
      <w:pPr>
        <w:jc w:val="both"/>
        <w:rPr>
          <w:rFonts w:asciiTheme="minorHAnsi" w:hAnsiTheme="minorHAnsi" w:cstheme="minorHAnsi"/>
          <w:b/>
          <w:i/>
        </w:rPr>
      </w:pPr>
    </w:p>
    <w:p w:rsidR="002509BE" w:rsidRDefault="002509BE" w:rsidP="00EC70C9">
      <w:pPr>
        <w:jc w:val="both"/>
        <w:rPr>
          <w:rFonts w:asciiTheme="minorHAnsi" w:hAnsiTheme="minorHAnsi" w:cstheme="minorHAnsi"/>
          <w:b/>
          <w:i/>
        </w:rPr>
      </w:pPr>
    </w:p>
    <w:p w:rsidR="002509BE" w:rsidRDefault="002509BE" w:rsidP="00EC70C9">
      <w:pPr>
        <w:jc w:val="both"/>
        <w:rPr>
          <w:rFonts w:asciiTheme="minorHAnsi" w:hAnsiTheme="minorHAnsi" w:cstheme="minorHAnsi"/>
          <w:b/>
          <w:i/>
        </w:rPr>
      </w:pPr>
    </w:p>
    <w:p w:rsidR="002509BE" w:rsidRDefault="002509BE" w:rsidP="00EC70C9">
      <w:pPr>
        <w:jc w:val="both"/>
        <w:rPr>
          <w:rFonts w:asciiTheme="minorHAnsi" w:hAnsiTheme="minorHAnsi" w:cstheme="minorHAnsi"/>
          <w:b/>
          <w:i/>
        </w:rPr>
      </w:pPr>
    </w:p>
    <w:p w:rsidR="002509BE" w:rsidRDefault="002509BE" w:rsidP="00EC70C9">
      <w:pPr>
        <w:jc w:val="both"/>
        <w:rPr>
          <w:rFonts w:asciiTheme="minorHAnsi" w:hAnsiTheme="minorHAnsi" w:cstheme="minorHAnsi"/>
          <w:b/>
          <w:i/>
        </w:rPr>
      </w:pPr>
    </w:p>
    <w:p w:rsidR="00D11355" w:rsidRDefault="00D11355" w:rsidP="00EC70C9">
      <w:pPr>
        <w:jc w:val="both"/>
        <w:rPr>
          <w:rFonts w:asciiTheme="minorHAnsi" w:hAnsiTheme="minorHAnsi" w:cstheme="minorHAnsi"/>
          <w:b/>
          <w:i/>
        </w:rPr>
      </w:pPr>
    </w:p>
    <w:p w:rsidR="00495271" w:rsidRPr="00495271" w:rsidRDefault="00DD250D" w:rsidP="00EC70C9">
      <w:pPr>
        <w:jc w:val="both"/>
        <w:rPr>
          <w:rFonts w:asciiTheme="minorHAnsi" w:hAnsiTheme="minorHAnsi" w:cstheme="minorHAnsi"/>
          <w:b/>
          <w:i/>
        </w:rPr>
      </w:pPr>
      <w:r w:rsidRPr="00495271">
        <w:rPr>
          <w:rFonts w:asciiTheme="minorHAnsi" w:hAnsiTheme="minorHAnsi" w:cstheme="minorHAnsi"/>
          <w:b/>
          <w:i/>
        </w:rPr>
        <w:lastRenderedPageBreak/>
        <w:t xml:space="preserve">TABELA </w:t>
      </w:r>
      <w:r w:rsidR="004B5E80" w:rsidRPr="00495271">
        <w:rPr>
          <w:rFonts w:asciiTheme="minorHAnsi" w:hAnsiTheme="minorHAnsi" w:cstheme="minorHAnsi"/>
          <w:b/>
          <w:i/>
        </w:rPr>
        <w:t>1</w:t>
      </w:r>
      <w:r w:rsidRPr="00495271">
        <w:rPr>
          <w:rFonts w:asciiTheme="minorHAnsi" w:hAnsiTheme="minorHAnsi" w:cstheme="minorHAnsi"/>
          <w:b/>
          <w:i/>
        </w:rPr>
        <w:t>.b</w:t>
      </w:r>
      <w:r w:rsidR="00EC70C9" w:rsidRPr="00495271">
        <w:rPr>
          <w:rFonts w:asciiTheme="minorHAnsi" w:hAnsiTheme="minorHAnsi" w:cstheme="minorHAnsi"/>
          <w:b/>
          <w:i/>
        </w:rPr>
        <w:t xml:space="preserve"> – PREPORUKE ZA ČIJU REALIZACIJU ĆE AKTIVNOSTI BITI POKRENUTE U 2022.GODINI</w:t>
      </w:r>
    </w:p>
    <w:tbl>
      <w:tblPr>
        <w:tblStyle w:val="TableGrid"/>
        <w:tblW w:w="14312" w:type="dxa"/>
        <w:tblLook w:val="04A0" w:firstRow="1" w:lastRow="0" w:firstColumn="1" w:lastColumn="0" w:noHBand="0" w:noVBand="1"/>
      </w:tblPr>
      <w:tblGrid>
        <w:gridCol w:w="1231"/>
        <w:gridCol w:w="5852"/>
        <w:gridCol w:w="7229"/>
      </w:tblGrid>
      <w:tr w:rsidR="00495271" w:rsidRPr="00495271" w:rsidTr="00495271">
        <w:tc>
          <w:tcPr>
            <w:tcW w:w="1231" w:type="dxa"/>
          </w:tcPr>
          <w:p w:rsidR="00D2625B" w:rsidRPr="00495271" w:rsidRDefault="004B5E80" w:rsidP="004B5E80">
            <w:pPr>
              <w:spacing w:after="0" w:line="240" w:lineRule="auto"/>
              <w:jc w:val="center"/>
              <w:rPr>
                <w:rFonts w:asciiTheme="minorHAnsi" w:hAnsiTheme="minorHAnsi" w:cstheme="minorHAnsi"/>
                <w:b/>
                <w:i/>
              </w:rPr>
            </w:pPr>
            <w:r w:rsidRPr="00495271">
              <w:rPr>
                <w:rFonts w:asciiTheme="minorHAnsi" w:hAnsiTheme="minorHAnsi" w:cstheme="minorHAnsi"/>
                <w:b/>
                <w:i/>
              </w:rPr>
              <w:t>BROJ</w:t>
            </w:r>
          </w:p>
          <w:p w:rsidR="00D2625B" w:rsidRPr="00495271" w:rsidRDefault="004B5E80" w:rsidP="004B5E80">
            <w:pPr>
              <w:spacing w:after="0" w:line="240" w:lineRule="auto"/>
              <w:jc w:val="center"/>
              <w:rPr>
                <w:rFonts w:asciiTheme="minorHAnsi" w:hAnsiTheme="minorHAnsi" w:cstheme="minorHAnsi"/>
                <w:b/>
                <w:i/>
              </w:rPr>
            </w:pPr>
            <w:r w:rsidRPr="00495271">
              <w:rPr>
                <w:rFonts w:asciiTheme="minorHAnsi" w:hAnsiTheme="minorHAnsi" w:cstheme="minorHAnsi"/>
                <w:b/>
                <w:i/>
              </w:rPr>
              <w:t>PREPORUKE</w:t>
            </w:r>
          </w:p>
        </w:tc>
        <w:tc>
          <w:tcPr>
            <w:tcW w:w="5852" w:type="dxa"/>
          </w:tcPr>
          <w:p w:rsidR="00D2625B" w:rsidRPr="00495271" w:rsidRDefault="00D2625B" w:rsidP="00D2625B">
            <w:pPr>
              <w:spacing w:after="0" w:line="240" w:lineRule="auto"/>
              <w:jc w:val="center"/>
              <w:rPr>
                <w:rFonts w:asciiTheme="minorHAnsi" w:hAnsiTheme="minorHAnsi" w:cstheme="minorHAnsi"/>
                <w:b/>
                <w:i/>
              </w:rPr>
            </w:pPr>
            <w:r w:rsidRPr="00495271">
              <w:rPr>
                <w:rFonts w:asciiTheme="minorHAnsi" w:hAnsiTheme="minorHAnsi" w:cstheme="minorHAnsi"/>
                <w:b/>
                <w:i/>
              </w:rPr>
              <w:t>MIŠLJENJE REVIZIJE-NALAZI I PREPORUKE PO IZVJEŠTAJU O O FINANSIJSKOJ REVIZIJI FEDERALNOG MINISTARSTVA FINANSIJA-FINANCIJA ZA 2020.GODINU</w:t>
            </w:r>
          </w:p>
        </w:tc>
        <w:tc>
          <w:tcPr>
            <w:tcW w:w="7229" w:type="dxa"/>
          </w:tcPr>
          <w:p w:rsidR="00D2625B" w:rsidRPr="00495271" w:rsidRDefault="00D2625B" w:rsidP="00D2625B">
            <w:pPr>
              <w:spacing w:after="0" w:line="240" w:lineRule="auto"/>
              <w:jc w:val="center"/>
              <w:rPr>
                <w:rFonts w:asciiTheme="minorHAnsi" w:hAnsiTheme="minorHAnsi" w:cstheme="minorHAnsi"/>
                <w:b/>
                <w:i/>
              </w:rPr>
            </w:pPr>
            <w:r w:rsidRPr="00495271">
              <w:rPr>
                <w:rFonts w:asciiTheme="minorHAnsi" w:hAnsiTheme="minorHAnsi" w:cstheme="minorHAnsi"/>
                <w:b/>
                <w:i/>
              </w:rPr>
              <w:t>AKTIVNOSTI KOJE SU PODUZETE ILI ĆE SE PODUZIMATI U 2022.GODINI</w:t>
            </w:r>
          </w:p>
        </w:tc>
      </w:tr>
      <w:tr w:rsidR="00495271" w:rsidRPr="00495271" w:rsidTr="00495271">
        <w:tc>
          <w:tcPr>
            <w:tcW w:w="1231" w:type="dxa"/>
          </w:tcPr>
          <w:p w:rsidR="00D2625B" w:rsidRPr="00495271" w:rsidRDefault="00D2625B" w:rsidP="00072B41">
            <w:pPr>
              <w:spacing w:after="0" w:line="240" w:lineRule="auto"/>
              <w:rPr>
                <w:rFonts w:asciiTheme="minorHAnsi" w:hAnsiTheme="minorHAnsi" w:cstheme="minorHAnsi"/>
                <w:i/>
              </w:rPr>
            </w:pPr>
            <w:r w:rsidRPr="00495271">
              <w:rPr>
                <w:rFonts w:asciiTheme="minorHAnsi" w:hAnsiTheme="minorHAnsi" w:cstheme="minorHAnsi"/>
                <w:i/>
              </w:rPr>
              <w:t>1.</w:t>
            </w:r>
          </w:p>
          <w:p w:rsidR="00D2625B" w:rsidRPr="00495271" w:rsidRDefault="00D2625B" w:rsidP="00072B41">
            <w:pPr>
              <w:spacing w:after="0" w:line="240" w:lineRule="auto"/>
              <w:rPr>
                <w:rFonts w:asciiTheme="minorHAnsi" w:hAnsiTheme="minorHAnsi" w:cstheme="minorHAnsi"/>
                <w:i/>
              </w:rPr>
            </w:pPr>
          </w:p>
        </w:tc>
        <w:tc>
          <w:tcPr>
            <w:tcW w:w="5852" w:type="dxa"/>
          </w:tcPr>
          <w:p w:rsidR="00D2625B" w:rsidRPr="00495271" w:rsidRDefault="00D2625B" w:rsidP="00072B41">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Rješavanje po žalbama izjavljenim na upravne akte prvostupanjskih organa obavljati u roku definiranom člankom 76. Zakona o poreznoj upravi FBiH.</w:t>
            </w:r>
          </w:p>
          <w:p w:rsidR="00D2625B" w:rsidRPr="00495271" w:rsidRDefault="00D2625B" w:rsidP="00072B41">
            <w:pPr>
              <w:spacing w:after="0" w:line="240" w:lineRule="auto"/>
              <w:jc w:val="both"/>
              <w:rPr>
                <w:rFonts w:asciiTheme="minorHAnsi" w:eastAsia="Times New Roman" w:hAnsiTheme="minorHAnsi"/>
                <w:b/>
                <w:bCs/>
                <w:i/>
                <w:iCs/>
                <w:lang w:eastAsia="bs-Latn-BA"/>
              </w:rPr>
            </w:pPr>
          </w:p>
        </w:tc>
        <w:tc>
          <w:tcPr>
            <w:tcW w:w="7229" w:type="dxa"/>
          </w:tcPr>
          <w:p w:rsidR="00495271" w:rsidRPr="00495271" w:rsidRDefault="00D2625B" w:rsidP="00495271">
            <w:pPr>
              <w:autoSpaceDE w:val="0"/>
              <w:autoSpaceDN w:val="0"/>
              <w:adjustRightInd w:val="0"/>
              <w:jc w:val="both"/>
              <w:rPr>
                <w:rFonts w:asciiTheme="minorHAnsi" w:hAnsiTheme="minorHAnsi" w:cstheme="minorHAnsi"/>
                <w:b/>
                <w:i/>
              </w:rPr>
            </w:pPr>
            <w:r w:rsidRPr="00495271">
              <w:rPr>
                <w:rFonts w:asciiTheme="minorHAnsi" w:hAnsiTheme="minorHAnsi" w:cstheme="minorHAnsi"/>
                <w:b/>
                <w:i/>
              </w:rPr>
              <w:t>U vezi sa navedenom preporukom a u cilju stvaranje pretpostavki za unapređenje efikasnosti rada na drugost</w:t>
            </w:r>
            <w:r w:rsidR="00AE3FBE">
              <w:rPr>
                <w:rFonts w:asciiTheme="minorHAnsi" w:hAnsiTheme="minorHAnsi" w:cstheme="minorHAnsi"/>
                <w:b/>
                <w:i/>
              </w:rPr>
              <w:t>upanjskom</w:t>
            </w:r>
            <w:r w:rsidRPr="00495271">
              <w:rPr>
                <w:rFonts w:asciiTheme="minorHAnsi" w:hAnsiTheme="minorHAnsi" w:cstheme="minorHAnsi"/>
                <w:b/>
                <w:i/>
              </w:rPr>
              <w:t xml:space="preserve"> porezno-upravnom rješavanju, u toku 2022. godine provodiće se aktivnosti kako slijedi:</w:t>
            </w:r>
          </w:p>
          <w:p w:rsidR="00D2625B" w:rsidRPr="00495271" w:rsidRDefault="00D2625B" w:rsidP="00495271">
            <w:pPr>
              <w:autoSpaceDE w:val="0"/>
              <w:autoSpaceDN w:val="0"/>
              <w:adjustRightInd w:val="0"/>
              <w:jc w:val="both"/>
              <w:rPr>
                <w:rFonts w:asciiTheme="minorHAnsi" w:hAnsiTheme="minorHAnsi" w:cstheme="minorHAnsi"/>
                <w:b/>
                <w:i/>
                <w:noProof/>
              </w:rPr>
            </w:pPr>
            <w:r w:rsidRPr="00495271">
              <w:rPr>
                <w:rFonts w:asciiTheme="minorHAnsi" w:hAnsiTheme="minorHAnsi" w:cstheme="minorHAnsi"/>
                <w:b/>
                <w:i/>
              </w:rPr>
              <w:t>- novoformiran</w:t>
            </w:r>
            <w:r w:rsidR="00AE3FBE">
              <w:rPr>
                <w:rFonts w:asciiTheme="minorHAnsi" w:hAnsiTheme="minorHAnsi" w:cstheme="minorHAnsi"/>
                <w:b/>
                <w:i/>
              </w:rPr>
              <w:t>o</w:t>
            </w:r>
            <w:r w:rsidRPr="00495271">
              <w:rPr>
                <w:rFonts w:asciiTheme="minorHAnsi" w:hAnsiTheme="minorHAnsi" w:cstheme="minorHAnsi"/>
                <w:b/>
                <w:i/>
              </w:rPr>
              <w:t xml:space="preserve"> </w:t>
            </w:r>
            <w:r w:rsidR="00AE3FBE">
              <w:rPr>
                <w:rFonts w:asciiTheme="minorHAnsi" w:hAnsiTheme="minorHAnsi" w:cstheme="minorHAnsi"/>
                <w:b/>
                <w:i/>
              </w:rPr>
              <w:t>Povjerenstvo</w:t>
            </w:r>
            <w:r w:rsidRPr="00495271">
              <w:rPr>
                <w:rFonts w:asciiTheme="minorHAnsi" w:hAnsiTheme="minorHAnsi" w:cstheme="minorHAnsi"/>
                <w:b/>
                <w:i/>
                <w:noProof/>
              </w:rPr>
              <w:t xml:space="preserve"> za rješavanje po žalbama u nerješenim drugost</w:t>
            </w:r>
            <w:r w:rsidR="00AE3FBE">
              <w:rPr>
                <w:rFonts w:asciiTheme="minorHAnsi" w:hAnsiTheme="minorHAnsi" w:cstheme="minorHAnsi"/>
                <w:b/>
                <w:i/>
                <w:noProof/>
              </w:rPr>
              <w:t>upanjskim</w:t>
            </w:r>
            <w:r w:rsidRPr="00495271">
              <w:rPr>
                <w:rFonts w:asciiTheme="minorHAnsi" w:hAnsiTheme="minorHAnsi" w:cstheme="minorHAnsi"/>
                <w:b/>
                <w:i/>
                <w:noProof/>
              </w:rPr>
              <w:t xml:space="preserve"> porezno-upravnim predmetima će kontinuirano u toku 2022.godine obavljati poslove drugost</w:t>
            </w:r>
            <w:r w:rsidR="00AE3FBE">
              <w:rPr>
                <w:rFonts w:asciiTheme="minorHAnsi" w:hAnsiTheme="minorHAnsi" w:cstheme="minorHAnsi"/>
                <w:b/>
                <w:i/>
                <w:noProof/>
              </w:rPr>
              <w:t>upanjskog</w:t>
            </w:r>
            <w:r w:rsidRPr="00495271">
              <w:rPr>
                <w:rFonts w:asciiTheme="minorHAnsi" w:hAnsiTheme="minorHAnsi" w:cstheme="minorHAnsi"/>
                <w:b/>
                <w:i/>
                <w:noProof/>
              </w:rPr>
              <w:t xml:space="preserve"> porezno-upravnog rješavanje. S tim u vezi se očekuje da će</w:t>
            </w:r>
            <w:r w:rsidR="00AE3FBE">
              <w:rPr>
                <w:rFonts w:asciiTheme="minorHAnsi" w:hAnsiTheme="minorHAnsi" w:cstheme="minorHAnsi"/>
                <w:b/>
                <w:i/>
                <w:noProof/>
              </w:rPr>
              <w:t xml:space="preserve"> </w:t>
            </w:r>
            <w:r w:rsidRPr="00495271">
              <w:rPr>
                <w:rFonts w:asciiTheme="minorHAnsi" w:hAnsiTheme="minorHAnsi" w:cstheme="minorHAnsi"/>
                <w:b/>
                <w:i/>
                <w:noProof/>
              </w:rPr>
              <w:t xml:space="preserve">i aganžman </w:t>
            </w:r>
            <w:r w:rsidR="00AE3FBE">
              <w:rPr>
                <w:rFonts w:asciiTheme="minorHAnsi" w:hAnsiTheme="minorHAnsi" w:cstheme="minorHAnsi"/>
                <w:b/>
                <w:i/>
                <w:noProof/>
              </w:rPr>
              <w:t>Povjerenstva</w:t>
            </w:r>
            <w:r w:rsidRPr="00495271">
              <w:rPr>
                <w:rFonts w:asciiTheme="minorHAnsi" w:hAnsiTheme="minorHAnsi" w:cstheme="minorHAnsi"/>
                <w:b/>
                <w:i/>
                <w:noProof/>
              </w:rPr>
              <w:t xml:space="preserve"> uticati na poboljšanje efikasnosti ministarstva u segmentu drugost</w:t>
            </w:r>
            <w:r w:rsidR="00AE3FBE">
              <w:rPr>
                <w:rFonts w:asciiTheme="minorHAnsi" w:hAnsiTheme="minorHAnsi" w:cstheme="minorHAnsi"/>
                <w:b/>
                <w:i/>
                <w:noProof/>
              </w:rPr>
              <w:t>upanjskog</w:t>
            </w:r>
            <w:r w:rsidRPr="00495271">
              <w:rPr>
                <w:rFonts w:asciiTheme="minorHAnsi" w:hAnsiTheme="minorHAnsi" w:cstheme="minorHAnsi"/>
                <w:b/>
                <w:i/>
                <w:noProof/>
              </w:rPr>
              <w:t xml:space="preserve"> rješavanja na način da se smanji broj nerješenih žalbi, čime će se ujedno stvoriti pretpostavke za skraćenje roka potrebnog za rješavanje ostalih zaprimljenih predmeta;</w:t>
            </w:r>
          </w:p>
          <w:p w:rsidR="00D2625B" w:rsidRPr="00495271" w:rsidRDefault="00D2625B" w:rsidP="00C436FE">
            <w:pPr>
              <w:ind w:firstLine="708"/>
              <w:jc w:val="both"/>
              <w:rPr>
                <w:rFonts w:asciiTheme="minorHAnsi" w:hAnsiTheme="minorHAnsi" w:cstheme="minorHAnsi"/>
                <w:b/>
                <w:i/>
                <w:noProof/>
              </w:rPr>
            </w:pPr>
            <w:r w:rsidRPr="00495271">
              <w:rPr>
                <w:rFonts w:asciiTheme="minorHAnsi" w:hAnsiTheme="minorHAnsi" w:cstheme="minorHAnsi"/>
                <w:b/>
                <w:i/>
              </w:rPr>
              <w:t>- trenutno se provode aktivnosti vezane za izradu i donošenje novog Pravilnika o unuta</w:t>
            </w:r>
            <w:r w:rsidR="00AE3FBE">
              <w:rPr>
                <w:rFonts w:asciiTheme="minorHAnsi" w:hAnsiTheme="minorHAnsi" w:cstheme="minorHAnsi"/>
                <w:b/>
                <w:i/>
              </w:rPr>
              <w:t>r</w:t>
            </w:r>
            <w:r w:rsidRPr="00495271">
              <w:rPr>
                <w:rFonts w:asciiTheme="minorHAnsi" w:hAnsiTheme="minorHAnsi" w:cstheme="minorHAnsi"/>
                <w:b/>
                <w:i/>
              </w:rPr>
              <w:t>njoj organizaciji ministarstva kojim je pored ostalog a u namjeri da se stvore pred</w:t>
            </w:r>
            <w:r w:rsidR="00AE3FBE">
              <w:rPr>
                <w:rFonts w:asciiTheme="minorHAnsi" w:hAnsiTheme="minorHAnsi" w:cstheme="minorHAnsi"/>
                <w:b/>
                <w:i/>
              </w:rPr>
              <w:t>uvjeti</w:t>
            </w:r>
            <w:r w:rsidRPr="00495271">
              <w:rPr>
                <w:rFonts w:asciiTheme="minorHAnsi" w:hAnsiTheme="minorHAnsi" w:cstheme="minorHAnsi"/>
                <w:b/>
                <w:i/>
              </w:rPr>
              <w:t xml:space="preserve"> za </w:t>
            </w:r>
            <w:r w:rsidRPr="00495271">
              <w:rPr>
                <w:rFonts w:asciiTheme="minorHAnsi" w:hAnsiTheme="minorHAnsi" w:cstheme="minorHAnsi"/>
                <w:b/>
                <w:i/>
                <w:noProof/>
              </w:rPr>
              <w:t>unapređenje organizacije rada na poslovima drugost</w:t>
            </w:r>
            <w:r w:rsidR="00AE3FBE">
              <w:rPr>
                <w:rFonts w:asciiTheme="minorHAnsi" w:hAnsiTheme="minorHAnsi" w:cstheme="minorHAnsi"/>
                <w:b/>
                <w:i/>
                <w:noProof/>
              </w:rPr>
              <w:t>upanjskog</w:t>
            </w:r>
            <w:r w:rsidRPr="00495271">
              <w:rPr>
                <w:rFonts w:asciiTheme="minorHAnsi" w:hAnsiTheme="minorHAnsi" w:cstheme="minorHAnsi"/>
                <w:b/>
                <w:i/>
                <w:noProof/>
              </w:rPr>
              <w:t xml:space="preserve"> rješavanja, predviđena i reorganizacija u dijelu unut</w:t>
            </w:r>
            <w:r w:rsidR="00AE3FBE">
              <w:rPr>
                <w:rFonts w:asciiTheme="minorHAnsi" w:hAnsiTheme="minorHAnsi" w:cstheme="minorHAnsi"/>
                <w:b/>
                <w:i/>
                <w:noProof/>
              </w:rPr>
              <w:t>arnjih</w:t>
            </w:r>
            <w:r w:rsidRPr="00495271">
              <w:rPr>
                <w:rFonts w:asciiTheme="minorHAnsi" w:hAnsiTheme="minorHAnsi" w:cstheme="minorHAnsi"/>
                <w:b/>
                <w:i/>
                <w:noProof/>
              </w:rPr>
              <w:t xml:space="preserve"> organizaci</w:t>
            </w:r>
            <w:r w:rsidR="00AE3FBE">
              <w:rPr>
                <w:rFonts w:asciiTheme="minorHAnsi" w:hAnsiTheme="minorHAnsi" w:cstheme="minorHAnsi"/>
                <w:b/>
                <w:i/>
                <w:noProof/>
              </w:rPr>
              <w:t>jskih</w:t>
            </w:r>
            <w:r w:rsidRPr="00495271">
              <w:rPr>
                <w:rFonts w:asciiTheme="minorHAnsi" w:hAnsiTheme="minorHAnsi" w:cstheme="minorHAnsi"/>
                <w:b/>
                <w:i/>
                <w:noProof/>
              </w:rPr>
              <w:t xml:space="preserve"> jedinica nadležnih za poslove drugos</w:t>
            </w:r>
            <w:r w:rsidR="00AE3FBE">
              <w:rPr>
                <w:rFonts w:asciiTheme="minorHAnsi" w:hAnsiTheme="minorHAnsi" w:cstheme="minorHAnsi"/>
                <w:b/>
                <w:i/>
                <w:noProof/>
              </w:rPr>
              <w:t>tupanjskog</w:t>
            </w:r>
            <w:r w:rsidRPr="00495271">
              <w:rPr>
                <w:rFonts w:asciiTheme="minorHAnsi" w:hAnsiTheme="minorHAnsi" w:cstheme="minorHAnsi"/>
                <w:b/>
                <w:i/>
                <w:noProof/>
              </w:rPr>
              <w:t xml:space="preserve"> porezno-upravnog rješavanja. Ovo je urađeno na način da se predviđa specijalizacija odnosno razdvajanje poslova drugost</w:t>
            </w:r>
            <w:r w:rsidR="00AE3FBE">
              <w:rPr>
                <w:rFonts w:asciiTheme="minorHAnsi" w:hAnsiTheme="minorHAnsi" w:cstheme="minorHAnsi"/>
                <w:b/>
                <w:i/>
                <w:noProof/>
              </w:rPr>
              <w:t>upanjskog</w:t>
            </w:r>
            <w:r w:rsidRPr="00495271">
              <w:rPr>
                <w:rFonts w:asciiTheme="minorHAnsi" w:hAnsiTheme="minorHAnsi" w:cstheme="minorHAnsi"/>
                <w:b/>
                <w:i/>
                <w:noProof/>
              </w:rPr>
              <w:t xml:space="preserve"> rješavanja u dva odsjeka i izvršeno je redefini</w:t>
            </w:r>
            <w:r w:rsidR="00AE3FBE">
              <w:rPr>
                <w:rFonts w:asciiTheme="minorHAnsi" w:hAnsiTheme="minorHAnsi" w:cstheme="minorHAnsi"/>
                <w:b/>
                <w:i/>
                <w:noProof/>
              </w:rPr>
              <w:t>ra</w:t>
            </w:r>
            <w:r w:rsidRPr="00495271">
              <w:rPr>
                <w:rFonts w:asciiTheme="minorHAnsi" w:hAnsiTheme="minorHAnsi" w:cstheme="minorHAnsi"/>
                <w:b/>
                <w:i/>
                <w:noProof/>
              </w:rPr>
              <w:t>nje odnosno preciziranje opisa poslova odsjeka i broja izvršioca;</w:t>
            </w:r>
          </w:p>
          <w:p w:rsidR="00D2625B" w:rsidRPr="00495271" w:rsidRDefault="00D2625B" w:rsidP="00AE3FBE">
            <w:pPr>
              <w:ind w:firstLine="708"/>
              <w:jc w:val="both"/>
              <w:rPr>
                <w:rFonts w:asciiTheme="minorHAnsi" w:hAnsiTheme="minorHAnsi" w:cstheme="minorHAnsi"/>
                <w:b/>
                <w:i/>
              </w:rPr>
            </w:pPr>
            <w:r w:rsidRPr="00495271">
              <w:rPr>
                <w:rFonts w:asciiTheme="minorHAnsi" w:hAnsiTheme="minorHAnsi" w:cstheme="minorHAnsi"/>
                <w:b/>
                <w:i/>
                <w:noProof/>
              </w:rPr>
              <w:t>- nakon usvajanja novog Pravilnika o unut</w:t>
            </w:r>
            <w:r w:rsidR="00AE3FBE">
              <w:rPr>
                <w:rFonts w:asciiTheme="minorHAnsi" w:hAnsiTheme="minorHAnsi" w:cstheme="minorHAnsi"/>
                <w:b/>
                <w:i/>
                <w:noProof/>
              </w:rPr>
              <w:t>a</w:t>
            </w:r>
            <w:r w:rsidRPr="00495271">
              <w:rPr>
                <w:rFonts w:asciiTheme="minorHAnsi" w:hAnsiTheme="minorHAnsi" w:cstheme="minorHAnsi"/>
                <w:b/>
                <w:i/>
                <w:noProof/>
              </w:rPr>
              <w:t>rnjoj organizaciji ministarstva, uslijedile bi aktivnosti na kadrovskom jačanju unutarnje organizacione jedinice nadležne za za poslove drugost</w:t>
            </w:r>
            <w:r w:rsidR="00AE3FBE">
              <w:rPr>
                <w:rFonts w:asciiTheme="minorHAnsi" w:hAnsiTheme="minorHAnsi" w:cstheme="minorHAnsi"/>
                <w:b/>
                <w:i/>
                <w:noProof/>
              </w:rPr>
              <w:t>upanjskog</w:t>
            </w:r>
            <w:r w:rsidRPr="00495271">
              <w:rPr>
                <w:rFonts w:asciiTheme="minorHAnsi" w:hAnsiTheme="minorHAnsi" w:cstheme="minorHAnsi"/>
                <w:b/>
                <w:i/>
                <w:noProof/>
              </w:rPr>
              <w:t xml:space="preserve"> porezno-upravnog rješavanja.</w:t>
            </w:r>
          </w:p>
        </w:tc>
      </w:tr>
      <w:tr w:rsidR="00495271" w:rsidRPr="00495271" w:rsidTr="00495271">
        <w:tc>
          <w:tcPr>
            <w:tcW w:w="1231" w:type="dxa"/>
          </w:tcPr>
          <w:p w:rsidR="00D2625B" w:rsidRPr="00495271" w:rsidRDefault="00D2625B" w:rsidP="00072B41">
            <w:pPr>
              <w:spacing w:after="0" w:line="240" w:lineRule="auto"/>
              <w:rPr>
                <w:rFonts w:asciiTheme="minorHAnsi" w:hAnsiTheme="minorHAnsi" w:cstheme="minorHAnsi"/>
                <w:i/>
              </w:rPr>
            </w:pPr>
            <w:r w:rsidRPr="00495271">
              <w:rPr>
                <w:rFonts w:asciiTheme="minorHAnsi" w:hAnsiTheme="minorHAnsi" w:cstheme="minorHAnsi"/>
                <w:i/>
              </w:rPr>
              <w:t>2.</w:t>
            </w:r>
          </w:p>
        </w:tc>
        <w:tc>
          <w:tcPr>
            <w:tcW w:w="5852" w:type="dxa"/>
          </w:tcPr>
          <w:p w:rsidR="00D2625B" w:rsidRPr="00495271" w:rsidRDefault="00D2625B" w:rsidP="00072B41">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Izvršiti popunjavanje odgovarajućeg broja izvršitelja u SHJ shodno Pravilniku o unutarnjem ustrojstvu, s ciljem uspostave unutarnje revizije i sustava financijskog upravljanja i kontrole u javnom sektoru na svim razinama vlasti u FBiH, sukladno Zakonu o unutarnjoj reviziji u javnom sektoru u FBiH, Zakonu o financijskom upravljanju i kontroli u javnom sektoru u FBiH i drugim propisima.</w:t>
            </w:r>
          </w:p>
          <w:p w:rsidR="00D2625B" w:rsidRPr="00495271" w:rsidRDefault="00D2625B" w:rsidP="00072B41">
            <w:pPr>
              <w:spacing w:after="0" w:line="240" w:lineRule="auto"/>
              <w:jc w:val="both"/>
              <w:rPr>
                <w:rFonts w:asciiTheme="minorHAnsi" w:eastAsia="Times New Roman" w:hAnsiTheme="minorHAnsi"/>
                <w:b/>
                <w:bCs/>
                <w:i/>
                <w:iCs/>
                <w:lang w:eastAsia="bs-Latn-BA"/>
              </w:rPr>
            </w:pPr>
          </w:p>
        </w:tc>
        <w:tc>
          <w:tcPr>
            <w:tcW w:w="7229" w:type="dxa"/>
          </w:tcPr>
          <w:p w:rsidR="00D2625B" w:rsidRPr="00495271" w:rsidRDefault="00D2625B" w:rsidP="00EE2D87">
            <w:pPr>
              <w:rPr>
                <w:rFonts w:asciiTheme="minorHAnsi" w:hAnsiTheme="minorHAnsi" w:cstheme="minorHAnsi"/>
                <w:b/>
                <w:i/>
              </w:rPr>
            </w:pPr>
            <w:r w:rsidRPr="00495271">
              <w:rPr>
                <w:rFonts w:asciiTheme="minorHAnsi" w:hAnsiTheme="minorHAnsi" w:cstheme="minorHAnsi"/>
                <w:b/>
                <w:i/>
              </w:rPr>
              <w:t>Po pitanju odgovarajućeg broja izvršitelja u Središnjoj harmonizacijskoj jedinici,  SHJ je internim aktom iskazala potrebu za popunjavanje sljedećih radnih mjesta:</w:t>
            </w:r>
          </w:p>
          <w:p w:rsidR="00D2625B" w:rsidRPr="00495271" w:rsidRDefault="00D2625B" w:rsidP="00EE2D87">
            <w:pPr>
              <w:rPr>
                <w:rFonts w:asciiTheme="minorHAnsi" w:hAnsiTheme="minorHAnsi" w:cstheme="minorHAnsi"/>
                <w:b/>
                <w:i/>
              </w:rPr>
            </w:pPr>
            <w:r w:rsidRPr="00495271">
              <w:rPr>
                <w:rFonts w:asciiTheme="minorHAnsi" w:hAnsiTheme="minorHAnsi" w:cstheme="minorHAnsi"/>
                <w:b/>
                <w:i/>
              </w:rPr>
              <w:t xml:space="preserve">1.            U Odsjeku za razvoj sustava unutarnje revizije </w:t>
            </w:r>
          </w:p>
          <w:p w:rsidR="00D2625B" w:rsidRPr="00495271" w:rsidRDefault="00D2625B" w:rsidP="00EE2D87">
            <w:pPr>
              <w:rPr>
                <w:rFonts w:asciiTheme="minorHAnsi" w:hAnsiTheme="minorHAnsi" w:cstheme="minorHAnsi"/>
                <w:b/>
                <w:i/>
              </w:rPr>
            </w:pPr>
            <w:r w:rsidRPr="00495271">
              <w:rPr>
                <w:rFonts w:asciiTheme="minorHAnsi" w:hAnsiTheme="minorHAnsi" w:cstheme="minorHAnsi"/>
                <w:b/>
                <w:i/>
              </w:rPr>
              <w:t>-              Viši stručni suradnik za razvoj unutarnje revizije (1 izvršitelj)</w:t>
            </w:r>
          </w:p>
          <w:p w:rsidR="00D2625B" w:rsidRPr="00495271" w:rsidRDefault="00D2625B" w:rsidP="00EE2D87">
            <w:pPr>
              <w:rPr>
                <w:rFonts w:asciiTheme="minorHAnsi" w:hAnsiTheme="minorHAnsi" w:cstheme="minorHAnsi"/>
                <w:b/>
                <w:i/>
              </w:rPr>
            </w:pPr>
            <w:r w:rsidRPr="00495271">
              <w:rPr>
                <w:rFonts w:asciiTheme="minorHAnsi" w:hAnsiTheme="minorHAnsi" w:cstheme="minorHAnsi"/>
                <w:b/>
                <w:i/>
              </w:rPr>
              <w:t xml:space="preserve">2.            U Odsjeku za razvoj financijskog upravljanja i kontrole </w:t>
            </w:r>
          </w:p>
          <w:p w:rsidR="00D2625B" w:rsidRPr="00495271" w:rsidRDefault="00D2625B" w:rsidP="00EE2D87">
            <w:pPr>
              <w:rPr>
                <w:rFonts w:asciiTheme="minorHAnsi" w:hAnsiTheme="minorHAnsi" w:cstheme="minorHAnsi"/>
                <w:b/>
                <w:i/>
              </w:rPr>
            </w:pPr>
            <w:r w:rsidRPr="00495271">
              <w:rPr>
                <w:rFonts w:asciiTheme="minorHAnsi" w:hAnsiTheme="minorHAnsi" w:cstheme="minorHAnsi"/>
                <w:b/>
                <w:i/>
              </w:rPr>
              <w:lastRenderedPageBreak/>
              <w:t>-              Viši stručni suradnik za razvoj financijskog upravljanja i kontrole (1 izvršitelj)</w:t>
            </w:r>
          </w:p>
          <w:p w:rsidR="00D2625B" w:rsidRPr="00495271" w:rsidRDefault="00D2625B" w:rsidP="00EE2D87">
            <w:pPr>
              <w:rPr>
                <w:rFonts w:asciiTheme="minorHAnsi" w:hAnsiTheme="minorHAnsi" w:cstheme="minorHAnsi"/>
                <w:b/>
                <w:i/>
              </w:rPr>
            </w:pPr>
            <w:r w:rsidRPr="00495271">
              <w:rPr>
                <w:rFonts w:asciiTheme="minorHAnsi" w:hAnsiTheme="minorHAnsi" w:cstheme="minorHAnsi"/>
                <w:b/>
                <w:i/>
              </w:rPr>
              <w:t>3.            U Odsjeku za poslove certifikacije, edukacije i informiranja</w:t>
            </w:r>
          </w:p>
          <w:p w:rsidR="00D2625B" w:rsidRPr="00495271" w:rsidRDefault="00D2625B" w:rsidP="00EE2D87">
            <w:pPr>
              <w:rPr>
                <w:rFonts w:asciiTheme="minorHAnsi" w:hAnsiTheme="minorHAnsi" w:cstheme="minorHAnsi"/>
                <w:b/>
                <w:i/>
              </w:rPr>
            </w:pPr>
            <w:r w:rsidRPr="00495271">
              <w:rPr>
                <w:rFonts w:asciiTheme="minorHAnsi" w:hAnsiTheme="minorHAnsi" w:cstheme="minorHAnsi"/>
                <w:b/>
                <w:i/>
              </w:rPr>
              <w:t>-              Stručni savjetnik za poslove certifikacije, edukacije i informiranja (1 izvršitelj).</w:t>
            </w:r>
            <w:r w:rsidR="00B37079">
              <w:rPr>
                <w:rFonts w:asciiTheme="minorHAnsi" w:hAnsiTheme="minorHAnsi" w:cstheme="minorHAnsi"/>
                <w:b/>
                <w:i/>
              </w:rPr>
              <w:t xml:space="preserve">  </w:t>
            </w:r>
          </w:p>
          <w:p w:rsidR="00D2625B" w:rsidRPr="00495271" w:rsidRDefault="00D2625B" w:rsidP="00AE3FBE">
            <w:pPr>
              <w:jc w:val="both"/>
              <w:rPr>
                <w:rFonts w:asciiTheme="minorHAnsi" w:hAnsiTheme="minorHAnsi" w:cstheme="minorHAnsi"/>
                <w:b/>
                <w:i/>
              </w:rPr>
            </w:pPr>
            <w:r w:rsidRPr="00AE3FBE">
              <w:rPr>
                <w:rFonts w:asciiTheme="minorHAnsi" w:hAnsiTheme="minorHAnsi" w:cstheme="minorHAnsi"/>
                <w:b/>
                <w:i/>
                <w:noProof/>
              </w:rPr>
              <w:t>Nakon usvajanja novog Pravilnika o unut</w:t>
            </w:r>
            <w:r w:rsidR="00AE3FBE">
              <w:rPr>
                <w:rFonts w:asciiTheme="minorHAnsi" w:hAnsiTheme="minorHAnsi" w:cstheme="minorHAnsi"/>
                <w:b/>
                <w:i/>
                <w:noProof/>
              </w:rPr>
              <w:t>arn</w:t>
            </w:r>
            <w:r w:rsidRPr="00AE3FBE">
              <w:rPr>
                <w:rFonts w:asciiTheme="minorHAnsi" w:hAnsiTheme="minorHAnsi" w:cstheme="minorHAnsi"/>
                <w:b/>
                <w:i/>
                <w:noProof/>
              </w:rPr>
              <w:t xml:space="preserve">joj organizaciji ministarstva, poduzeti </w:t>
            </w:r>
            <w:r w:rsidR="00B37079" w:rsidRPr="00AE3FBE">
              <w:rPr>
                <w:rFonts w:asciiTheme="minorHAnsi" w:hAnsiTheme="minorHAnsi" w:cstheme="minorHAnsi"/>
                <w:b/>
                <w:i/>
                <w:noProof/>
              </w:rPr>
              <w:t xml:space="preserve">će se </w:t>
            </w:r>
            <w:r w:rsidRPr="00AE3FBE">
              <w:rPr>
                <w:rFonts w:asciiTheme="minorHAnsi" w:hAnsiTheme="minorHAnsi" w:cstheme="minorHAnsi"/>
                <w:b/>
                <w:i/>
                <w:noProof/>
              </w:rPr>
              <w:t>odgovarajuće aktivnosti.</w:t>
            </w:r>
          </w:p>
        </w:tc>
      </w:tr>
      <w:tr w:rsidR="00495271" w:rsidRPr="00495271" w:rsidTr="00495271">
        <w:tc>
          <w:tcPr>
            <w:tcW w:w="1231" w:type="dxa"/>
          </w:tcPr>
          <w:p w:rsidR="00D2625B" w:rsidRPr="00495271" w:rsidRDefault="00D2625B" w:rsidP="00072B41">
            <w:pPr>
              <w:spacing w:after="0" w:line="240" w:lineRule="auto"/>
              <w:rPr>
                <w:rFonts w:asciiTheme="minorHAnsi" w:hAnsiTheme="minorHAnsi" w:cstheme="minorHAnsi"/>
                <w:i/>
              </w:rPr>
            </w:pPr>
            <w:r w:rsidRPr="00495271">
              <w:rPr>
                <w:rFonts w:asciiTheme="minorHAnsi" w:hAnsiTheme="minorHAnsi" w:cstheme="minorHAnsi"/>
                <w:i/>
              </w:rPr>
              <w:lastRenderedPageBreak/>
              <w:t>3.</w:t>
            </w:r>
          </w:p>
          <w:p w:rsidR="00D2625B" w:rsidRPr="00495271" w:rsidRDefault="00D2625B" w:rsidP="00072B41">
            <w:pPr>
              <w:spacing w:after="0" w:line="240" w:lineRule="auto"/>
              <w:rPr>
                <w:rFonts w:asciiTheme="minorHAnsi" w:hAnsiTheme="minorHAnsi" w:cstheme="minorHAnsi"/>
                <w:i/>
              </w:rPr>
            </w:pPr>
          </w:p>
        </w:tc>
        <w:tc>
          <w:tcPr>
            <w:tcW w:w="5852" w:type="dxa"/>
          </w:tcPr>
          <w:p w:rsidR="00D2625B" w:rsidRPr="00495271" w:rsidRDefault="00D2625B" w:rsidP="00A23559">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Poduzeti aktivnosti kako bi se pravovremeno izvršila unutarnja revizija za institucije koje su u nadležnosti Jedinice za unutarnju reviziju.</w:t>
            </w:r>
          </w:p>
        </w:tc>
        <w:tc>
          <w:tcPr>
            <w:tcW w:w="7229" w:type="dxa"/>
          </w:tcPr>
          <w:p w:rsidR="00D2625B" w:rsidRPr="00495271" w:rsidRDefault="00D2625B" w:rsidP="00DB5441">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 xml:space="preserve">Procesi unutarnje revizije vrše se na temelju odobrenog Godišnjeg plana, koji se izrađuje u skladu sa Zakonom  o unutarnjoj reviziji u javnom sektoru u FBiH, Pravilniku o kriterijima za uspostavljanje jedinica za unutarnju reviziju u javnom sektoru u Federaciji BiH i ostalim podzakonskim aktima koji reguliraju oblast unutarnje revizije, kao i raspoloživim kadrovskim kapacitetima (Jedinica za unutarnju reviziju obavlja aktivnosti unutarnje revizije u  kapacitetu načelnik Jedinice i  jedan revizorski tim koji čine dva unutarnja revizora). </w:t>
            </w:r>
          </w:p>
          <w:p w:rsidR="00D2625B" w:rsidRPr="00495271" w:rsidRDefault="00D2625B" w:rsidP="00DB5441">
            <w:pPr>
              <w:spacing w:after="0" w:line="240" w:lineRule="auto"/>
              <w:rPr>
                <w:rFonts w:asciiTheme="minorHAnsi" w:hAnsiTheme="minorHAnsi" w:cstheme="minorHAnsi"/>
                <w:b/>
                <w:i/>
                <w:lang w:val="bs-Latn-BA"/>
              </w:rPr>
            </w:pPr>
            <w:r w:rsidRPr="00495271">
              <w:rPr>
                <w:rFonts w:asciiTheme="minorHAnsi" w:hAnsiTheme="minorHAnsi" w:cstheme="minorHAnsi"/>
                <w:b/>
                <w:i/>
              </w:rPr>
              <w:t>U cilju pravovremenog i efikasnog obavljanja unutarnjih revizija kod proračunskih korisnika iz nadležnosti Jedinice za unutarnju reviziju,  novim nacrtom  Pravilnika o unutarnjoj organizaciji Federalnog ministarstva financija planirano je povećanje broja izvršitelja - unutarnjih revizora.</w:t>
            </w:r>
          </w:p>
          <w:p w:rsidR="00D2625B" w:rsidRPr="00495271" w:rsidRDefault="00D2625B" w:rsidP="00DB5441">
            <w:pPr>
              <w:spacing w:after="0" w:line="240" w:lineRule="auto"/>
              <w:jc w:val="both"/>
              <w:rPr>
                <w:rFonts w:asciiTheme="minorHAnsi" w:eastAsia="Times New Roman" w:hAnsiTheme="minorHAnsi"/>
                <w:b/>
                <w:bCs/>
                <w:i/>
                <w:iCs/>
                <w:lang w:eastAsia="bs-Latn-BA"/>
              </w:rPr>
            </w:pPr>
          </w:p>
        </w:tc>
      </w:tr>
      <w:tr w:rsidR="00495271" w:rsidRPr="00495271" w:rsidTr="00495271">
        <w:tc>
          <w:tcPr>
            <w:tcW w:w="1231" w:type="dxa"/>
          </w:tcPr>
          <w:p w:rsidR="00D2625B" w:rsidRPr="00495271" w:rsidRDefault="00D2625B" w:rsidP="00A3215B">
            <w:pPr>
              <w:rPr>
                <w:rFonts w:asciiTheme="minorHAnsi" w:hAnsiTheme="minorHAnsi" w:cstheme="minorHAnsi"/>
                <w:i/>
              </w:rPr>
            </w:pPr>
            <w:r w:rsidRPr="00495271">
              <w:rPr>
                <w:rFonts w:asciiTheme="minorHAnsi" w:hAnsiTheme="minorHAnsi" w:cstheme="minorHAnsi"/>
                <w:i/>
              </w:rPr>
              <w:t>4.</w:t>
            </w:r>
          </w:p>
        </w:tc>
        <w:tc>
          <w:tcPr>
            <w:tcW w:w="5852" w:type="dxa"/>
          </w:tcPr>
          <w:p w:rsidR="00D2625B" w:rsidRPr="00495271" w:rsidRDefault="00D2625B" w:rsidP="00495271">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Tečajne razlike u Glavnoj knjizi riznice, sadržane u otplatama anuiteta po vanjskom dugu, knjižiti sukladno Računovodstvenim politikama za federalne proračunske korisnike i riznicu i Naputku o planiranju i računovodstvenom evidentiranju vanjskog duga FBiH u Glavnoj knjizi riznice.</w:t>
            </w:r>
          </w:p>
        </w:tc>
        <w:tc>
          <w:tcPr>
            <w:tcW w:w="7229" w:type="dxa"/>
          </w:tcPr>
          <w:p w:rsidR="00D2625B" w:rsidRPr="00495271" w:rsidRDefault="00D2625B" w:rsidP="00A3215B">
            <w:pPr>
              <w:pStyle w:val="BodyText2"/>
              <w:tabs>
                <w:tab w:val="left" w:pos="851"/>
              </w:tabs>
              <w:outlineLvl w:val="0"/>
              <w:rPr>
                <w:rFonts w:asciiTheme="minorHAnsi" w:hAnsiTheme="minorHAnsi" w:cstheme="minorHAnsi"/>
                <w:b/>
                <w:bCs/>
                <w:i/>
                <w:sz w:val="20"/>
                <w:lang w:val="bs-Latn-BA"/>
              </w:rPr>
            </w:pPr>
            <w:r w:rsidRPr="00495271">
              <w:rPr>
                <w:rFonts w:asciiTheme="minorHAnsi" w:hAnsiTheme="minorHAnsi"/>
                <w:b/>
                <w:bCs/>
                <w:i/>
                <w:iCs/>
                <w:sz w:val="20"/>
                <w:lang w:eastAsia="bs-Latn-BA"/>
              </w:rPr>
              <w:t> </w:t>
            </w:r>
            <w:r w:rsidRPr="00495271">
              <w:rPr>
                <w:rFonts w:asciiTheme="minorHAnsi" w:hAnsiTheme="minorHAnsi" w:cstheme="minorHAnsi"/>
                <w:b/>
                <w:bCs/>
                <w:i/>
                <w:sz w:val="20"/>
                <w:lang w:val="bs-Latn-BA"/>
              </w:rPr>
              <w:t>Pretpostavka za provedbu preporuke je donošenje novog  Naputka o planiranju i računovodstvenom evidentiranju vanjskog duga FBiH u Glavnoj knjizi riznice, čijim donošenjem će se stvoriti pretpostavke za realizaciju preporuke.</w:t>
            </w:r>
          </w:p>
          <w:p w:rsidR="00D2625B" w:rsidRPr="00495271" w:rsidRDefault="00D2625B" w:rsidP="00A3215B">
            <w:pPr>
              <w:spacing w:after="0" w:line="240" w:lineRule="auto"/>
              <w:jc w:val="both"/>
              <w:rPr>
                <w:rFonts w:asciiTheme="minorHAnsi" w:eastAsia="Times New Roman" w:hAnsiTheme="minorHAnsi"/>
                <w:b/>
                <w:bCs/>
                <w:i/>
                <w:iCs/>
                <w:lang w:eastAsia="bs-Latn-BA"/>
              </w:rPr>
            </w:pPr>
          </w:p>
        </w:tc>
      </w:tr>
      <w:tr w:rsidR="00495271" w:rsidRPr="00495271" w:rsidTr="00495271">
        <w:tc>
          <w:tcPr>
            <w:tcW w:w="1231" w:type="dxa"/>
          </w:tcPr>
          <w:p w:rsidR="00D2625B" w:rsidRPr="00495271" w:rsidRDefault="00D2625B" w:rsidP="00D2625B">
            <w:pPr>
              <w:rPr>
                <w:rFonts w:asciiTheme="minorHAnsi" w:hAnsiTheme="minorHAnsi" w:cstheme="minorHAnsi"/>
                <w:i/>
              </w:rPr>
            </w:pPr>
            <w:r w:rsidRPr="00495271">
              <w:rPr>
                <w:rFonts w:asciiTheme="minorHAnsi" w:hAnsiTheme="minorHAnsi" w:cstheme="minorHAnsi"/>
                <w:i/>
              </w:rPr>
              <w:t>5.</w:t>
            </w:r>
          </w:p>
        </w:tc>
        <w:tc>
          <w:tcPr>
            <w:tcW w:w="5852" w:type="dxa"/>
            <w:vAlign w:val="center"/>
          </w:tcPr>
          <w:p w:rsidR="00D2625B" w:rsidRPr="00495271" w:rsidRDefault="00D2625B" w:rsidP="00D2625B">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 xml:space="preserve">Nadzor nad provođenjem mjera i preporuka za poboljšanje integriteta i izvješćivanje o rezultatima provođenja Plana integriteta vršiti sukladno Odluci o usvajanju Plana integriteta. </w:t>
            </w:r>
          </w:p>
        </w:tc>
        <w:tc>
          <w:tcPr>
            <w:tcW w:w="7229" w:type="dxa"/>
            <w:vAlign w:val="center"/>
          </w:tcPr>
          <w:p w:rsidR="00D2625B" w:rsidRPr="00495271" w:rsidRDefault="00D2625B" w:rsidP="00D2625B">
            <w:pPr>
              <w:spacing w:after="0" w:line="240" w:lineRule="auto"/>
              <w:jc w:val="both"/>
              <w:rPr>
                <w:rFonts w:asciiTheme="minorHAnsi" w:eastAsia="Times New Roman" w:hAnsiTheme="minorHAnsi" w:cstheme="minorHAnsi"/>
                <w:b/>
                <w:bCs/>
                <w:i/>
                <w:iCs/>
                <w:lang w:eastAsia="bs-Latn-BA"/>
              </w:rPr>
            </w:pPr>
            <w:r w:rsidRPr="00495271">
              <w:rPr>
                <w:rFonts w:asciiTheme="minorHAnsi" w:eastAsia="Times New Roman" w:hAnsiTheme="minorHAnsi" w:cstheme="minorHAnsi"/>
                <w:b/>
                <w:bCs/>
                <w:i/>
                <w:iCs/>
                <w:lang w:eastAsia="bs-Latn-BA"/>
              </w:rPr>
              <w:t>Odluka o usvajanju Plana integriteta u Federalnom ministarstvu financija broj: 03-05-1-8320-7/16 od 13.03.2017.godine donesena je u vezi s obvezama koje su bile utvrđene za federalne organe uprave u Strategiji za borbu protiv korupcije 2016-2019 i Akcijskim planom Vlade Federacije BiH za provođenje Strategije za borbu protiv korupcije koje je Vlada Federacije BiH usvojila Odlukom Vlade Federacije BiH (Sl.novine FBiH 75/16).</w:t>
            </w:r>
          </w:p>
          <w:p w:rsidR="00D2625B" w:rsidRPr="00495271" w:rsidRDefault="00D2625B" w:rsidP="00D2625B">
            <w:pPr>
              <w:jc w:val="both"/>
              <w:rPr>
                <w:rFonts w:asciiTheme="minorHAnsi" w:hAnsiTheme="minorHAnsi" w:cstheme="minorHAnsi"/>
                <w:b/>
                <w:i/>
              </w:rPr>
            </w:pPr>
            <w:r w:rsidRPr="00495271">
              <w:rPr>
                <w:rFonts w:asciiTheme="minorHAnsi" w:hAnsiTheme="minorHAnsi" w:cstheme="minorHAnsi"/>
                <w:b/>
                <w:i/>
              </w:rPr>
              <w:t>U skladu s navedenim, vremenski okvir za provođenje i implementaciju aktivnosti iz navedenog Plana integriteta bio je određen Strategijom za borbu protiv korupcije 2016-2019 i Akcijskim planom za provođenje Strategije za borbu protiv korupcije te su u skladu s navedenim sve aktivnosti bile vezane za razdoblje 2016.-2019.godina.</w:t>
            </w:r>
          </w:p>
          <w:p w:rsidR="00D2625B" w:rsidRPr="00495271" w:rsidRDefault="00D2625B" w:rsidP="00D2625B">
            <w:pPr>
              <w:jc w:val="both"/>
              <w:rPr>
                <w:rFonts w:asciiTheme="minorHAnsi" w:hAnsiTheme="minorHAnsi" w:cstheme="minorHAnsi"/>
                <w:b/>
                <w:i/>
              </w:rPr>
            </w:pPr>
            <w:r w:rsidRPr="00495271">
              <w:rPr>
                <w:rFonts w:asciiTheme="minorHAnsi" w:hAnsiTheme="minorHAnsi" w:cstheme="minorHAnsi"/>
                <w:b/>
                <w:i/>
              </w:rPr>
              <w:lastRenderedPageBreak/>
              <w:t>S tim u vezi, Vlada Federacije BiH je dana 08.02.2022. godine na svojoj web-stranici objavila novi “Akcijski plan za borbu protiv korupcije za razdoblje od 2021. godine do donošenja Strategije za borbu protiv korupcije u Federaciji Bosne i Hercegovine“. Isti je usvojen na 290. Sjednici Vlade FBiH na prijedlog Antikorupcijskog tima imenovanog Rješenjem Vlade Federacije BiH („Službene novine FBiH“, broj 27/21).</w:t>
            </w:r>
          </w:p>
          <w:p w:rsidR="00D2625B" w:rsidRPr="00495271" w:rsidRDefault="00D2625B" w:rsidP="00AE3FBE">
            <w:pPr>
              <w:spacing w:after="0" w:line="240" w:lineRule="auto"/>
              <w:jc w:val="both"/>
              <w:rPr>
                <w:rFonts w:asciiTheme="minorHAnsi" w:eastAsia="Times New Roman" w:hAnsiTheme="minorHAnsi" w:cstheme="minorHAnsi"/>
                <w:b/>
                <w:bCs/>
                <w:i/>
                <w:iCs/>
                <w:lang w:eastAsia="bs-Latn-BA"/>
              </w:rPr>
            </w:pPr>
            <w:r w:rsidRPr="00495271">
              <w:rPr>
                <w:rFonts w:asciiTheme="minorHAnsi" w:hAnsiTheme="minorHAnsi" w:cstheme="minorHAnsi"/>
                <w:b/>
                <w:i/>
              </w:rPr>
              <w:t>Tačkom - 1.1.1. pomenutog Akcijskog plana kao jedna od aktivnosti federalnih organa uprave predviđeno i analiziranje i ažuriranje postojećih planova integriteta u institucijama u roku od šest mjeseci od dana usvajanja plana. U tom kontekstu, kada se govori o aktivnostima na izradi ili ažuriranju Plana integriteta, bitno je istaći da predmetne aktivnosti pored ostalog  podrazumjevaju i Analizu radnih mjesta i identificiranje rizičnih područja, procjena nivoa rizika prema radnim mjestima i organizacionim jedinicama. S obzirom da se na nivou ministarstva trenutno provode aktivnosti vezane za donošenje novog Pravilnika o unut</w:t>
            </w:r>
            <w:r w:rsidR="00AE3FBE">
              <w:rPr>
                <w:rFonts w:asciiTheme="minorHAnsi" w:hAnsiTheme="minorHAnsi" w:cstheme="minorHAnsi"/>
                <w:b/>
                <w:i/>
              </w:rPr>
              <w:t>arnj</w:t>
            </w:r>
            <w:r w:rsidRPr="00495271">
              <w:rPr>
                <w:rFonts w:asciiTheme="minorHAnsi" w:hAnsiTheme="minorHAnsi" w:cstheme="minorHAnsi"/>
                <w:b/>
                <w:i/>
              </w:rPr>
              <w:t>oj organizaciji, po okončanju istih stvoriće se predu</w:t>
            </w:r>
            <w:r w:rsidR="00AE3FBE">
              <w:rPr>
                <w:rFonts w:asciiTheme="minorHAnsi" w:hAnsiTheme="minorHAnsi" w:cstheme="minorHAnsi"/>
                <w:b/>
                <w:i/>
              </w:rPr>
              <w:t>vjeti</w:t>
            </w:r>
            <w:r w:rsidRPr="00495271">
              <w:rPr>
                <w:rFonts w:asciiTheme="minorHAnsi" w:hAnsiTheme="minorHAnsi" w:cstheme="minorHAnsi"/>
                <w:b/>
                <w:i/>
              </w:rPr>
              <w:t xml:space="preserve"> da se izvrši analiza i procjena postojanja potrebe za ažuriranje postojećeg Plana integriteta  Federalnog ministarstva finan</w:t>
            </w:r>
            <w:r w:rsidR="00AE3FBE">
              <w:rPr>
                <w:rFonts w:asciiTheme="minorHAnsi" w:hAnsiTheme="minorHAnsi" w:cstheme="minorHAnsi"/>
                <w:b/>
                <w:i/>
              </w:rPr>
              <w:t>c</w:t>
            </w:r>
            <w:r w:rsidRPr="00495271">
              <w:rPr>
                <w:rFonts w:asciiTheme="minorHAnsi" w:hAnsiTheme="minorHAnsi" w:cstheme="minorHAnsi"/>
                <w:b/>
                <w:i/>
              </w:rPr>
              <w:t>ija-finan</w:t>
            </w:r>
            <w:r w:rsidR="00AE3FBE">
              <w:rPr>
                <w:rFonts w:asciiTheme="minorHAnsi" w:hAnsiTheme="minorHAnsi" w:cstheme="minorHAnsi"/>
                <w:b/>
                <w:i/>
              </w:rPr>
              <w:t>s</w:t>
            </w:r>
            <w:r w:rsidRPr="00495271">
              <w:rPr>
                <w:rFonts w:asciiTheme="minorHAnsi" w:hAnsiTheme="minorHAnsi" w:cstheme="minorHAnsi"/>
                <w:b/>
                <w:i/>
              </w:rPr>
              <w:t>ija.</w:t>
            </w:r>
          </w:p>
        </w:tc>
      </w:tr>
      <w:tr w:rsidR="003174FA" w:rsidTr="00FB5753">
        <w:tc>
          <w:tcPr>
            <w:tcW w:w="1231" w:type="dxa"/>
          </w:tcPr>
          <w:p w:rsidR="003174FA" w:rsidRDefault="003174FA" w:rsidP="003174FA">
            <w:pPr>
              <w:jc w:val="both"/>
              <w:rPr>
                <w:rFonts w:asciiTheme="minorHAnsi" w:hAnsiTheme="minorHAnsi" w:cstheme="minorHAnsi"/>
                <w:i/>
              </w:rPr>
            </w:pPr>
            <w:r>
              <w:rPr>
                <w:rFonts w:asciiTheme="minorHAnsi" w:hAnsiTheme="minorHAnsi" w:cstheme="minorHAnsi"/>
                <w:i/>
              </w:rPr>
              <w:lastRenderedPageBreak/>
              <w:t>6.</w:t>
            </w:r>
          </w:p>
        </w:tc>
        <w:tc>
          <w:tcPr>
            <w:tcW w:w="5852" w:type="dxa"/>
            <w:vAlign w:val="center"/>
          </w:tcPr>
          <w:p w:rsidR="003174FA" w:rsidRPr="003174FA" w:rsidRDefault="003174FA" w:rsidP="003174FA">
            <w:pPr>
              <w:spacing w:after="0" w:line="240" w:lineRule="auto"/>
              <w:jc w:val="both"/>
              <w:rPr>
                <w:rFonts w:asciiTheme="minorHAnsi" w:eastAsia="Times New Roman" w:hAnsiTheme="minorHAnsi"/>
                <w:b/>
                <w:bCs/>
                <w:i/>
                <w:iCs/>
                <w:highlight w:val="yellow"/>
                <w:lang w:eastAsia="bs-Latn-BA"/>
              </w:rPr>
            </w:pPr>
            <w:r w:rsidRPr="00AE3FBE">
              <w:rPr>
                <w:rFonts w:asciiTheme="minorHAnsi" w:eastAsia="Times New Roman" w:hAnsiTheme="minorHAnsi"/>
                <w:b/>
                <w:bCs/>
                <w:i/>
                <w:iCs/>
                <w:lang w:eastAsia="bs-Latn-BA"/>
              </w:rPr>
              <w:t xml:space="preserve">Pravomoćne sudske presude planirati i evidentirati na pripadajućim pozicijama rashoda i obveza, sukladno članku 76. Zakona o proračunima u FBiH. </w:t>
            </w:r>
          </w:p>
        </w:tc>
        <w:tc>
          <w:tcPr>
            <w:tcW w:w="7229" w:type="dxa"/>
            <w:vAlign w:val="center"/>
          </w:tcPr>
          <w:p w:rsidR="003174FA" w:rsidRPr="00AE3FBE" w:rsidRDefault="003174FA" w:rsidP="003174FA">
            <w:pPr>
              <w:spacing w:after="0" w:line="240" w:lineRule="auto"/>
              <w:jc w:val="both"/>
              <w:rPr>
                <w:rFonts w:asciiTheme="minorHAnsi" w:eastAsia="Times New Roman" w:hAnsiTheme="minorHAnsi"/>
                <w:b/>
                <w:bCs/>
                <w:i/>
                <w:iCs/>
                <w:lang w:eastAsia="bs-Latn-BA"/>
              </w:rPr>
            </w:pPr>
            <w:r w:rsidRPr="00AE3FBE">
              <w:rPr>
                <w:rFonts w:asciiTheme="minorHAnsi" w:eastAsia="Times New Roman" w:hAnsiTheme="minorHAnsi"/>
                <w:b/>
                <w:bCs/>
                <w:i/>
                <w:iCs/>
                <w:lang w:eastAsia="bs-Latn-BA"/>
              </w:rPr>
              <w:t>Obveze po osnovu sudskih presuda evidentirane su na poziciji rashoda u visini sredstava planiranih proračunom.  Da bi se dospjele obveze po sudskim presudama i izvršnim sudskim rješenjima iskazale na pozicijama rashoda, potrebno je Proračunom planirati sredstva za to.</w:t>
            </w:r>
          </w:p>
          <w:p w:rsidR="00D11355" w:rsidRPr="00901098" w:rsidRDefault="00D11355" w:rsidP="00D11355">
            <w:pPr>
              <w:autoSpaceDE w:val="0"/>
              <w:autoSpaceDN w:val="0"/>
              <w:adjustRightInd w:val="0"/>
              <w:spacing w:after="0" w:line="240" w:lineRule="auto"/>
              <w:jc w:val="both"/>
              <w:rPr>
                <w:rFonts w:asciiTheme="minorHAnsi" w:hAnsiTheme="minorHAnsi" w:cstheme="minorHAnsi"/>
                <w:b/>
                <w:i/>
              </w:rPr>
            </w:pPr>
            <w:r>
              <w:rPr>
                <w:rFonts w:asciiTheme="minorHAnsi" w:hAnsiTheme="minorHAnsi" w:cstheme="minorHAnsi"/>
                <w:b/>
                <w:i/>
              </w:rPr>
              <w:t xml:space="preserve">U vezi sa ovom preporukom bitno je istaći i  da je </w:t>
            </w:r>
            <w:r w:rsidRPr="00901098">
              <w:rPr>
                <w:rFonts w:asciiTheme="minorHAnsi" w:hAnsiTheme="minorHAnsi" w:cstheme="minorHAnsi"/>
                <w:b/>
                <w:i/>
              </w:rPr>
              <w:t>Vlada Federacije Bosne i Hercegovine je na svojoj 262. sjednici održanoj 08.04.2021. godine donijela Odluku o usvajanju Akci</w:t>
            </w:r>
            <w:r w:rsidR="00AE3FBE">
              <w:rPr>
                <w:rFonts w:asciiTheme="minorHAnsi" w:hAnsiTheme="minorHAnsi" w:cstheme="minorHAnsi"/>
                <w:b/>
                <w:i/>
              </w:rPr>
              <w:t>jskog</w:t>
            </w:r>
            <w:r w:rsidRPr="00901098">
              <w:rPr>
                <w:rFonts w:asciiTheme="minorHAnsi" w:hAnsiTheme="minorHAnsi" w:cstheme="minorHAnsi"/>
                <w:b/>
                <w:i/>
              </w:rPr>
              <w:t xml:space="preserve"> plana o načinu izvršenja sudskih odluka iz radnopravnih odnosa državnih službenika i namještenika u organima državne službe, sudskoj vlasti i javnim ustanovama u Federaciji Bosne i Hercegovine.</w:t>
            </w:r>
          </w:p>
          <w:p w:rsidR="00D11355" w:rsidRPr="00901098" w:rsidRDefault="00D11355" w:rsidP="00D11355">
            <w:pPr>
              <w:autoSpaceDE w:val="0"/>
              <w:autoSpaceDN w:val="0"/>
              <w:adjustRightInd w:val="0"/>
              <w:spacing w:after="0" w:line="240" w:lineRule="auto"/>
              <w:jc w:val="both"/>
              <w:rPr>
                <w:rFonts w:asciiTheme="minorHAnsi" w:hAnsiTheme="minorHAnsi" w:cstheme="minorHAnsi"/>
                <w:b/>
                <w:i/>
              </w:rPr>
            </w:pPr>
            <w:r w:rsidRPr="00901098">
              <w:rPr>
                <w:rFonts w:asciiTheme="minorHAnsi" w:hAnsiTheme="minorHAnsi" w:cstheme="minorHAnsi"/>
                <w:b/>
                <w:i/>
              </w:rPr>
              <w:t>Shodno usvojenom Akci</w:t>
            </w:r>
            <w:r w:rsidR="00AE3FBE">
              <w:rPr>
                <w:rFonts w:asciiTheme="minorHAnsi" w:hAnsiTheme="minorHAnsi" w:cstheme="minorHAnsi"/>
                <w:b/>
                <w:i/>
              </w:rPr>
              <w:t>jskom</w:t>
            </w:r>
            <w:r w:rsidRPr="00901098">
              <w:rPr>
                <w:rFonts w:asciiTheme="minorHAnsi" w:hAnsiTheme="minorHAnsi" w:cstheme="minorHAnsi"/>
                <w:b/>
                <w:i/>
              </w:rPr>
              <w:t xml:space="preserve"> Planu, Vlada Federacije Bosne i Hercegovine će u narednih 10 godina, odnosno u periodu od 2021. godine zaključno sa 2030. godinom, isplaćivati potraživanja iz radnopravnih odnosa državnih službenika i namještenika u organima državne službe, sudskoj vlasti i javnim ustanovama u Federaciji Bosne i Hercegovine dosuđena sudskim presudama iz perioda od 2009. godine do 2021. godine.</w:t>
            </w:r>
          </w:p>
          <w:p w:rsidR="00D11355" w:rsidRPr="00901098" w:rsidRDefault="00D11355" w:rsidP="00D11355">
            <w:pPr>
              <w:autoSpaceDE w:val="0"/>
              <w:autoSpaceDN w:val="0"/>
              <w:adjustRightInd w:val="0"/>
              <w:spacing w:after="0" w:line="240" w:lineRule="auto"/>
              <w:jc w:val="both"/>
              <w:rPr>
                <w:rFonts w:asciiTheme="minorHAnsi" w:hAnsiTheme="minorHAnsi" w:cstheme="minorHAnsi"/>
                <w:b/>
                <w:i/>
              </w:rPr>
            </w:pPr>
            <w:r w:rsidRPr="00901098">
              <w:rPr>
                <w:rFonts w:asciiTheme="minorHAnsi" w:hAnsiTheme="minorHAnsi" w:cstheme="minorHAnsi"/>
                <w:b/>
                <w:i/>
              </w:rPr>
              <w:t>Svi organi državne službe, sudske vlasti i javnih ustanova u Federaciji Bosne i Hercegovine su određeni kao nosioci aktivnosti na realizaciji pomenutog Akci</w:t>
            </w:r>
            <w:r w:rsidR="00AE3FBE">
              <w:rPr>
                <w:rFonts w:asciiTheme="minorHAnsi" w:hAnsiTheme="minorHAnsi" w:cstheme="minorHAnsi"/>
                <w:b/>
                <w:i/>
              </w:rPr>
              <w:t>jskog</w:t>
            </w:r>
            <w:r w:rsidRPr="00901098">
              <w:rPr>
                <w:rFonts w:asciiTheme="minorHAnsi" w:hAnsiTheme="minorHAnsi" w:cstheme="minorHAnsi"/>
                <w:b/>
                <w:i/>
              </w:rPr>
              <w:t xml:space="preserve"> Plana.</w:t>
            </w:r>
          </w:p>
          <w:p w:rsidR="00D11355" w:rsidRDefault="00D11355" w:rsidP="003174FA">
            <w:pPr>
              <w:spacing w:after="0" w:line="240" w:lineRule="auto"/>
              <w:jc w:val="both"/>
              <w:rPr>
                <w:rFonts w:asciiTheme="minorHAnsi" w:eastAsia="Times New Roman" w:hAnsiTheme="minorHAnsi"/>
                <w:b/>
                <w:bCs/>
                <w:i/>
                <w:iCs/>
                <w:highlight w:val="yellow"/>
                <w:lang w:eastAsia="bs-Latn-BA"/>
              </w:rPr>
            </w:pPr>
          </w:p>
          <w:p w:rsidR="00D11355" w:rsidRDefault="00D11355" w:rsidP="003174FA">
            <w:pPr>
              <w:spacing w:after="0" w:line="240" w:lineRule="auto"/>
              <w:jc w:val="both"/>
              <w:rPr>
                <w:rFonts w:asciiTheme="minorHAnsi" w:eastAsia="Times New Roman" w:hAnsiTheme="minorHAnsi"/>
                <w:b/>
                <w:bCs/>
                <w:i/>
                <w:iCs/>
                <w:highlight w:val="yellow"/>
                <w:lang w:eastAsia="bs-Latn-BA"/>
              </w:rPr>
            </w:pPr>
          </w:p>
          <w:p w:rsidR="003146B6" w:rsidRPr="003174FA" w:rsidRDefault="003146B6" w:rsidP="003174FA">
            <w:pPr>
              <w:spacing w:after="0" w:line="240" w:lineRule="auto"/>
              <w:jc w:val="both"/>
              <w:rPr>
                <w:rFonts w:asciiTheme="minorHAnsi" w:eastAsia="Times New Roman" w:hAnsiTheme="minorHAnsi"/>
                <w:b/>
                <w:bCs/>
                <w:i/>
                <w:iCs/>
                <w:highlight w:val="yellow"/>
                <w:lang w:eastAsia="bs-Latn-BA"/>
              </w:rPr>
            </w:pPr>
          </w:p>
        </w:tc>
      </w:tr>
    </w:tbl>
    <w:p w:rsidR="0048065B" w:rsidRPr="00495271" w:rsidRDefault="0048065B" w:rsidP="008948F2">
      <w:pPr>
        <w:jc w:val="both"/>
        <w:rPr>
          <w:rFonts w:asciiTheme="minorHAnsi" w:hAnsiTheme="minorHAnsi" w:cstheme="minorHAnsi"/>
          <w:i/>
          <w:sz w:val="20"/>
          <w:szCs w:val="20"/>
        </w:rPr>
      </w:pPr>
    </w:p>
    <w:p w:rsidR="00495271" w:rsidRPr="00495271" w:rsidRDefault="00495271" w:rsidP="008948F2">
      <w:pPr>
        <w:jc w:val="both"/>
        <w:rPr>
          <w:rFonts w:asciiTheme="minorHAnsi" w:hAnsiTheme="minorHAnsi" w:cstheme="minorHAnsi"/>
          <w:i/>
          <w:sz w:val="20"/>
          <w:szCs w:val="20"/>
        </w:rPr>
      </w:pPr>
    </w:p>
    <w:p w:rsidR="004B5E80" w:rsidRPr="00495271" w:rsidRDefault="004B5E80" w:rsidP="004B5E80">
      <w:pPr>
        <w:jc w:val="both"/>
        <w:rPr>
          <w:rFonts w:asciiTheme="minorHAnsi" w:hAnsiTheme="minorHAnsi" w:cstheme="minorHAnsi"/>
          <w:b/>
          <w:i/>
        </w:rPr>
      </w:pPr>
      <w:r w:rsidRPr="00495271">
        <w:rPr>
          <w:rFonts w:asciiTheme="minorHAnsi" w:hAnsiTheme="minorHAnsi" w:cstheme="minorHAnsi"/>
          <w:b/>
          <w:i/>
        </w:rPr>
        <w:lastRenderedPageBreak/>
        <w:t>TABELA 2.-REALIZIRANE PREPORUKE</w:t>
      </w:r>
    </w:p>
    <w:tbl>
      <w:tblPr>
        <w:tblStyle w:val="TableGrid"/>
        <w:tblW w:w="14312" w:type="dxa"/>
        <w:tblLook w:val="04A0" w:firstRow="1" w:lastRow="0" w:firstColumn="1" w:lastColumn="0" w:noHBand="0" w:noVBand="1"/>
      </w:tblPr>
      <w:tblGrid>
        <w:gridCol w:w="1230"/>
        <w:gridCol w:w="5853"/>
        <w:gridCol w:w="7229"/>
      </w:tblGrid>
      <w:tr w:rsidR="00495271" w:rsidRPr="00495271" w:rsidTr="00495271">
        <w:tc>
          <w:tcPr>
            <w:tcW w:w="1230" w:type="dxa"/>
          </w:tcPr>
          <w:p w:rsidR="004B5E80" w:rsidRPr="00495271" w:rsidRDefault="004B5E80" w:rsidP="0040714F">
            <w:pPr>
              <w:spacing w:after="0" w:line="240" w:lineRule="auto"/>
              <w:jc w:val="center"/>
              <w:rPr>
                <w:rFonts w:asciiTheme="minorHAnsi" w:hAnsiTheme="minorHAnsi" w:cstheme="minorHAnsi"/>
                <w:b/>
                <w:i/>
              </w:rPr>
            </w:pPr>
            <w:r w:rsidRPr="00495271">
              <w:rPr>
                <w:rFonts w:asciiTheme="minorHAnsi" w:hAnsiTheme="minorHAnsi" w:cstheme="minorHAnsi"/>
                <w:b/>
                <w:i/>
              </w:rPr>
              <w:t>BROJ</w:t>
            </w:r>
          </w:p>
          <w:p w:rsidR="004B5E80" w:rsidRPr="00495271" w:rsidRDefault="004B5E80" w:rsidP="0040714F">
            <w:pPr>
              <w:spacing w:after="0" w:line="240" w:lineRule="auto"/>
              <w:jc w:val="center"/>
              <w:rPr>
                <w:rFonts w:asciiTheme="minorHAnsi" w:hAnsiTheme="minorHAnsi" w:cstheme="minorHAnsi"/>
                <w:b/>
                <w:i/>
              </w:rPr>
            </w:pPr>
            <w:r w:rsidRPr="00495271">
              <w:rPr>
                <w:rFonts w:asciiTheme="minorHAnsi" w:hAnsiTheme="minorHAnsi" w:cstheme="minorHAnsi"/>
                <w:b/>
                <w:i/>
              </w:rPr>
              <w:t>PREPORUKE</w:t>
            </w:r>
          </w:p>
        </w:tc>
        <w:tc>
          <w:tcPr>
            <w:tcW w:w="5853" w:type="dxa"/>
          </w:tcPr>
          <w:p w:rsidR="004B5E80" w:rsidRPr="00495271" w:rsidRDefault="004B5E80" w:rsidP="0040714F">
            <w:pPr>
              <w:spacing w:after="0" w:line="240" w:lineRule="auto"/>
              <w:jc w:val="center"/>
              <w:rPr>
                <w:rFonts w:asciiTheme="minorHAnsi" w:hAnsiTheme="minorHAnsi" w:cstheme="minorHAnsi"/>
                <w:b/>
                <w:i/>
              </w:rPr>
            </w:pPr>
            <w:r w:rsidRPr="00495271">
              <w:rPr>
                <w:rFonts w:asciiTheme="minorHAnsi" w:hAnsiTheme="minorHAnsi" w:cstheme="minorHAnsi"/>
                <w:b/>
                <w:i/>
              </w:rPr>
              <w:t>MIŠLJENJE REVIZIJE-NALAZI I PREPORUKE PO IZVJEŠTAJU O O FINANSIJSKOJ REVIZIJI FEDERALNOG MINISTARSTVA FINANSIJA-FINANCIJA ZA 2020.GODINU</w:t>
            </w:r>
          </w:p>
        </w:tc>
        <w:tc>
          <w:tcPr>
            <w:tcW w:w="7229" w:type="dxa"/>
          </w:tcPr>
          <w:p w:rsidR="004B5E80" w:rsidRPr="00495271" w:rsidRDefault="004B5E80" w:rsidP="0040714F">
            <w:pPr>
              <w:spacing w:after="0" w:line="240" w:lineRule="auto"/>
              <w:rPr>
                <w:rFonts w:asciiTheme="minorHAnsi" w:hAnsiTheme="minorHAnsi" w:cstheme="minorHAnsi"/>
                <w:b/>
                <w:i/>
              </w:rPr>
            </w:pPr>
            <w:r w:rsidRPr="00495271">
              <w:rPr>
                <w:rFonts w:asciiTheme="minorHAnsi" w:hAnsiTheme="minorHAnsi" w:cstheme="minorHAnsi"/>
                <w:b/>
                <w:i/>
              </w:rPr>
              <w:t xml:space="preserve">                         AKTIVNOSTI KOJE SU PODUZETE – REALIZACIJA PREPORUKA</w:t>
            </w:r>
          </w:p>
        </w:tc>
      </w:tr>
      <w:tr w:rsidR="00495271" w:rsidRPr="00495271" w:rsidTr="00495271">
        <w:tc>
          <w:tcPr>
            <w:tcW w:w="1230" w:type="dxa"/>
          </w:tcPr>
          <w:p w:rsidR="004B5E80" w:rsidRPr="00495271" w:rsidRDefault="004B5E80" w:rsidP="0040714F">
            <w:pPr>
              <w:spacing w:after="0" w:line="240" w:lineRule="auto"/>
              <w:rPr>
                <w:rFonts w:asciiTheme="minorHAnsi" w:hAnsiTheme="minorHAnsi" w:cstheme="minorHAnsi"/>
                <w:i/>
              </w:rPr>
            </w:pPr>
            <w:r w:rsidRPr="00495271">
              <w:rPr>
                <w:rFonts w:asciiTheme="minorHAnsi" w:hAnsiTheme="minorHAnsi" w:cstheme="minorHAnsi"/>
                <w:i/>
              </w:rPr>
              <w:t>1.</w:t>
            </w:r>
          </w:p>
          <w:p w:rsidR="004B5E80" w:rsidRPr="00495271" w:rsidRDefault="004B5E80" w:rsidP="0040714F">
            <w:pPr>
              <w:spacing w:after="0" w:line="240" w:lineRule="auto"/>
              <w:rPr>
                <w:rFonts w:asciiTheme="minorHAnsi" w:hAnsiTheme="minorHAnsi" w:cstheme="minorHAnsi"/>
                <w:i/>
              </w:rPr>
            </w:pPr>
          </w:p>
        </w:tc>
        <w:tc>
          <w:tcPr>
            <w:tcW w:w="5853" w:type="dxa"/>
          </w:tcPr>
          <w:p w:rsidR="004B5E80" w:rsidRPr="00495271" w:rsidRDefault="004B5E80" w:rsidP="0040714F">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Kod proračunskog planiranja dosljedno se pridržavati odredbi Zakona o proračunima u FBiH i blagovremeno poduzimati aktivnosti na izmjenama i dopunama Proračuna FBiH.</w:t>
            </w:r>
          </w:p>
        </w:tc>
        <w:tc>
          <w:tcPr>
            <w:tcW w:w="7229" w:type="dxa"/>
          </w:tcPr>
          <w:p w:rsidR="004B5E80" w:rsidRPr="00495271" w:rsidRDefault="004B5E80" w:rsidP="0040714F">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Dokument okvirnog proračuna za razdoblje 2020.-2022. godina (iako ga je Federalno ministarstvo financija pripremilo u formi Nacrta), nije dostavljen ni usvojen od strane Vlade Federacije Bosne i Hercegovine, iz razloga što je Fiskalno vijeće Bosne i Hercegovine tek na sjednici održanoj 27.12.2019. godine usvojilo Globalni okvir fiskalne bilance i politika u Bosni i Hercegovini za razdoblje 2020.-2022. godina. Uzimajući u obzir navedeno, tehnički nije bilo moguće usvojiti Dokument okvirnog proračuna za razdoblje 2020.-2022. godina. Slijedom navedenog, došlo je do kašnjenja u postupanju po proračunskom kalendaru, odnosno dostavljanju Nacrta Proračuna Federacije Bosne i Hercegovine za 2020. godinu i Nacrta Zakona o izvršavanju Proračuna Federacije Bosne i Hercegovine za 2020. godinu Vladi Federacije Bosne i Hercegovine (dostavljeni 27.11.2019. godine).</w:t>
            </w:r>
            <w:r w:rsidRPr="00495271">
              <w:rPr>
                <w:rFonts w:asciiTheme="minorHAnsi" w:eastAsia="Times New Roman" w:hAnsiTheme="minorHAnsi"/>
                <w:b/>
                <w:bCs/>
                <w:i/>
                <w:iCs/>
                <w:lang w:eastAsia="bs-Latn-BA"/>
              </w:rPr>
              <w:br/>
              <w:t>Federalno ministarstvo financija postupa u skladu s odredbama Zakona o proračunima u Federaciji BiH („Službene novine Federacije BiH“, br. 102/13, 9/14, 13/14, 8/15, 91/15, 102/15, 104/16, 5/18, 11/19 i 99/19) u odnosu na definirane rokove i aktivnosti, koji se odnose na izradu i dostavljanje proračunskih instrukcija 1. i 2. Vlada Federacije BiH je, sa zakašnjenjem u odnosu na proračunski kalendar, usvojila DOP za razdoblje 2021.-2023. godina na 239. sjednici, održanoj 08.10.2020. godine (Zaključak V. broj: 1371/2020 od 08.10.2020. godine), iz razloga što je Fiskalno vijeće Bosne i Hercegovine tek na 4. sjednici održanoj 18.09.2020. godine, usvojilo Globalni okvir fiskalne bilance i politika u Bosni i Hercegovini za razdoblje 2021.-2023. godina.</w:t>
            </w:r>
          </w:p>
        </w:tc>
      </w:tr>
      <w:tr w:rsidR="00495271" w:rsidRPr="00495271" w:rsidTr="00495271">
        <w:tc>
          <w:tcPr>
            <w:tcW w:w="1230" w:type="dxa"/>
          </w:tcPr>
          <w:p w:rsidR="004B5E80" w:rsidRPr="00495271" w:rsidRDefault="004B5E80" w:rsidP="0040714F">
            <w:pPr>
              <w:spacing w:after="0" w:line="240" w:lineRule="auto"/>
              <w:rPr>
                <w:rFonts w:asciiTheme="minorHAnsi" w:hAnsiTheme="minorHAnsi" w:cstheme="minorHAnsi"/>
                <w:i/>
              </w:rPr>
            </w:pPr>
            <w:r w:rsidRPr="00495271">
              <w:rPr>
                <w:rFonts w:asciiTheme="minorHAnsi" w:hAnsiTheme="minorHAnsi" w:cstheme="minorHAnsi"/>
                <w:i/>
              </w:rPr>
              <w:t>2.</w:t>
            </w:r>
          </w:p>
        </w:tc>
        <w:tc>
          <w:tcPr>
            <w:tcW w:w="5853" w:type="dxa"/>
          </w:tcPr>
          <w:p w:rsidR="004B5E80" w:rsidRPr="00495271" w:rsidRDefault="004B5E80" w:rsidP="0040714F">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Poduzeti aktivnosti prema proračunskim korisnicima da se sukladno njihovom pravnom statusu izvrši usklađivanje registra proračunskih korisnika proračuna u FBiH s Pravilnikom o utvrđivanju i načinu vođenja registra proračunskih korisnika proračuna u FBiH.</w:t>
            </w:r>
          </w:p>
        </w:tc>
        <w:tc>
          <w:tcPr>
            <w:tcW w:w="7229" w:type="dxa"/>
          </w:tcPr>
          <w:p w:rsidR="004B5E80" w:rsidRPr="00495271" w:rsidRDefault="004B5E80" w:rsidP="0040714F">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 xml:space="preserve">Ured za reviziju institucija u Federaciji Bosne i Hercegovine uvažio je dosadašnje poduzete aktivnosti iz nadležnosti Federalnog ministarstva financija kako bi svaki od sedam kazneno-popravnih zavoda dobio status proračunskog korisnika u skladu s odredbama Pravilnika o utvrđivanju i načinu vođenja registra proračunskih korisnika proračuna u Federaciji Bosne i Hercegovine („Službene novine Federacije BiH“, broj 30/14). </w:t>
            </w:r>
            <w:r w:rsidRPr="00495271">
              <w:rPr>
                <w:rFonts w:asciiTheme="minorHAnsi" w:eastAsia="Times New Roman" w:hAnsiTheme="minorHAnsi"/>
                <w:b/>
                <w:bCs/>
                <w:i/>
                <w:iCs/>
                <w:lang w:eastAsia="bs-Latn-BA"/>
              </w:rPr>
              <w:br/>
              <w:t>Svih sedam kazneno-popravnih zavoda dobivanjem statusa proračunskog korisnika ostvarilo je uvjet da u Proračunu Federacije Bosne i Hercegovine za 2021. godinu, kao samostalni korisnici, unutar proračunskog razdjela Federalnog ministarstva pravde - 15, planiraju sredstva unutar zasebnih proračunskih glava (1503 - Kazneno-popravni zavod poluotvorenog tipa Busovača, 1504 - Kazneno-popravni zavod poluotvorenog tipa Mostar, 1505 - Kazneno-popravni zavod poluotvorenog tipa Orašje, 1506 - Kazneno-popravni zavod poluotvorenog tipa Sarajevo, 1507 - Kazneno-popravni zavod poluotvorenog tipa Tuzla, 1508 - Kazneno-popravni zavod zatvorenog tipa Zenica i 1509 - Kazneno-popravni zavod poluotvorenog tipa Bihać).</w:t>
            </w:r>
          </w:p>
          <w:p w:rsidR="00D11355" w:rsidRDefault="004B5E80" w:rsidP="0040714F">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lastRenderedPageBreak/>
              <w:t>Kao što smo nebrojeno puta do sada isticali, Federalno ministarstvo financija je u skladu s člankom 10. Pravilnika o utvrđivanju i načinu vođenja registra proračunskih korisnika proračuna u Federaciji Bosne i Hercegovine, proračunske korisnike koji su osnovani prije stupanja na snagu ovog Pravilnika i koji su već stekli status proračunskog korisnika s posebnim razdjelima i glavama u Proračunu Federacije Bosne i Hercegovine (u ovome slučaju riječ je o proračunskim korisnicima: Dom naroda Parlamenta Federacije Bosne i Hercegovine - 1001, Zastupnički dom Parlamenta Federacije Bosne i Hercegovine – 1002 i Zajedničke službe Parlamenta Federacije Bosne i Hercegovine  - 1003; Ured predsjednika Federacije Bosne i Hercegovine  -1101, Ured potpredsjednika Federacije Bosne i Hercegovine – 1102 i Ured potpredsjednika Federacije Bosne i Hercegovine - 1103; Federalna uprava civilne zaštite -  4601 i Federalni stožer civilne zaštite – 4603),  na temelju dostavljenih popunjenih Obrazaca RPK, uvrstilo u Registar proračunskih korisnika Federacije Bosne i Hercegovine.</w:t>
            </w:r>
          </w:p>
          <w:p w:rsidR="00D11355" w:rsidRDefault="00D11355" w:rsidP="0040714F">
            <w:pPr>
              <w:spacing w:after="0" w:line="240" w:lineRule="auto"/>
              <w:jc w:val="both"/>
              <w:rPr>
                <w:rFonts w:asciiTheme="minorHAnsi" w:eastAsia="Times New Roman" w:hAnsiTheme="minorHAnsi"/>
                <w:b/>
                <w:bCs/>
                <w:i/>
                <w:iCs/>
                <w:lang w:eastAsia="bs-Latn-BA"/>
              </w:rPr>
            </w:pPr>
          </w:p>
          <w:p w:rsidR="004B5E80" w:rsidRPr="00495271" w:rsidRDefault="004B5E80" w:rsidP="0040714F">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Naglašavamo da je pitanje identifikacijskog broja (dodjela identifikacijskog broja, registracija i identifikacija poreznog obveznika, odjava i oduzimanje identifikacijskog broja) u nadležnosti svakog pojedinačnog proračunskog korisnika, kao i Porezne uprave Federacije Bosne i Hercegovine, u skladu s odredbama Pravilnika o dodjeljivanju identifikacijskih brojeva, registraciji i identifikaciji i evidencijama poreznih obveznika na teritoriji Federacije Bosne i Hercegovine („Službene novine Federacije BiH“, br. 69/17, 17/18 i 32/20).</w:t>
            </w:r>
          </w:p>
        </w:tc>
      </w:tr>
      <w:tr w:rsidR="00495271" w:rsidRPr="00495271" w:rsidTr="00495271">
        <w:tc>
          <w:tcPr>
            <w:tcW w:w="1230" w:type="dxa"/>
          </w:tcPr>
          <w:p w:rsidR="004B5E80" w:rsidRPr="00495271" w:rsidRDefault="004B5E80" w:rsidP="0040714F">
            <w:pPr>
              <w:spacing w:after="0" w:line="240" w:lineRule="auto"/>
              <w:rPr>
                <w:rFonts w:asciiTheme="minorHAnsi" w:hAnsiTheme="minorHAnsi" w:cstheme="minorHAnsi"/>
                <w:i/>
              </w:rPr>
            </w:pPr>
            <w:r w:rsidRPr="00495271">
              <w:rPr>
                <w:rFonts w:asciiTheme="minorHAnsi" w:hAnsiTheme="minorHAnsi" w:cstheme="minorHAnsi"/>
                <w:i/>
              </w:rPr>
              <w:lastRenderedPageBreak/>
              <w:t>3.</w:t>
            </w:r>
          </w:p>
        </w:tc>
        <w:tc>
          <w:tcPr>
            <w:tcW w:w="5853" w:type="dxa"/>
          </w:tcPr>
          <w:p w:rsidR="004B5E80" w:rsidRPr="00495271" w:rsidRDefault="004B5E80" w:rsidP="0040714F">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Sukladno utvrđenim nadležnostima, poduzeti aktivnosti s Federalnim ministarstvom rada i socijalne politike u dijelu usklađivanja zakonske regulative i ostalih provedbenih propisa, reguliranja evidentiranja prihoda i rashoda namijenjenih za isplatu mirovina i rad Zavoda za mirovinsko i invalidsko osiguranje i izvješćivanja.</w:t>
            </w:r>
          </w:p>
        </w:tc>
        <w:tc>
          <w:tcPr>
            <w:tcW w:w="7229" w:type="dxa"/>
          </w:tcPr>
          <w:p w:rsidR="004B5E80" w:rsidRPr="00495271" w:rsidRDefault="004B5E80" w:rsidP="0040714F">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 xml:space="preserve">Izvršene su pripadajuće izmjene propisa iz nadležnosti Federalnog ministarstva financija (npr. Zakon o proračunima u Federaciji Bosne i Hercegovine, Zakon o Riznici u Federaciji Bosne i Hercegovine, Zakon o doprinosima Federacije Bosne i Hercegovine, Pravilnik o načinu uplate javnih prihoda proračuna i izvanproračunskih fondova na teritoriju Federacije Bosne i Hercegovine, odnosno donesen novi Pravilnik o načinu uplate, pripadnosti i raspodjele javnih prihoda u Federaciji Bosne i Hercegovine). Do danas nije izvršeno usklađivanje propisa, odnosno nisu donesene neophodne izmjene Zakona o organizaciji mirovinskog i invalidskog osiguranja, što je u nadležnosti Federalnog zavoda za mirovinsko i invalidsko osiguranje i Federalnog ministarstva rada i socijalne politike.Federalno ministarstvo finansija-financija je resornom ministarstvu (FMRSP) uputilo prijedlog izmjene relevantnih propisa.                            </w:t>
            </w:r>
          </w:p>
        </w:tc>
      </w:tr>
      <w:tr w:rsidR="00495271" w:rsidRPr="00495271" w:rsidTr="00495271">
        <w:tc>
          <w:tcPr>
            <w:tcW w:w="1230" w:type="dxa"/>
          </w:tcPr>
          <w:p w:rsidR="004B5E80" w:rsidRPr="00495271" w:rsidRDefault="004B5E80" w:rsidP="0040714F">
            <w:pPr>
              <w:rPr>
                <w:rFonts w:asciiTheme="minorHAnsi" w:hAnsiTheme="minorHAnsi" w:cstheme="minorHAnsi"/>
                <w:i/>
              </w:rPr>
            </w:pPr>
            <w:r w:rsidRPr="00495271">
              <w:rPr>
                <w:rFonts w:asciiTheme="minorHAnsi" w:hAnsiTheme="minorHAnsi" w:cstheme="minorHAnsi"/>
                <w:i/>
              </w:rPr>
              <w:t>4.</w:t>
            </w:r>
          </w:p>
        </w:tc>
        <w:tc>
          <w:tcPr>
            <w:tcW w:w="5853" w:type="dxa"/>
          </w:tcPr>
          <w:p w:rsidR="004B5E80" w:rsidRPr="00495271" w:rsidRDefault="004B5E80" w:rsidP="0040714F">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Osigurati evidentiranje realiziranih proračunskih sredstava za financiranje prava utvrđenih člankom 129. Zakona o mirovinskom i invalidskom osiguranju.</w:t>
            </w:r>
          </w:p>
        </w:tc>
        <w:tc>
          <w:tcPr>
            <w:tcW w:w="7229" w:type="dxa"/>
          </w:tcPr>
          <w:p w:rsidR="004B5E80" w:rsidRPr="00495271" w:rsidRDefault="004B5E80" w:rsidP="0040714F">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Svi rashodi evidentirani su prema proračunskoj klasifikaciji.</w:t>
            </w:r>
          </w:p>
        </w:tc>
      </w:tr>
      <w:tr w:rsidR="00495271" w:rsidRPr="00495271" w:rsidTr="00495271">
        <w:tc>
          <w:tcPr>
            <w:tcW w:w="1230" w:type="dxa"/>
          </w:tcPr>
          <w:p w:rsidR="004B5E80" w:rsidRPr="00495271" w:rsidRDefault="004B5E80" w:rsidP="0040714F">
            <w:pPr>
              <w:rPr>
                <w:rFonts w:asciiTheme="minorHAnsi" w:hAnsiTheme="minorHAnsi" w:cstheme="minorHAnsi"/>
                <w:i/>
              </w:rPr>
            </w:pPr>
            <w:r w:rsidRPr="00495271">
              <w:rPr>
                <w:rFonts w:asciiTheme="minorHAnsi" w:hAnsiTheme="minorHAnsi" w:cstheme="minorHAnsi"/>
                <w:i/>
              </w:rPr>
              <w:t>5.</w:t>
            </w:r>
          </w:p>
        </w:tc>
        <w:tc>
          <w:tcPr>
            <w:tcW w:w="5853" w:type="dxa"/>
          </w:tcPr>
          <w:p w:rsidR="004B5E80" w:rsidRPr="00495271" w:rsidRDefault="004B5E80" w:rsidP="0040714F">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 xml:space="preserve">U suradnji s Federalnim ministarstvom rada i socijalne politike i Vladom FBiH riješiti pitanje međusobnih obveza i potraživanja nastalih u ranijem razdoblju po temelju isplaćenih mirovina po povoljnijim uvjetima, koje su isplaćene iz sredstava doprinosa, a trebalo ih je osigurati iz Proračuna </w:t>
            </w:r>
            <w:r w:rsidRPr="00495271">
              <w:rPr>
                <w:rFonts w:asciiTheme="minorHAnsi" w:eastAsia="Times New Roman" w:hAnsiTheme="minorHAnsi"/>
                <w:b/>
                <w:i/>
                <w:lang w:eastAsia="bs-Latn-BA"/>
              </w:rPr>
              <w:t>FBiH.</w:t>
            </w:r>
          </w:p>
        </w:tc>
        <w:tc>
          <w:tcPr>
            <w:tcW w:w="7229" w:type="dxa"/>
          </w:tcPr>
          <w:p w:rsidR="004B5E80" w:rsidRPr="00495271" w:rsidRDefault="004B5E80" w:rsidP="0040714F">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Sredstva za izmirenje su planirana u Proračunu FBiH za 2022. godinu</w:t>
            </w:r>
          </w:p>
        </w:tc>
      </w:tr>
      <w:tr w:rsidR="00495271" w:rsidRPr="00495271" w:rsidTr="00495271">
        <w:tc>
          <w:tcPr>
            <w:tcW w:w="1230" w:type="dxa"/>
          </w:tcPr>
          <w:p w:rsidR="004B5E80" w:rsidRPr="00495271" w:rsidRDefault="004B5E80" w:rsidP="0040714F">
            <w:pPr>
              <w:rPr>
                <w:rFonts w:asciiTheme="minorHAnsi" w:hAnsiTheme="minorHAnsi" w:cstheme="minorHAnsi"/>
                <w:i/>
              </w:rPr>
            </w:pPr>
            <w:r w:rsidRPr="00495271">
              <w:rPr>
                <w:rFonts w:asciiTheme="minorHAnsi" w:hAnsiTheme="minorHAnsi" w:cstheme="minorHAnsi"/>
                <w:i/>
              </w:rPr>
              <w:lastRenderedPageBreak/>
              <w:t>6.</w:t>
            </w:r>
          </w:p>
        </w:tc>
        <w:tc>
          <w:tcPr>
            <w:tcW w:w="5853" w:type="dxa"/>
          </w:tcPr>
          <w:p w:rsidR="004B5E80" w:rsidRPr="00495271" w:rsidRDefault="004B5E80" w:rsidP="0040714F">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Angažiranje zaposlenika na poslovima utvrđenim Pravilnikom o unutarnjem ustrojstvu vršiti sukladno važećim propisima.</w:t>
            </w:r>
          </w:p>
        </w:tc>
        <w:tc>
          <w:tcPr>
            <w:tcW w:w="7229" w:type="dxa"/>
          </w:tcPr>
          <w:p w:rsidR="004B5E80" w:rsidRPr="00495271" w:rsidRDefault="004B5E80" w:rsidP="0040714F">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 xml:space="preserve">Trenutno ministarstvo nema zaključen nijedan ugovor o djelu, nakon što je zadnji zaključeni ugovori o djelu istekao u mjesecu Travnju 2021. godine. </w:t>
            </w:r>
          </w:p>
          <w:p w:rsidR="004B5E80" w:rsidRPr="00495271" w:rsidRDefault="004B5E80" w:rsidP="0040714F">
            <w:pPr>
              <w:spacing w:after="0" w:line="240" w:lineRule="auto"/>
              <w:jc w:val="both"/>
              <w:rPr>
                <w:rFonts w:asciiTheme="minorHAnsi" w:eastAsia="Times New Roman" w:hAnsiTheme="minorHAnsi"/>
                <w:b/>
                <w:bCs/>
                <w:i/>
                <w:iCs/>
                <w:lang w:eastAsia="bs-Latn-BA"/>
              </w:rPr>
            </w:pPr>
          </w:p>
        </w:tc>
      </w:tr>
      <w:tr w:rsidR="00495271" w:rsidRPr="00495271" w:rsidTr="00495271">
        <w:tc>
          <w:tcPr>
            <w:tcW w:w="1230" w:type="dxa"/>
          </w:tcPr>
          <w:p w:rsidR="004B5E80" w:rsidRPr="00495271" w:rsidRDefault="004B5E80" w:rsidP="0040714F">
            <w:pPr>
              <w:rPr>
                <w:rFonts w:asciiTheme="minorHAnsi" w:hAnsiTheme="minorHAnsi" w:cstheme="minorHAnsi"/>
                <w:i/>
              </w:rPr>
            </w:pPr>
            <w:r w:rsidRPr="00495271">
              <w:rPr>
                <w:rFonts w:asciiTheme="minorHAnsi" w:hAnsiTheme="minorHAnsi" w:cstheme="minorHAnsi"/>
                <w:i/>
              </w:rPr>
              <w:t>7.</w:t>
            </w:r>
          </w:p>
        </w:tc>
        <w:tc>
          <w:tcPr>
            <w:tcW w:w="5853" w:type="dxa"/>
          </w:tcPr>
          <w:p w:rsidR="004B5E80" w:rsidRPr="00495271" w:rsidRDefault="004B5E80" w:rsidP="0040714F">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Sredstva tekućih transfera odobravati ako je potvrđeno da su prethodno doznačena sredstva utrošena za utvrđene namjene, sukladno članku 57. Zakona o proračunima u FBiH, a za konstatirani nezakoniti i/ili nenamjenski utrošak proračunskih sredstava poduzimati sve zakonom propisane radnje radi njihovog povrata na JRR FBiH, shodno članku 46. stav 2. Zakona o proračunima u FBiH.</w:t>
            </w:r>
          </w:p>
        </w:tc>
        <w:tc>
          <w:tcPr>
            <w:tcW w:w="7229" w:type="dxa"/>
          </w:tcPr>
          <w:p w:rsidR="003174FA" w:rsidRPr="00AE3FBE" w:rsidRDefault="004B5E80" w:rsidP="0040714F">
            <w:pPr>
              <w:spacing w:after="0" w:line="240" w:lineRule="auto"/>
              <w:jc w:val="both"/>
              <w:rPr>
                <w:rFonts w:asciiTheme="minorHAnsi" w:eastAsia="Times New Roman" w:hAnsiTheme="minorHAnsi"/>
                <w:b/>
                <w:bCs/>
                <w:i/>
                <w:iCs/>
                <w:lang w:eastAsia="bs-Latn-BA"/>
              </w:rPr>
            </w:pPr>
            <w:r w:rsidRPr="00AE3FBE">
              <w:rPr>
                <w:rFonts w:asciiTheme="minorHAnsi" w:eastAsia="Times New Roman" w:hAnsiTheme="minorHAnsi"/>
                <w:b/>
                <w:bCs/>
                <w:i/>
                <w:iCs/>
                <w:lang w:eastAsia="bs-Latn-BA"/>
              </w:rPr>
              <w:t xml:space="preserve">Vodi se evidencija zaprimljenih izvješća o utrošku sredstava, te se o neblagovremeno dostavljenim izvješćima, kao i o nedostavljenim izvješćima, obavještava Jedinica za proračunsku inspekciju Federalnog ministarstva financija radi daljnjeg postupanja. </w:t>
            </w:r>
            <w:r w:rsidRPr="00AE3FBE">
              <w:rPr>
                <w:rFonts w:asciiTheme="minorHAnsi" w:eastAsia="Times New Roman" w:hAnsiTheme="minorHAnsi"/>
                <w:b/>
                <w:bCs/>
                <w:i/>
                <w:iCs/>
                <w:lang w:eastAsia="bs-Latn-BA"/>
              </w:rPr>
              <w:br/>
              <w:t>U skladu s odredbama Uredbe o proračunskom nadzoru u Federaciji Bosne i Hercegovine („Službene novine Federacije BiH“, broj 34/14), cilj provođenja proračunskog nadzora je, između ostalog, utvrđivanje da li se proračunska sredstva koriste zakonito, namjenski i blagovremeno. Proračunski inspektor, ukoliko se u zadanom roku ne poduzmu mjere predložene u zapisniku o inspekcijskoj kontroli ili se blagovremeno ne dostave obavijesti o poduzetim radnjama, donosi rješenje kojim nalaže mjere i određuje rok za otklanjanje utvrđenih nepravilnosti ili nezakonitosti. Jedna od mjera je povrat sredstava u proračun ukoliko se utvrdi da su sredstva korištena u suprotnosti zakonu.</w:t>
            </w:r>
          </w:p>
          <w:p w:rsidR="00D11355" w:rsidRPr="00AE3FBE" w:rsidRDefault="00D11355" w:rsidP="0040714F">
            <w:pPr>
              <w:spacing w:after="0" w:line="240" w:lineRule="auto"/>
              <w:jc w:val="both"/>
              <w:rPr>
                <w:rFonts w:asciiTheme="minorHAnsi" w:eastAsia="Times New Roman" w:hAnsiTheme="minorHAnsi"/>
                <w:b/>
                <w:bCs/>
                <w:i/>
                <w:iCs/>
                <w:lang w:eastAsia="bs-Latn-BA"/>
              </w:rPr>
            </w:pPr>
          </w:p>
          <w:p w:rsidR="004B5E80" w:rsidRPr="00AE3FBE" w:rsidRDefault="004B5E80" w:rsidP="0040714F">
            <w:pPr>
              <w:spacing w:after="0" w:line="240" w:lineRule="auto"/>
              <w:jc w:val="both"/>
              <w:rPr>
                <w:rFonts w:asciiTheme="minorHAnsi" w:eastAsia="Times New Roman" w:hAnsiTheme="minorHAnsi"/>
                <w:b/>
                <w:bCs/>
                <w:i/>
                <w:iCs/>
                <w:lang w:eastAsia="bs-Latn-BA"/>
              </w:rPr>
            </w:pPr>
            <w:r w:rsidRPr="00AE3FBE">
              <w:rPr>
                <w:rFonts w:asciiTheme="minorHAnsi" w:eastAsia="Times New Roman" w:hAnsiTheme="minorHAnsi"/>
                <w:b/>
                <w:bCs/>
                <w:i/>
                <w:iCs/>
                <w:lang w:eastAsia="bs-Latn-BA"/>
              </w:rPr>
              <w:t>Članak 57. stavak 5. Zakona o proračunima u Federaciji Bosne i Hercegovine („Službene novine Federacije BiH“, br. 102/13, 9/14, 13/14, 8/15, 91/15, 102/15, 104/16, 5/18, 11/19 i 99/19), propisuje da u slučaju da korisnici doznačenih transfera ili zajmova ne dostave izvješće o namjenskom utrošku sredstava neće imati pravo aplicirati za dodjelu sredstava u narednoj fiskalnoj godini.</w:t>
            </w:r>
          </w:p>
          <w:p w:rsidR="00D11355" w:rsidRPr="00AE3FBE" w:rsidRDefault="00D11355" w:rsidP="0040714F">
            <w:pPr>
              <w:spacing w:after="0" w:line="240" w:lineRule="auto"/>
              <w:jc w:val="both"/>
              <w:rPr>
                <w:rFonts w:asciiTheme="minorHAnsi" w:eastAsia="Times New Roman" w:hAnsiTheme="minorHAnsi"/>
                <w:b/>
                <w:bCs/>
                <w:i/>
                <w:iCs/>
                <w:lang w:eastAsia="bs-Latn-BA"/>
              </w:rPr>
            </w:pPr>
          </w:p>
          <w:p w:rsidR="003174FA" w:rsidRPr="00AE3FBE" w:rsidRDefault="003174FA" w:rsidP="0040714F">
            <w:pPr>
              <w:spacing w:after="0" w:line="240" w:lineRule="auto"/>
              <w:jc w:val="both"/>
              <w:rPr>
                <w:rFonts w:asciiTheme="minorHAnsi" w:eastAsia="Times New Roman" w:hAnsiTheme="minorHAnsi"/>
                <w:b/>
                <w:bCs/>
                <w:i/>
                <w:iCs/>
                <w:lang w:eastAsia="bs-Latn-BA"/>
              </w:rPr>
            </w:pPr>
            <w:r w:rsidRPr="00AE3FBE">
              <w:rPr>
                <w:rFonts w:asciiTheme="minorHAnsi" w:eastAsia="Times New Roman" w:hAnsiTheme="minorHAnsi"/>
                <w:b/>
                <w:bCs/>
                <w:i/>
                <w:iCs/>
                <w:lang w:val="hr-BA" w:eastAsia="bs-Latn-BA"/>
              </w:rPr>
              <w:t xml:space="preserve">Federalno ministarstvo financija je Rješenjem </w:t>
            </w:r>
            <w:r w:rsidRPr="00AE3FBE">
              <w:rPr>
                <w:rFonts w:asciiTheme="minorHAnsi" w:eastAsia="Times New Roman" w:hAnsiTheme="minorHAnsi"/>
                <w:b/>
                <w:bCs/>
                <w:i/>
                <w:iCs/>
                <w:lang w:val="bs-Latn-BA" w:eastAsia="bs-Latn-BA"/>
              </w:rPr>
              <w:t xml:space="preserve">broj: 03-04-3-3460/21 od 21.4.2021. godine, imenovalo </w:t>
            </w:r>
            <w:r w:rsidRPr="00AE3FBE">
              <w:rPr>
                <w:rFonts w:asciiTheme="minorHAnsi" w:eastAsia="Times New Roman" w:hAnsiTheme="minorHAnsi"/>
                <w:b/>
                <w:bCs/>
                <w:i/>
                <w:iCs/>
                <w:lang w:val="sl-SI" w:eastAsia="bs-Latn-BA"/>
              </w:rPr>
              <w:t xml:space="preserve">Povjerenstvo </w:t>
            </w:r>
            <w:r w:rsidRPr="00AE3FBE">
              <w:rPr>
                <w:rFonts w:asciiTheme="minorHAnsi" w:eastAsia="Times New Roman" w:hAnsiTheme="minorHAnsi"/>
                <w:b/>
                <w:bCs/>
                <w:i/>
                <w:iCs/>
                <w:lang w:val="bs-Latn-BA" w:eastAsia="bs-Latn-BA"/>
              </w:rPr>
              <w:t xml:space="preserve">za praćenje i evaluaciju namjenskog utroška tekućih transfera kantonima, gradovima i općinama u Federaciji Bosne i Hercegovine iz Proračuna Federacije Bosne i Hercegovine za 2020. godinu i Rješenjem broj: 03-04-3-9611/21 od 8.12.2021. godine, imenovalo </w:t>
            </w:r>
            <w:r w:rsidRPr="00AE3FBE">
              <w:rPr>
                <w:rFonts w:asciiTheme="minorHAnsi" w:eastAsia="Times New Roman" w:hAnsiTheme="minorHAnsi"/>
                <w:b/>
                <w:bCs/>
                <w:i/>
                <w:iCs/>
                <w:lang w:val="sl-SI" w:eastAsia="bs-Latn-BA"/>
              </w:rPr>
              <w:t xml:space="preserve">Povjerenstvo </w:t>
            </w:r>
            <w:r w:rsidRPr="00AE3FBE">
              <w:rPr>
                <w:rFonts w:asciiTheme="minorHAnsi" w:eastAsia="Times New Roman" w:hAnsiTheme="minorHAnsi"/>
                <w:b/>
                <w:bCs/>
                <w:i/>
                <w:iCs/>
                <w:lang w:val="bs-Latn-BA" w:eastAsia="bs-Latn-BA"/>
              </w:rPr>
              <w:t>za praćenje i evaluaciju utroška tekućih transfera kantonima, gradovima i općinama u Federaciji Bosne i Hercegovine iz Proračuna Federacije Bosne i Hercegovine za 2020. godinu. Sva dokumentacija vezana za dostavljena izvješća o utrošku sredstava, nalaze se u evidencijama Sektora za ekonomsko-financijske i zajedničke poslove.</w:t>
            </w:r>
            <w:r w:rsidRPr="00AE3FBE">
              <w:rPr>
                <w:rFonts w:asciiTheme="minorHAnsi" w:eastAsia="Times New Roman" w:hAnsiTheme="minorHAnsi"/>
                <w:b/>
                <w:bCs/>
                <w:i/>
                <w:iCs/>
                <w:lang w:eastAsia="bs-Latn-BA"/>
              </w:rPr>
              <w:t xml:space="preserve"> O svim aktivnostima navedenih Povjerenstava (kao i prijedlozima), informirana je Vlada Federacije Bosne i Hercegovine, te Sektor za proračun i javne rashode i Jedinica za proračunsku inspekciju Federalnog ministarstva financija. Zaključci Vlade Federacije BiH, V. broj: 1343/2021 od 26.8.2021. godine i V. broj: 251/2022 od 24.2.2022. godine</w:t>
            </w:r>
            <w:r w:rsidR="00D11355" w:rsidRPr="00AE3FBE">
              <w:rPr>
                <w:rFonts w:asciiTheme="minorHAnsi" w:eastAsia="Times New Roman" w:hAnsiTheme="minorHAnsi"/>
                <w:b/>
                <w:bCs/>
                <w:i/>
                <w:iCs/>
                <w:lang w:eastAsia="bs-Latn-BA"/>
              </w:rPr>
              <w:t>.</w:t>
            </w:r>
          </w:p>
          <w:p w:rsidR="00D11355" w:rsidRPr="00AE3FBE" w:rsidRDefault="00D11355" w:rsidP="0040714F">
            <w:pPr>
              <w:spacing w:after="0" w:line="240" w:lineRule="auto"/>
              <w:jc w:val="both"/>
              <w:rPr>
                <w:rFonts w:asciiTheme="minorHAnsi" w:eastAsia="Times New Roman" w:hAnsiTheme="minorHAnsi"/>
                <w:b/>
                <w:bCs/>
                <w:i/>
                <w:iCs/>
                <w:lang w:eastAsia="bs-Latn-BA"/>
              </w:rPr>
            </w:pPr>
          </w:p>
          <w:p w:rsidR="00153803" w:rsidRPr="00AE3FBE" w:rsidRDefault="00153803" w:rsidP="0040714F">
            <w:pPr>
              <w:spacing w:after="0" w:line="240" w:lineRule="auto"/>
              <w:jc w:val="both"/>
              <w:rPr>
                <w:rFonts w:asciiTheme="minorHAnsi" w:eastAsia="Times New Roman" w:hAnsiTheme="minorHAnsi"/>
                <w:b/>
                <w:bCs/>
                <w:i/>
                <w:iCs/>
                <w:lang w:eastAsia="bs-Latn-BA"/>
              </w:rPr>
            </w:pPr>
          </w:p>
          <w:p w:rsidR="00153803" w:rsidRPr="00AE3FBE" w:rsidRDefault="00153803" w:rsidP="0040714F">
            <w:pPr>
              <w:spacing w:after="0" w:line="240" w:lineRule="auto"/>
              <w:jc w:val="both"/>
              <w:rPr>
                <w:rFonts w:asciiTheme="minorHAnsi" w:eastAsia="Times New Roman" w:hAnsiTheme="minorHAnsi"/>
                <w:b/>
                <w:bCs/>
                <w:i/>
                <w:iCs/>
                <w:lang w:eastAsia="bs-Latn-BA"/>
              </w:rPr>
            </w:pPr>
          </w:p>
          <w:p w:rsidR="00153803" w:rsidRPr="00AE3FBE" w:rsidRDefault="00153803" w:rsidP="0040714F">
            <w:pPr>
              <w:spacing w:after="0" w:line="240" w:lineRule="auto"/>
              <w:jc w:val="both"/>
              <w:rPr>
                <w:rFonts w:asciiTheme="minorHAnsi" w:eastAsia="Times New Roman" w:hAnsiTheme="minorHAnsi"/>
                <w:b/>
                <w:bCs/>
                <w:i/>
                <w:iCs/>
                <w:lang w:eastAsia="bs-Latn-BA"/>
              </w:rPr>
            </w:pPr>
          </w:p>
          <w:p w:rsidR="00153803" w:rsidRPr="00AE3FBE" w:rsidRDefault="00153803" w:rsidP="0040714F">
            <w:pPr>
              <w:spacing w:after="0" w:line="240" w:lineRule="auto"/>
              <w:jc w:val="both"/>
              <w:rPr>
                <w:rFonts w:asciiTheme="minorHAnsi" w:eastAsia="Times New Roman" w:hAnsiTheme="minorHAnsi"/>
                <w:b/>
                <w:bCs/>
                <w:i/>
                <w:iCs/>
                <w:lang w:eastAsia="bs-Latn-BA"/>
              </w:rPr>
            </w:pPr>
          </w:p>
        </w:tc>
      </w:tr>
      <w:tr w:rsidR="00495271" w:rsidRPr="00495271" w:rsidTr="00495271">
        <w:tc>
          <w:tcPr>
            <w:tcW w:w="1230" w:type="dxa"/>
          </w:tcPr>
          <w:p w:rsidR="004B5E80" w:rsidRPr="00495271" w:rsidRDefault="004B5E80" w:rsidP="0040714F">
            <w:pPr>
              <w:rPr>
                <w:rFonts w:asciiTheme="minorHAnsi" w:hAnsiTheme="minorHAnsi" w:cstheme="minorHAnsi"/>
                <w:i/>
              </w:rPr>
            </w:pPr>
            <w:r w:rsidRPr="00495271">
              <w:rPr>
                <w:rFonts w:asciiTheme="minorHAnsi" w:hAnsiTheme="minorHAnsi" w:cstheme="minorHAnsi"/>
                <w:i/>
              </w:rPr>
              <w:lastRenderedPageBreak/>
              <w:t>8.</w:t>
            </w:r>
          </w:p>
        </w:tc>
        <w:tc>
          <w:tcPr>
            <w:tcW w:w="5853" w:type="dxa"/>
          </w:tcPr>
          <w:p w:rsidR="004B5E80" w:rsidRDefault="004B5E80" w:rsidP="0040714F">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Temeljne elemente zaključenih ugovora nakon provedenih javnih nabava objavljivati sukladno članku 75. Zakona o javnim nabavama.</w:t>
            </w:r>
          </w:p>
          <w:p w:rsidR="00D11355" w:rsidRDefault="00D11355" w:rsidP="0040714F">
            <w:pPr>
              <w:spacing w:after="0" w:line="240" w:lineRule="auto"/>
              <w:jc w:val="both"/>
              <w:rPr>
                <w:rFonts w:asciiTheme="minorHAnsi" w:eastAsia="Times New Roman" w:hAnsiTheme="minorHAnsi"/>
                <w:b/>
                <w:bCs/>
                <w:i/>
                <w:iCs/>
                <w:lang w:eastAsia="bs-Latn-BA"/>
              </w:rPr>
            </w:pPr>
          </w:p>
          <w:p w:rsidR="00D11355" w:rsidRPr="00495271" w:rsidRDefault="00D11355" w:rsidP="0040714F">
            <w:pPr>
              <w:spacing w:after="0" w:line="240" w:lineRule="auto"/>
              <w:jc w:val="both"/>
              <w:rPr>
                <w:rFonts w:asciiTheme="minorHAnsi" w:eastAsia="Times New Roman" w:hAnsiTheme="minorHAnsi"/>
                <w:b/>
                <w:bCs/>
                <w:i/>
                <w:iCs/>
                <w:lang w:eastAsia="bs-Latn-BA"/>
              </w:rPr>
            </w:pPr>
          </w:p>
        </w:tc>
        <w:tc>
          <w:tcPr>
            <w:tcW w:w="7229" w:type="dxa"/>
          </w:tcPr>
          <w:p w:rsidR="004B5E80" w:rsidRPr="00495271" w:rsidRDefault="004B5E80" w:rsidP="00495271">
            <w:pPr>
              <w:jc w:val="both"/>
              <w:rPr>
                <w:rFonts w:asciiTheme="minorHAnsi" w:hAnsiTheme="minorHAnsi" w:cstheme="minorHAnsi"/>
                <w:i/>
              </w:rPr>
            </w:pPr>
            <w:r w:rsidRPr="00495271">
              <w:rPr>
                <w:rFonts w:asciiTheme="minorHAnsi" w:eastAsia="Times New Roman" w:hAnsiTheme="minorHAnsi"/>
                <w:b/>
                <w:bCs/>
                <w:i/>
                <w:iCs/>
                <w:lang w:eastAsia="bs-Latn-BA"/>
              </w:rPr>
              <w:t xml:space="preserve">   Postupa se po danoj preporuci.</w:t>
            </w:r>
          </w:p>
        </w:tc>
      </w:tr>
      <w:tr w:rsidR="00495271" w:rsidRPr="00495271" w:rsidTr="00495271">
        <w:tc>
          <w:tcPr>
            <w:tcW w:w="1230" w:type="dxa"/>
          </w:tcPr>
          <w:p w:rsidR="004B5E80" w:rsidRPr="00495271" w:rsidRDefault="004B5E80" w:rsidP="0040714F">
            <w:pPr>
              <w:rPr>
                <w:rFonts w:asciiTheme="minorHAnsi" w:hAnsiTheme="minorHAnsi" w:cstheme="minorHAnsi"/>
                <w:i/>
              </w:rPr>
            </w:pPr>
            <w:r w:rsidRPr="00495271">
              <w:rPr>
                <w:rFonts w:asciiTheme="minorHAnsi" w:hAnsiTheme="minorHAnsi" w:cstheme="minorHAnsi"/>
                <w:i/>
              </w:rPr>
              <w:t>9.</w:t>
            </w:r>
          </w:p>
        </w:tc>
        <w:tc>
          <w:tcPr>
            <w:tcW w:w="5853" w:type="dxa"/>
          </w:tcPr>
          <w:p w:rsidR="004B5E80" w:rsidRPr="00495271" w:rsidRDefault="004B5E80" w:rsidP="0040714F">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Poduzeti sve zakonom propisane radnje za naplatu potraživanja, a potraživanja starija od šest mjeseci evidentirati na poziciji sumnjivih i spornih, sukladno članku 46. Zakona o proračunima u FBiH i Računovodstvenim politikama za federalne proračunske korisnike i riznicu.</w:t>
            </w:r>
          </w:p>
        </w:tc>
        <w:tc>
          <w:tcPr>
            <w:tcW w:w="7229" w:type="dxa"/>
          </w:tcPr>
          <w:p w:rsidR="004B5E80" w:rsidRPr="00495271" w:rsidRDefault="004B5E80" w:rsidP="0040714F">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Federalno ministarstvo financija poduzima kontinuirane aktivnosti na naplati potraživanja po osnovi vanjskih kredita danih krajnjim korisnicima. Dužnicima po kreditima kontuirano se dostavljaju opomene za plaćanje neizmirenih obveza te se upozoravaju na posljedice koje mogu nastati ukoliko obveze ne izmiruju  blagovremeno. U slučajevima kad se steknu uvjeti da pojedini krajnji korisnici reprogramiraju otplatu kreditnih obveza, Federalno ministarstvo fina</w:t>
            </w:r>
            <w:r w:rsidR="00AE3FBE">
              <w:rPr>
                <w:rFonts w:asciiTheme="minorHAnsi" w:eastAsia="Times New Roman" w:hAnsiTheme="minorHAnsi"/>
                <w:b/>
                <w:bCs/>
                <w:i/>
                <w:iCs/>
                <w:lang w:eastAsia="bs-Latn-BA"/>
              </w:rPr>
              <w:t>n</w:t>
            </w:r>
            <w:r w:rsidRPr="00495271">
              <w:rPr>
                <w:rFonts w:asciiTheme="minorHAnsi" w:eastAsia="Times New Roman" w:hAnsiTheme="minorHAnsi"/>
                <w:b/>
                <w:bCs/>
                <w:i/>
                <w:iCs/>
                <w:lang w:eastAsia="bs-Latn-BA"/>
              </w:rPr>
              <w:t>cija poduzima aktivnosti na zaključivanju takvih reprograma o odgođenoj otplati</w:t>
            </w:r>
          </w:p>
        </w:tc>
      </w:tr>
      <w:tr w:rsidR="00495271" w:rsidRPr="00495271" w:rsidTr="00495271">
        <w:tc>
          <w:tcPr>
            <w:tcW w:w="1230" w:type="dxa"/>
          </w:tcPr>
          <w:p w:rsidR="004B5E80" w:rsidRPr="00495271" w:rsidRDefault="004B5E80" w:rsidP="0040714F">
            <w:pPr>
              <w:rPr>
                <w:rFonts w:asciiTheme="minorHAnsi" w:hAnsiTheme="minorHAnsi" w:cstheme="minorHAnsi"/>
                <w:i/>
              </w:rPr>
            </w:pPr>
            <w:r w:rsidRPr="00495271">
              <w:rPr>
                <w:rFonts w:asciiTheme="minorHAnsi" w:hAnsiTheme="minorHAnsi" w:cstheme="minorHAnsi"/>
                <w:i/>
              </w:rPr>
              <w:t>10.</w:t>
            </w:r>
          </w:p>
        </w:tc>
        <w:tc>
          <w:tcPr>
            <w:tcW w:w="5853" w:type="dxa"/>
          </w:tcPr>
          <w:p w:rsidR="004B5E80" w:rsidRDefault="004B5E80" w:rsidP="0040714F">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Usuglašavanje potraživanja po vanjskom dugu, koja su prenesena na krajnje korisnike kredita, provoditi sukladno članku 23. Zakona o računovodstvu i reviziji u FBiH.</w:t>
            </w:r>
          </w:p>
          <w:p w:rsidR="00153803" w:rsidRPr="00495271" w:rsidRDefault="00153803" w:rsidP="0040714F">
            <w:pPr>
              <w:spacing w:after="0" w:line="240" w:lineRule="auto"/>
              <w:jc w:val="both"/>
              <w:rPr>
                <w:rFonts w:asciiTheme="minorHAnsi" w:eastAsia="Times New Roman" w:hAnsiTheme="minorHAnsi"/>
                <w:b/>
                <w:bCs/>
                <w:i/>
                <w:iCs/>
                <w:lang w:eastAsia="bs-Latn-BA"/>
              </w:rPr>
            </w:pPr>
          </w:p>
        </w:tc>
        <w:tc>
          <w:tcPr>
            <w:tcW w:w="7229" w:type="dxa"/>
          </w:tcPr>
          <w:p w:rsidR="004B5E80" w:rsidRPr="00495271" w:rsidRDefault="004B5E80" w:rsidP="0040714F">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Kontinuirano se usklađuju potraživanja po kreditnim obvezama prenesenim krajnjim korisnicima.</w:t>
            </w:r>
          </w:p>
        </w:tc>
      </w:tr>
      <w:tr w:rsidR="00495271" w:rsidRPr="00495271" w:rsidTr="00495271">
        <w:tc>
          <w:tcPr>
            <w:tcW w:w="1230" w:type="dxa"/>
          </w:tcPr>
          <w:p w:rsidR="004B5E80" w:rsidRPr="00495271" w:rsidRDefault="004B5E80" w:rsidP="0040714F">
            <w:pPr>
              <w:rPr>
                <w:rFonts w:asciiTheme="minorHAnsi" w:hAnsiTheme="minorHAnsi" w:cstheme="minorHAnsi"/>
                <w:i/>
              </w:rPr>
            </w:pPr>
            <w:r w:rsidRPr="00495271">
              <w:rPr>
                <w:rFonts w:asciiTheme="minorHAnsi" w:hAnsiTheme="minorHAnsi" w:cstheme="minorHAnsi"/>
                <w:i/>
              </w:rPr>
              <w:t>11.</w:t>
            </w:r>
          </w:p>
        </w:tc>
        <w:tc>
          <w:tcPr>
            <w:tcW w:w="5853" w:type="dxa"/>
          </w:tcPr>
          <w:p w:rsidR="004B5E80" w:rsidRDefault="004B5E80" w:rsidP="0040714F">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 xml:space="preserve">Izvršiti evidentiranje isplaćenih sredstava za potraživanja po kreditu Vlade Kraljevine Španjolske u Glavnoj knjizi riznice, na odgovarajućim bilančnim pozicijama, sukladno Pravilniku o knjigovodstvu proračuna u FBiH. </w:t>
            </w:r>
          </w:p>
          <w:p w:rsidR="00153803" w:rsidRPr="00495271" w:rsidRDefault="00153803" w:rsidP="0040714F">
            <w:pPr>
              <w:spacing w:after="0" w:line="240" w:lineRule="auto"/>
              <w:jc w:val="both"/>
              <w:rPr>
                <w:rFonts w:asciiTheme="minorHAnsi" w:eastAsia="Times New Roman" w:hAnsiTheme="minorHAnsi"/>
                <w:b/>
                <w:bCs/>
                <w:i/>
                <w:iCs/>
                <w:lang w:eastAsia="bs-Latn-BA"/>
              </w:rPr>
            </w:pPr>
          </w:p>
        </w:tc>
        <w:tc>
          <w:tcPr>
            <w:tcW w:w="7229" w:type="dxa"/>
          </w:tcPr>
          <w:p w:rsidR="004B5E80" w:rsidRPr="00495271" w:rsidRDefault="004B5E80" w:rsidP="0040714F">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Proknjižena su sporna potraživanja od države BiH za dospjele i plaćene obveze po ovom kreditu s podračuna za servisiranje vanjskog duga Federacije BiH.</w:t>
            </w:r>
          </w:p>
        </w:tc>
      </w:tr>
      <w:tr w:rsidR="00495271" w:rsidRPr="00495271" w:rsidTr="00495271">
        <w:tc>
          <w:tcPr>
            <w:tcW w:w="1230" w:type="dxa"/>
          </w:tcPr>
          <w:p w:rsidR="004B5E80" w:rsidRPr="00495271" w:rsidRDefault="004B5E80" w:rsidP="0040714F">
            <w:pPr>
              <w:rPr>
                <w:rFonts w:asciiTheme="minorHAnsi" w:hAnsiTheme="minorHAnsi" w:cstheme="minorHAnsi"/>
                <w:i/>
              </w:rPr>
            </w:pPr>
            <w:r w:rsidRPr="00495271">
              <w:rPr>
                <w:rFonts w:asciiTheme="minorHAnsi" w:hAnsiTheme="minorHAnsi" w:cstheme="minorHAnsi"/>
                <w:i/>
              </w:rPr>
              <w:t>12.</w:t>
            </w:r>
          </w:p>
        </w:tc>
        <w:tc>
          <w:tcPr>
            <w:tcW w:w="5853" w:type="dxa"/>
          </w:tcPr>
          <w:p w:rsidR="004B5E80" w:rsidRDefault="004B5E80" w:rsidP="0040714F">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Poduzeti aktivnosti, sukladno utvrđenim nadležnostima, prema JP „Željeznice FBiH“ s ciljem naplate sredstava koje je FBiH otplatila umjesto javnog poduzeća.</w:t>
            </w:r>
          </w:p>
          <w:p w:rsidR="00153803" w:rsidRPr="00495271" w:rsidRDefault="00153803" w:rsidP="0040714F">
            <w:pPr>
              <w:spacing w:after="0" w:line="240" w:lineRule="auto"/>
              <w:jc w:val="both"/>
              <w:rPr>
                <w:rFonts w:asciiTheme="minorHAnsi" w:eastAsia="Times New Roman" w:hAnsiTheme="minorHAnsi"/>
                <w:b/>
                <w:bCs/>
                <w:i/>
                <w:iCs/>
                <w:lang w:eastAsia="bs-Latn-BA"/>
              </w:rPr>
            </w:pPr>
          </w:p>
        </w:tc>
        <w:tc>
          <w:tcPr>
            <w:tcW w:w="7229" w:type="dxa"/>
          </w:tcPr>
          <w:p w:rsidR="004B5E80" w:rsidRPr="00495271" w:rsidRDefault="004B5E80" w:rsidP="0040714F">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Izvršen je reprogram obveza po vanjskim kreditima za željezničku infrastrukturu, tako da je zaključeno 7 Aneksa na ugovore kojim su sve obveze JP Željeznice FBiH reprogramirane do 01.01.2023.godine</w:t>
            </w:r>
          </w:p>
        </w:tc>
      </w:tr>
      <w:tr w:rsidR="00495271" w:rsidRPr="00495271" w:rsidTr="00495271">
        <w:tc>
          <w:tcPr>
            <w:tcW w:w="1230" w:type="dxa"/>
          </w:tcPr>
          <w:p w:rsidR="004B5E80" w:rsidRPr="00495271" w:rsidRDefault="004B5E80" w:rsidP="0040714F">
            <w:pPr>
              <w:rPr>
                <w:rFonts w:asciiTheme="minorHAnsi" w:hAnsiTheme="minorHAnsi" w:cstheme="minorHAnsi"/>
                <w:i/>
              </w:rPr>
            </w:pPr>
            <w:r w:rsidRPr="00495271">
              <w:rPr>
                <w:rFonts w:asciiTheme="minorHAnsi" w:hAnsiTheme="minorHAnsi" w:cstheme="minorHAnsi"/>
                <w:i/>
              </w:rPr>
              <w:t>13.</w:t>
            </w:r>
          </w:p>
        </w:tc>
        <w:tc>
          <w:tcPr>
            <w:tcW w:w="5853" w:type="dxa"/>
          </w:tcPr>
          <w:p w:rsidR="004B5E80" w:rsidRPr="00495271" w:rsidRDefault="004B5E80" w:rsidP="0040714F">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Izraditi detaljne specifikacije zahtjeva za izmjene i dorade postojećih izvješća koja se kreiraju iz ISFU-a.</w:t>
            </w:r>
          </w:p>
          <w:p w:rsidR="004B5E80" w:rsidRPr="00495271" w:rsidRDefault="004B5E80" w:rsidP="0040714F">
            <w:pPr>
              <w:spacing w:after="0" w:line="240" w:lineRule="auto"/>
              <w:jc w:val="both"/>
              <w:rPr>
                <w:rFonts w:asciiTheme="minorHAnsi" w:eastAsia="Times New Roman" w:hAnsiTheme="minorHAnsi"/>
                <w:b/>
                <w:bCs/>
                <w:i/>
                <w:iCs/>
                <w:lang w:eastAsia="bs-Latn-BA"/>
              </w:rPr>
            </w:pPr>
          </w:p>
        </w:tc>
        <w:tc>
          <w:tcPr>
            <w:tcW w:w="7229" w:type="dxa"/>
          </w:tcPr>
          <w:p w:rsidR="004B5E80" w:rsidRPr="00495271" w:rsidRDefault="004B5E80" w:rsidP="0040714F">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Specifikacije su izrađene i dostavljene implementatoru, implementator je postupio po dostavljenim uputama.</w:t>
            </w:r>
          </w:p>
        </w:tc>
      </w:tr>
      <w:tr w:rsidR="00495271" w:rsidRPr="00495271" w:rsidTr="00495271">
        <w:tc>
          <w:tcPr>
            <w:tcW w:w="1230" w:type="dxa"/>
          </w:tcPr>
          <w:p w:rsidR="004B5E80" w:rsidRPr="00495271" w:rsidRDefault="004B5E80" w:rsidP="0040714F">
            <w:pPr>
              <w:rPr>
                <w:rFonts w:asciiTheme="minorHAnsi" w:hAnsiTheme="minorHAnsi" w:cstheme="minorHAnsi"/>
                <w:i/>
              </w:rPr>
            </w:pPr>
            <w:r w:rsidRPr="00495271">
              <w:rPr>
                <w:rFonts w:asciiTheme="minorHAnsi" w:hAnsiTheme="minorHAnsi" w:cstheme="minorHAnsi"/>
                <w:i/>
              </w:rPr>
              <w:t>14.</w:t>
            </w:r>
          </w:p>
        </w:tc>
        <w:tc>
          <w:tcPr>
            <w:tcW w:w="5853" w:type="dxa"/>
          </w:tcPr>
          <w:p w:rsidR="00153803" w:rsidRDefault="004B5E80" w:rsidP="0040714F">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 xml:space="preserve">Okončati preostale aktivnosti implementacije projekta informatizacije evidencija i zamijeniti desktop aplikacije.  </w:t>
            </w:r>
          </w:p>
          <w:p w:rsidR="004B5E80" w:rsidRPr="00495271" w:rsidRDefault="004B5E80" w:rsidP="0040714F">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 xml:space="preserve">  </w:t>
            </w:r>
          </w:p>
        </w:tc>
        <w:tc>
          <w:tcPr>
            <w:tcW w:w="7229" w:type="dxa"/>
          </w:tcPr>
          <w:p w:rsidR="004B5E80" w:rsidRPr="00495271" w:rsidRDefault="004B5E80" w:rsidP="0040714F">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Kao i dosad, Ministarstvo je blagovremeno poduzimalo sve aktivnosti u vezi implementacije projekta, problem je što druga ugovorna strana kasni s realizacijom.</w:t>
            </w:r>
          </w:p>
        </w:tc>
      </w:tr>
      <w:tr w:rsidR="00495271" w:rsidRPr="00495271" w:rsidTr="00495271">
        <w:tc>
          <w:tcPr>
            <w:tcW w:w="1230" w:type="dxa"/>
          </w:tcPr>
          <w:p w:rsidR="004B5E80" w:rsidRPr="00495271" w:rsidRDefault="004B5E80" w:rsidP="0040714F">
            <w:pPr>
              <w:rPr>
                <w:rFonts w:asciiTheme="minorHAnsi" w:hAnsiTheme="minorHAnsi" w:cstheme="minorHAnsi"/>
                <w:i/>
              </w:rPr>
            </w:pPr>
            <w:r w:rsidRPr="00495271">
              <w:rPr>
                <w:rFonts w:asciiTheme="minorHAnsi" w:hAnsiTheme="minorHAnsi" w:cstheme="minorHAnsi"/>
                <w:i/>
              </w:rPr>
              <w:t>15.</w:t>
            </w:r>
          </w:p>
        </w:tc>
        <w:tc>
          <w:tcPr>
            <w:tcW w:w="5853" w:type="dxa"/>
          </w:tcPr>
          <w:p w:rsidR="004B5E80" w:rsidRPr="00495271" w:rsidRDefault="004B5E80" w:rsidP="0040714F">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Poduzeti aktivnosti na odgovarajućem praćenju i izvješćivanju o implementaciji razvojno-investicijskih projekata i osigurati mehanizme za efikasniju kontrolu nad njima, u cilju blagovremene realizacije projekata.</w:t>
            </w:r>
          </w:p>
        </w:tc>
        <w:tc>
          <w:tcPr>
            <w:tcW w:w="7229" w:type="dxa"/>
          </w:tcPr>
          <w:p w:rsidR="004B5E80" w:rsidRPr="00495271" w:rsidRDefault="004B5E80" w:rsidP="0040714F">
            <w:pPr>
              <w:widowControl w:val="0"/>
              <w:autoSpaceDE w:val="0"/>
              <w:autoSpaceDN w:val="0"/>
              <w:spacing w:before="115" w:after="0" w:line="240" w:lineRule="auto"/>
              <w:jc w:val="both"/>
              <w:rPr>
                <w:rFonts w:asciiTheme="minorHAnsi" w:eastAsia="Arial" w:hAnsiTheme="minorHAnsi" w:cstheme="minorHAnsi"/>
                <w:i/>
                <w:lang w:val="en-US"/>
              </w:rPr>
            </w:pPr>
            <w:r w:rsidRPr="00495271">
              <w:rPr>
                <w:rFonts w:asciiTheme="minorHAnsi" w:eastAsia="Times New Roman" w:hAnsiTheme="minorHAnsi"/>
                <w:b/>
                <w:bCs/>
                <w:i/>
                <w:iCs/>
                <w:lang w:eastAsia="bs-Latn-BA"/>
              </w:rPr>
              <w:t>Ministarstvo kontinuirano u suradnji s Povjerenstvom za PJI FBiH, vrši aktivnosti praćenja investicijsko-razvojnih projekata i s donatorima radi na mobilizaciji tehničke pomoći za unaprjeđenje cjelokupnog procesa.  Kroz novi "Projekt upravljanja javnim investicijama za rezultate: Sustav za planiranje i upravljanje javnim investicijama-PIPMS BiH" koji se financira putem IPA instrumenta, planirane su aktivnosti na unaprjeđenju cjelokupnog procesa i izgradnje potrebnih kapaciteta.</w:t>
            </w:r>
          </w:p>
        </w:tc>
      </w:tr>
      <w:tr w:rsidR="00495271" w:rsidRPr="00495271" w:rsidTr="00495271">
        <w:tc>
          <w:tcPr>
            <w:tcW w:w="1230" w:type="dxa"/>
          </w:tcPr>
          <w:p w:rsidR="004B5E80" w:rsidRPr="00495271" w:rsidRDefault="004B5E80" w:rsidP="0040714F">
            <w:pPr>
              <w:rPr>
                <w:rFonts w:asciiTheme="minorHAnsi" w:hAnsiTheme="minorHAnsi" w:cstheme="minorHAnsi"/>
                <w:i/>
              </w:rPr>
            </w:pPr>
            <w:r w:rsidRPr="00495271">
              <w:rPr>
                <w:rFonts w:asciiTheme="minorHAnsi" w:hAnsiTheme="minorHAnsi" w:cstheme="minorHAnsi"/>
                <w:i/>
              </w:rPr>
              <w:t>16.</w:t>
            </w:r>
          </w:p>
        </w:tc>
        <w:tc>
          <w:tcPr>
            <w:tcW w:w="5853" w:type="dxa"/>
          </w:tcPr>
          <w:p w:rsidR="004B5E80" w:rsidRPr="00495271" w:rsidRDefault="004B5E80" w:rsidP="0040714F">
            <w:pPr>
              <w:widowControl w:val="0"/>
              <w:autoSpaceDE w:val="0"/>
              <w:autoSpaceDN w:val="0"/>
              <w:spacing w:before="40" w:after="0" w:line="240" w:lineRule="auto"/>
              <w:jc w:val="both"/>
              <w:rPr>
                <w:rFonts w:asciiTheme="minorHAnsi" w:hAnsiTheme="minorHAnsi" w:cstheme="minorHAnsi"/>
                <w:b/>
                <w:i/>
                <w:w w:val="95"/>
              </w:rPr>
            </w:pPr>
            <w:r w:rsidRPr="00495271">
              <w:rPr>
                <w:rFonts w:asciiTheme="minorHAnsi" w:eastAsia="Times New Roman" w:hAnsiTheme="minorHAnsi"/>
                <w:b/>
                <w:bCs/>
                <w:i/>
                <w:iCs/>
                <w:lang w:eastAsia="bs-Latn-BA"/>
              </w:rPr>
              <w:t>Ocjenjivanje državnih službenika i namještenika vršiti u rokovima i na način utvrđen Zakonom o državnoj službi u FBiH, Zakonom o namještenicima u organima državne službe u FBiH i Pravilnikom o ocjenjivanju rada državnih službenika u organima državne službe FBiH.</w:t>
            </w:r>
          </w:p>
        </w:tc>
        <w:tc>
          <w:tcPr>
            <w:tcW w:w="7229" w:type="dxa"/>
          </w:tcPr>
          <w:p w:rsidR="00D11355" w:rsidRDefault="00D11355" w:rsidP="0040714F">
            <w:pPr>
              <w:spacing w:after="0" w:line="240" w:lineRule="auto"/>
              <w:rPr>
                <w:rFonts w:asciiTheme="minorHAnsi" w:eastAsia="Times New Roman" w:hAnsiTheme="minorHAnsi"/>
                <w:b/>
                <w:bCs/>
                <w:i/>
                <w:iCs/>
                <w:lang w:eastAsia="bs-Latn-BA"/>
              </w:rPr>
            </w:pPr>
          </w:p>
          <w:p w:rsidR="004B5E80" w:rsidRPr="00495271" w:rsidRDefault="004B5E80" w:rsidP="0040714F">
            <w:pPr>
              <w:spacing w:after="0" w:line="240" w:lineRule="auto"/>
              <w:rPr>
                <w:rFonts w:asciiTheme="minorHAnsi" w:hAnsiTheme="minorHAnsi" w:cstheme="minorHAnsi"/>
                <w:i/>
              </w:rPr>
            </w:pPr>
            <w:r w:rsidRPr="00495271">
              <w:rPr>
                <w:rFonts w:asciiTheme="minorHAnsi" w:eastAsia="Times New Roman" w:hAnsiTheme="minorHAnsi"/>
                <w:b/>
                <w:bCs/>
                <w:i/>
                <w:iCs/>
                <w:lang w:eastAsia="bs-Latn-BA"/>
              </w:rPr>
              <w:t>Ocjanjivanje državnih službenika za 2021.godinu je shodno preporuci revizije, provedeno u rokovima i na način utvrđen navedenim  Zakonima i Pravilnikom.</w:t>
            </w:r>
          </w:p>
        </w:tc>
      </w:tr>
      <w:tr w:rsidR="00495271" w:rsidRPr="00495271" w:rsidTr="00495271">
        <w:tc>
          <w:tcPr>
            <w:tcW w:w="1230" w:type="dxa"/>
          </w:tcPr>
          <w:p w:rsidR="004B5E80" w:rsidRPr="00495271" w:rsidRDefault="004B5E80" w:rsidP="0040714F">
            <w:pPr>
              <w:jc w:val="both"/>
              <w:rPr>
                <w:rFonts w:asciiTheme="minorHAnsi" w:hAnsiTheme="minorHAnsi" w:cstheme="minorHAnsi"/>
                <w:i/>
              </w:rPr>
            </w:pPr>
            <w:r w:rsidRPr="00495271">
              <w:rPr>
                <w:rFonts w:asciiTheme="minorHAnsi" w:hAnsiTheme="minorHAnsi" w:cstheme="minorHAnsi"/>
                <w:i/>
              </w:rPr>
              <w:lastRenderedPageBreak/>
              <w:t>17.</w:t>
            </w:r>
          </w:p>
        </w:tc>
        <w:tc>
          <w:tcPr>
            <w:tcW w:w="5853" w:type="dxa"/>
            <w:vAlign w:val="center"/>
          </w:tcPr>
          <w:p w:rsidR="004B5E80" w:rsidRPr="00495271" w:rsidRDefault="004B5E80" w:rsidP="0040714F">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 xml:space="preserve">Kod proračunskog izvješćivanja dosljedno se pridržavati odredbi Pravilnika o financijskom izvješćivanju i godišnjem obračunu proračuna u FBiH u dijelu koji se odnosi na iskazivanje planskih vrijednosti. </w:t>
            </w:r>
          </w:p>
        </w:tc>
        <w:tc>
          <w:tcPr>
            <w:tcW w:w="7229" w:type="dxa"/>
            <w:vAlign w:val="center"/>
          </w:tcPr>
          <w:p w:rsidR="004B5E80" w:rsidRPr="00495271" w:rsidRDefault="004B5E80" w:rsidP="0040714F">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Ministarstvo je preporuku prihvatilo te više neće u godišnjem izvješću uopće prikazivati podatke o tekućoj rezervi.</w:t>
            </w:r>
          </w:p>
        </w:tc>
      </w:tr>
      <w:tr w:rsidR="00495271" w:rsidRPr="00495271" w:rsidTr="00495271">
        <w:tc>
          <w:tcPr>
            <w:tcW w:w="1230" w:type="dxa"/>
          </w:tcPr>
          <w:p w:rsidR="004B5E80" w:rsidRPr="00495271" w:rsidRDefault="004B5E80" w:rsidP="0040714F">
            <w:pPr>
              <w:jc w:val="both"/>
              <w:rPr>
                <w:rFonts w:asciiTheme="minorHAnsi" w:hAnsiTheme="minorHAnsi" w:cstheme="minorHAnsi"/>
                <w:i/>
              </w:rPr>
            </w:pPr>
            <w:r w:rsidRPr="00495271">
              <w:rPr>
                <w:rFonts w:asciiTheme="minorHAnsi" w:hAnsiTheme="minorHAnsi" w:cstheme="minorHAnsi"/>
                <w:i/>
              </w:rPr>
              <w:t>18.</w:t>
            </w:r>
          </w:p>
        </w:tc>
        <w:tc>
          <w:tcPr>
            <w:tcW w:w="5853" w:type="dxa"/>
            <w:vAlign w:val="center"/>
          </w:tcPr>
          <w:p w:rsidR="004B5E80" w:rsidRPr="00495271" w:rsidRDefault="004B5E80" w:rsidP="0040714F">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Redovitim godišnjim popisom utvrditi stvarno stanje sredstava i obveza, usuglasiti knjigovodstveno sa stvarnim stanjem i provesti potrebna knjigovodstvena evidentiranja za utvrđene razlike, kako je propisano odredbama Zakona o računovodstvu i reviziji u FBiH, Uredbe o računovodstvu proračuna u FBiH i Pravilnika o knjigovodstvu proračuna u FBiH.</w:t>
            </w:r>
          </w:p>
        </w:tc>
        <w:tc>
          <w:tcPr>
            <w:tcW w:w="7229" w:type="dxa"/>
            <w:vAlign w:val="center"/>
          </w:tcPr>
          <w:p w:rsidR="004B5E80" w:rsidRPr="00495271" w:rsidRDefault="004B5E80" w:rsidP="0040714F">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Ralizirano u toku 2021.godine prilikom provođenja i okončanja aktivnosti redovitog godišnjeg popisa stanja sredstava i obveza.</w:t>
            </w:r>
          </w:p>
          <w:p w:rsidR="004B5E80" w:rsidRPr="00495271" w:rsidRDefault="004B5E80" w:rsidP="0040714F">
            <w:pPr>
              <w:spacing w:after="0" w:line="240" w:lineRule="auto"/>
              <w:jc w:val="both"/>
              <w:rPr>
                <w:rFonts w:asciiTheme="minorHAnsi" w:eastAsia="Times New Roman" w:hAnsiTheme="minorHAnsi"/>
                <w:b/>
                <w:bCs/>
                <w:i/>
                <w:iCs/>
                <w:lang w:eastAsia="bs-Latn-BA"/>
              </w:rPr>
            </w:pPr>
          </w:p>
        </w:tc>
      </w:tr>
    </w:tbl>
    <w:p w:rsidR="004B5E80" w:rsidRPr="00495271" w:rsidRDefault="004B5E80" w:rsidP="004B5E80">
      <w:pPr>
        <w:jc w:val="both"/>
        <w:rPr>
          <w:rFonts w:asciiTheme="minorHAnsi" w:hAnsiTheme="minorHAnsi" w:cstheme="minorHAnsi"/>
          <w:i/>
          <w:sz w:val="20"/>
          <w:szCs w:val="20"/>
        </w:rPr>
      </w:pPr>
    </w:p>
    <w:p w:rsidR="00153803" w:rsidRDefault="00153803" w:rsidP="008948F2">
      <w:pPr>
        <w:jc w:val="both"/>
        <w:rPr>
          <w:rFonts w:asciiTheme="minorHAnsi" w:hAnsiTheme="minorHAnsi" w:cstheme="minorHAnsi"/>
          <w:b/>
          <w:i/>
        </w:rPr>
      </w:pPr>
    </w:p>
    <w:p w:rsidR="00153803" w:rsidRDefault="00153803" w:rsidP="008948F2">
      <w:pPr>
        <w:jc w:val="both"/>
        <w:rPr>
          <w:rFonts w:asciiTheme="minorHAnsi" w:hAnsiTheme="minorHAnsi" w:cstheme="minorHAnsi"/>
          <w:b/>
          <w:i/>
        </w:rPr>
      </w:pPr>
    </w:p>
    <w:p w:rsidR="00153803" w:rsidRDefault="00153803" w:rsidP="008948F2">
      <w:pPr>
        <w:jc w:val="both"/>
        <w:rPr>
          <w:rFonts w:asciiTheme="minorHAnsi" w:hAnsiTheme="minorHAnsi" w:cstheme="minorHAnsi"/>
          <w:b/>
          <w:i/>
        </w:rPr>
      </w:pPr>
    </w:p>
    <w:p w:rsidR="00153803" w:rsidRDefault="00153803" w:rsidP="008948F2">
      <w:pPr>
        <w:jc w:val="both"/>
        <w:rPr>
          <w:rFonts w:asciiTheme="minorHAnsi" w:hAnsiTheme="minorHAnsi" w:cstheme="minorHAnsi"/>
          <w:b/>
          <w:i/>
        </w:rPr>
      </w:pPr>
    </w:p>
    <w:p w:rsidR="00153803" w:rsidRDefault="00153803" w:rsidP="008948F2">
      <w:pPr>
        <w:jc w:val="both"/>
        <w:rPr>
          <w:rFonts w:asciiTheme="minorHAnsi" w:hAnsiTheme="minorHAnsi" w:cstheme="minorHAnsi"/>
          <w:b/>
          <w:i/>
        </w:rPr>
      </w:pPr>
    </w:p>
    <w:p w:rsidR="00153803" w:rsidRDefault="00153803" w:rsidP="008948F2">
      <w:pPr>
        <w:jc w:val="both"/>
        <w:rPr>
          <w:rFonts w:asciiTheme="minorHAnsi" w:hAnsiTheme="minorHAnsi" w:cstheme="minorHAnsi"/>
          <w:b/>
          <w:i/>
        </w:rPr>
      </w:pPr>
    </w:p>
    <w:p w:rsidR="00153803" w:rsidRDefault="00153803" w:rsidP="008948F2">
      <w:pPr>
        <w:jc w:val="both"/>
        <w:rPr>
          <w:rFonts w:asciiTheme="minorHAnsi" w:hAnsiTheme="minorHAnsi" w:cstheme="minorHAnsi"/>
          <w:b/>
          <w:i/>
        </w:rPr>
      </w:pPr>
    </w:p>
    <w:p w:rsidR="00153803" w:rsidRDefault="00153803" w:rsidP="008948F2">
      <w:pPr>
        <w:jc w:val="both"/>
        <w:rPr>
          <w:rFonts w:asciiTheme="minorHAnsi" w:hAnsiTheme="minorHAnsi" w:cstheme="minorHAnsi"/>
          <w:b/>
          <w:i/>
        </w:rPr>
      </w:pPr>
    </w:p>
    <w:p w:rsidR="00153803" w:rsidRDefault="00153803" w:rsidP="008948F2">
      <w:pPr>
        <w:jc w:val="both"/>
        <w:rPr>
          <w:rFonts w:asciiTheme="minorHAnsi" w:hAnsiTheme="minorHAnsi" w:cstheme="minorHAnsi"/>
          <w:b/>
          <w:i/>
        </w:rPr>
      </w:pPr>
    </w:p>
    <w:p w:rsidR="00153803" w:rsidRDefault="00153803" w:rsidP="008948F2">
      <w:pPr>
        <w:jc w:val="both"/>
        <w:rPr>
          <w:rFonts w:asciiTheme="minorHAnsi" w:hAnsiTheme="minorHAnsi" w:cstheme="minorHAnsi"/>
          <w:b/>
          <w:i/>
        </w:rPr>
      </w:pPr>
    </w:p>
    <w:p w:rsidR="00153803" w:rsidRDefault="00153803" w:rsidP="008948F2">
      <w:pPr>
        <w:jc w:val="both"/>
        <w:rPr>
          <w:rFonts w:asciiTheme="minorHAnsi" w:hAnsiTheme="minorHAnsi" w:cstheme="minorHAnsi"/>
          <w:b/>
          <w:i/>
        </w:rPr>
      </w:pPr>
    </w:p>
    <w:p w:rsidR="00153803" w:rsidRDefault="00153803" w:rsidP="008948F2">
      <w:pPr>
        <w:jc w:val="both"/>
        <w:rPr>
          <w:rFonts w:asciiTheme="minorHAnsi" w:hAnsiTheme="minorHAnsi" w:cstheme="minorHAnsi"/>
          <w:b/>
          <w:i/>
        </w:rPr>
      </w:pPr>
    </w:p>
    <w:p w:rsidR="00153803" w:rsidRDefault="00153803" w:rsidP="008948F2">
      <w:pPr>
        <w:jc w:val="both"/>
        <w:rPr>
          <w:rFonts w:asciiTheme="minorHAnsi" w:hAnsiTheme="minorHAnsi" w:cstheme="minorHAnsi"/>
          <w:b/>
          <w:i/>
        </w:rPr>
      </w:pPr>
    </w:p>
    <w:p w:rsidR="00153803" w:rsidRDefault="00153803" w:rsidP="008948F2">
      <w:pPr>
        <w:jc w:val="both"/>
        <w:rPr>
          <w:rFonts w:asciiTheme="minorHAnsi" w:hAnsiTheme="minorHAnsi" w:cstheme="minorHAnsi"/>
          <w:b/>
          <w:i/>
        </w:rPr>
      </w:pPr>
    </w:p>
    <w:p w:rsidR="00EC70C9" w:rsidRPr="00495271" w:rsidRDefault="00EC70C9" w:rsidP="008948F2">
      <w:pPr>
        <w:jc w:val="both"/>
        <w:rPr>
          <w:rFonts w:asciiTheme="minorHAnsi" w:hAnsiTheme="minorHAnsi" w:cstheme="minorHAnsi"/>
          <w:b/>
          <w:i/>
        </w:rPr>
      </w:pPr>
      <w:r w:rsidRPr="00495271">
        <w:rPr>
          <w:rFonts w:asciiTheme="minorHAnsi" w:hAnsiTheme="minorHAnsi" w:cstheme="minorHAnsi"/>
          <w:b/>
          <w:i/>
        </w:rPr>
        <w:lastRenderedPageBreak/>
        <w:t>TABELA 3. – PREPORUKE KOJE NIJE MOGUĆE PROVESTI</w:t>
      </w:r>
    </w:p>
    <w:tbl>
      <w:tblPr>
        <w:tblStyle w:val="TableGrid"/>
        <w:tblW w:w="14216" w:type="dxa"/>
        <w:tblLook w:val="04A0" w:firstRow="1" w:lastRow="0" w:firstColumn="1" w:lastColumn="0" w:noHBand="0" w:noVBand="1"/>
      </w:tblPr>
      <w:tblGrid>
        <w:gridCol w:w="1231"/>
        <w:gridCol w:w="5710"/>
        <w:gridCol w:w="7275"/>
      </w:tblGrid>
      <w:tr w:rsidR="00495271" w:rsidRPr="00495271" w:rsidTr="00495271">
        <w:tc>
          <w:tcPr>
            <w:tcW w:w="1231" w:type="dxa"/>
          </w:tcPr>
          <w:p w:rsidR="00EC70C9" w:rsidRPr="00495271" w:rsidRDefault="004B5E80" w:rsidP="004B5E80">
            <w:pPr>
              <w:spacing w:after="0" w:line="240" w:lineRule="auto"/>
              <w:jc w:val="center"/>
              <w:rPr>
                <w:rFonts w:asciiTheme="minorHAnsi" w:hAnsiTheme="minorHAnsi" w:cstheme="minorHAnsi"/>
                <w:b/>
                <w:i/>
              </w:rPr>
            </w:pPr>
            <w:r w:rsidRPr="00495271">
              <w:rPr>
                <w:rFonts w:asciiTheme="minorHAnsi" w:hAnsiTheme="minorHAnsi" w:cstheme="minorHAnsi"/>
                <w:b/>
                <w:i/>
              </w:rPr>
              <w:t>BROJ</w:t>
            </w:r>
          </w:p>
          <w:p w:rsidR="00EC70C9" w:rsidRPr="00495271" w:rsidRDefault="004B5E80" w:rsidP="004B5E80">
            <w:pPr>
              <w:spacing w:after="0" w:line="240" w:lineRule="auto"/>
              <w:jc w:val="center"/>
              <w:rPr>
                <w:rFonts w:asciiTheme="minorHAnsi" w:hAnsiTheme="minorHAnsi" w:cstheme="minorHAnsi"/>
                <w:b/>
                <w:i/>
              </w:rPr>
            </w:pPr>
            <w:r w:rsidRPr="00495271">
              <w:rPr>
                <w:rFonts w:asciiTheme="minorHAnsi" w:hAnsiTheme="minorHAnsi" w:cstheme="minorHAnsi"/>
                <w:b/>
                <w:i/>
              </w:rPr>
              <w:t>PREPORUKE</w:t>
            </w:r>
          </w:p>
        </w:tc>
        <w:tc>
          <w:tcPr>
            <w:tcW w:w="5710" w:type="dxa"/>
          </w:tcPr>
          <w:p w:rsidR="00EC70C9" w:rsidRPr="00495271" w:rsidRDefault="004B5E80" w:rsidP="004B5E80">
            <w:pPr>
              <w:spacing w:after="0" w:line="240" w:lineRule="auto"/>
              <w:jc w:val="center"/>
              <w:rPr>
                <w:rFonts w:asciiTheme="minorHAnsi" w:hAnsiTheme="minorHAnsi" w:cstheme="minorHAnsi"/>
                <w:b/>
                <w:i/>
              </w:rPr>
            </w:pPr>
            <w:r w:rsidRPr="00495271">
              <w:rPr>
                <w:rFonts w:asciiTheme="minorHAnsi" w:hAnsiTheme="minorHAnsi" w:cstheme="minorHAnsi"/>
                <w:b/>
                <w:i/>
              </w:rPr>
              <w:t>MIŠLJENJE REVIZIJE-NALAZI I PREPORUKE PO IZVJEŠTAJU O O FINANSIJSKOJ REVIZIJI FEDERALNOG MINISTARSTVA FINANSIJA-FINANCIJA ZA 2020.GODINU</w:t>
            </w:r>
          </w:p>
        </w:tc>
        <w:tc>
          <w:tcPr>
            <w:tcW w:w="7275" w:type="dxa"/>
          </w:tcPr>
          <w:p w:rsidR="00EC70C9" w:rsidRPr="00495271" w:rsidRDefault="00EC70C9" w:rsidP="00EC70C9">
            <w:pPr>
              <w:spacing w:after="0" w:line="240" w:lineRule="auto"/>
              <w:rPr>
                <w:rFonts w:asciiTheme="minorHAnsi" w:hAnsiTheme="minorHAnsi" w:cstheme="minorHAnsi"/>
                <w:b/>
                <w:i/>
              </w:rPr>
            </w:pPr>
            <w:r w:rsidRPr="00495271">
              <w:rPr>
                <w:rFonts w:asciiTheme="minorHAnsi" w:hAnsiTheme="minorHAnsi" w:cstheme="minorHAnsi"/>
                <w:b/>
                <w:i/>
              </w:rPr>
              <w:t xml:space="preserve">                OBRAZLOŽENJE U VEZI SA RAZLOZIMA NEPROVODIVOSTI PREPORUKA</w:t>
            </w:r>
          </w:p>
        </w:tc>
      </w:tr>
      <w:tr w:rsidR="00495271" w:rsidRPr="00495271" w:rsidTr="00495271">
        <w:tc>
          <w:tcPr>
            <w:tcW w:w="1231" w:type="dxa"/>
          </w:tcPr>
          <w:p w:rsidR="007F1862" w:rsidRPr="00495271" w:rsidRDefault="007F1862" w:rsidP="007F1862">
            <w:pPr>
              <w:spacing w:after="0" w:line="240" w:lineRule="auto"/>
              <w:rPr>
                <w:rFonts w:asciiTheme="minorHAnsi" w:hAnsiTheme="minorHAnsi" w:cstheme="minorHAnsi"/>
                <w:i/>
              </w:rPr>
            </w:pPr>
            <w:r w:rsidRPr="00495271">
              <w:rPr>
                <w:rFonts w:asciiTheme="minorHAnsi" w:hAnsiTheme="minorHAnsi" w:cstheme="minorHAnsi"/>
                <w:i/>
              </w:rPr>
              <w:t>1.</w:t>
            </w:r>
          </w:p>
          <w:p w:rsidR="007F1862" w:rsidRPr="00495271" w:rsidRDefault="007F1862" w:rsidP="007F1862">
            <w:pPr>
              <w:spacing w:after="0" w:line="240" w:lineRule="auto"/>
              <w:rPr>
                <w:rFonts w:asciiTheme="minorHAnsi" w:hAnsiTheme="minorHAnsi" w:cstheme="minorHAnsi"/>
                <w:i/>
              </w:rPr>
            </w:pPr>
          </w:p>
        </w:tc>
        <w:tc>
          <w:tcPr>
            <w:tcW w:w="5710" w:type="dxa"/>
          </w:tcPr>
          <w:p w:rsidR="007F1862" w:rsidRPr="00495271" w:rsidRDefault="007F1862" w:rsidP="007F1862">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Izvršiti nadogradnju postojeće aplikacije za obračun plaća i naknada, u dijelu obračuna naknada po temelju angažmana u povjerenstvima, kako bi se na ove naknade mogao primijeniti obračun poreza i doprinosa za oporezive prihode od nesamostalne djelatnosti, i osigurati njihovo evidentiranje u okviru odgovarajućeg sintetičkog konta.</w:t>
            </w:r>
          </w:p>
        </w:tc>
        <w:tc>
          <w:tcPr>
            <w:tcW w:w="7275" w:type="dxa"/>
          </w:tcPr>
          <w:p w:rsidR="007F1862" w:rsidRPr="00495271" w:rsidRDefault="007F1862" w:rsidP="007F1862">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Postojeća aplikacija "PING" služi za isplatu plaća i naknada na plaću propisanih Zakonom o plaćama. Naknade na temelju angažmana u povjerenstvima ne isplaćuju se kroz aplikaciju za plaće.</w:t>
            </w:r>
          </w:p>
        </w:tc>
      </w:tr>
      <w:tr w:rsidR="00495271" w:rsidRPr="00495271" w:rsidTr="00495271">
        <w:tc>
          <w:tcPr>
            <w:tcW w:w="1231" w:type="dxa"/>
          </w:tcPr>
          <w:p w:rsidR="007F1862" w:rsidRPr="00495271" w:rsidRDefault="007F1862" w:rsidP="007F1862">
            <w:pPr>
              <w:spacing w:after="0" w:line="240" w:lineRule="auto"/>
              <w:rPr>
                <w:rFonts w:asciiTheme="minorHAnsi" w:hAnsiTheme="minorHAnsi" w:cstheme="minorHAnsi"/>
                <w:i/>
              </w:rPr>
            </w:pPr>
            <w:r w:rsidRPr="00495271">
              <w:rPr>
                <w:rFonts w:asciiTheme="minorHAnsi" w:hAnsiTheme="minorHAnsi" w:cstheme="minorHAnsi"/>
                <w:i/>
              </w:rPr>
              <w:t>2.</w:t>
            </w:r>
          </w:p>
        </w:tc>
        <w:tc>
          <w:tcPr>
            <w:tcW w:w="5710" w:type="dxa"/>
          </w:tcPr>
          <w:p w:rsidR="007F1862" w:rsidRPr="00495271" w:rsidRDefault="007F1862" w:rsidP="007F1862">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Poreze i doprinose na naknade za rad zaposlenika u povjerenstvima obračunavati kao oporezivi prihod od nesamostalne djelatnosti, sukladno važećim propisima.</w:t>
            </w:r>
          </w:p>
        </w:tc>
        <w:tc>
          <w:tcPr>
            <w:tcW w:w="7275" w:type="dxa"/>
          </w:tcPr>
          <w:p w:rsidR="007F1862" w:rsidRPr="00495271" w:rsidRDefault="007F1862" w:rsidP="007F1862">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Ministarstvo je poreze i doprinose uvijek isplaćivalo u skladu s važećim propisima, tako da ovu preporuku nije ni bilo potrebno provoditi.</w:t>
            </w:r>
          </w:p>
        </w:tc>
      </w:tr>
      <w:tr w:rsidR="00495271" w:rsidRPr="00495271" w:rsidTr="00495271">
        <w:tc>
          <w:tcPr>
            <w:tcW w:w="1231" w:type="dxa"/>
          </w:tcPr>
          <w:p w:rsidR="003D11BD" w:rsidRPr="00495271" w:rsidRDefault="00B26939" w:rsidP="003D11BD">
            <w:pPr>
              <w:rPr>
                <w:rFonts w:asciiTheme="minorHAnsi" w:hAnsiTheme="minorHAnsi" w:cstheme="minorHAnsi"/>
                <w:i/>
              </w:rPr>
            </w:pPr>
            <w:r w:rsidRPr="00495271">
              <w:rPr>
                <w:rFonts w:asciiTheme="minorHAnsi" w:hAnsiTheme="minorHAnsi" w:cstheme="minorHAnsi"/>
                <w:i/>
              </w:rPr>
              <w:t>3</w:t>
            </w:r>
            <w:r w:rsidR="003D11BD" w:rsidRPr="00495271">
              <w:rPr>
                <w:rFonts w:asciiTheme="minorHAnsi" w:hAnsiTheme="minorHAnsi" w:cstheme="minorHAnsi"/>
                <w:i/>
              </w:rPr>
              <w:t>.</w:t>
            </w:r>
          </w:p>
        </w:tc>
        <w:tc>
          <w:tcPr>
            <w:tcW w:w="5710" w:type="dxa"/>
          </w:tcPr>
          <w:p w:rsidR="003D11BD" w:rsidRPr="00495271" w:rsidRDefault="003D11BD" w:rsidP="003D11BD">
            <w:pPr>
              <w:widowControl w:val="0"/>
              <w:autoSpaceDE w:val="0"/>
              <w:autoSpaceDN w:val="0"/>
              <w:spacing w:after="0" w:line="259" w:lineRule="auto"/>
              <w:ind w:left="76" w:right="177" w:firstLine="8"/>
              <w:jc w:val="both"/>
              <w:rPr>
                <w:rFonts w:asciiTheme="minorHAnsi" w:hAnsiTheme="minorHAnsi" w:cstheme="minorHAnsi"/>
                <w:b/>
                <w:i/>
              </w:rPr>
            </w:pPr>
            <w:r w:rsidRPr="00495271">
              <w:rPr>
                <w:rFonts w:asciiTheme="minorHAnsi" w:eastAsia="Times New Roman" w:hAnsiTheme="minorHAnsi"/>
                <w:b/>
                <w:bCs/>
                <w:i/>
                <w:iCs/>
                <w:lang w:eastAsia="bs-Latn-BA"/>
              </w:rPr>
              <w:t>Propisati mjerljive kriterije za vrednovanje projekata koji se financiraju iz tekućih transfera i dokumentaciju koja je dokaz ispunjenosti kriterija, u cilju objektivnog bodovanja.</w:t>
            </w:r>
          </w:p>
        </w:tc>
        <w:tc>
          <w:tcPr>
            <w:tcW w:w="7275" w:type="dxa"/>
          </w:tcPr>
          <w:p w:rsidR="003174FA" w:rsidRDefault="003D11BD" w:rsidP="003D11BD">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Povjerenstvo za dodjelu sredstava općinama i gradovima iz Proračuna Federacije Bosne i Hercegovine za 2020. godinu, koje je imenovala Vlada Federacije Bosne i Hercegovine  („Službene novine Federacije BiH“, broj 45/20), pored zadatka da izvrši pregled i ocjenjivanje dostavljenih projekata/zahtjeva/inicijativa i na osnovu toga izradi prijedlog korisnika navedenih sredstava temeljem kojeg će Federalno ministarstvo financija pripremiti prijedlog odluke i dostaviti je Vladi Federacije Bosne i Hercegovine na razmatranje, utvrdilo je kriterije odnosno podkriterije za vrednovanje projekata koji se financiraju iz tekućih transfera kao i dokumentaciju koja se smatra dokazom ispunjenosti kriterija u cilju objektivnog bodovanja. Federalno ministarstvo financija nije sudjelovalo u radu Povjerenstva, stoga nije niti moglo utjecati na odabir mjerljivih kriterija za vrednovanje projekata niti dokumentacije o ispunjenosti istih.</w:t>
            </w:r>
          </w:p>
          <w:p w:rsidR="003D11BD" w:rsidRPr="00495271" w:rsidRDefault="003174FA" w:rsidP="003D11BD">
            <w:pPr>
              <w:spacing w:after="0" w:line="240" w:lineRule="auto"/>
              <w:jc w:val="both"/>
              <w:rPr>
                <w:rFonts w:asciiTheme="minorHAnsi" w:eastAsia="Times New Roman" w:hAnsiTheme="minorHAnsi"/>
                <w:b/>
                <w:bCs/>
                <w:i/>
                <w:iCs/>
                <w:lang w:eastAsia="bs-Latn-BA"/>
              </w:rPr>
            </w:pPr>
            <w:r w:rsidRPr="00AE3FBE">
              <w:rPr>
                <w:rFonts w:asciiTheme="minorHAnsi" w:eastAsia="Times New Roman" w:hAnsiTheme="minorHAnsi"/>
                <w:b/>
                <w:bCs/>
                <w:i/>
                <w:iCs/>
                <w:lang w:eastAsia="bs-Latn-BA"/>
              </w:rPr>
              <w:t>U 2021. godini, Vlada Federacije Bosne i Hercegovine je imenovala Povjerenstvo za dodjelu sredstava općinama i gradovima iz Proračuna Federacije Bosne i Hercegovine-za 2021. godinu („Službene novine Federacije BiH", br. 50/21 i 53/21), u čijem radu je, kao član, sudjelovao predstavnik Federalnog ministarstva financija.</w:t>
            </w:r>
            <w:r w:rsidR="003D11BD" w:rsidRPr="00495271">
              <w:rPr>
                <w:rFonts w:asciiTheme="minorHAnsi" w:eastAsia="Times New Roman" w:hAnsiTheme="minorHAnsi"/>
                <w:b/>
                <w:bCs/>
                <w:i/>
                <w:iCs/>
                <w:lang w:eastAsia="bs-Latn-BA"/>
              </w:rPr>
              <w:t xml:space="preserve"> </w:t>
            </w:r>
          </w:p>
        </w:tc>
      </w:tr>
      <w:tr w:rsidR="00495271" w:rsidRPr="00495271" w:rsidTr="00495271">
        <w:tc>
          <w:tcPr>
            <w:tcW w:w="1231" w:type="dxa"/>
          </w:tcPr>
          <w:p w:rsidR="00B23F24" w:rsidRPr="00495271" w:rsidRDefault="00B26939" w:rsidP="00B23F24">
            <w:pPr>
              <w:rPr>
                <w:rFonts w:asciiTheme="minorHAnsi" w:hAnsiTheme="minorHAnsi" w:cstheme="minorHAnsi"/>
                <w:i/>
              </w:rPr>
            </w:pPr>
            <w:r w:rsidRPr="00495271">
              <w:rPr>
                <w:rFonts w:asciiTheme="minorHAnsi" w:hAnsiTheme="minorHAnsi" w:cstheme="minorHAnsi"/>
                <w:i/>
              </w:rPr>
              <w:t>4</w:t>
            </w:r>
            <w:r w:rsidR="00B23F24" w:rsidRPr="00495271">
              <w:rPr>
                <w:rFonts w:asciiTheme="minorHAnsi" w:hAnsiTheme="minorHAnsi" w:cstheme="minorHAnsi"/>
                <w:i/>
              </w:rPr>
              <w:t>.</w:t>
            </w:r>
          </w:p>
        </w:tc>
        <w:tc>
          <w:tcPr>
            <w:tcW w:w="5710" w:type="dxa"/>
          </w:tcPr>
          <w:p w:rsidR="00B23F24" w:rsidRPr="00495271" w:rsidRDefault="00B23F24" w:rsidP="00B23F24">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Definirati obvezu nadzora nad radom interresornog Povjerenstva za dodjelu sredstava općinama i gradovima iz Proračuna FBiH, te prije predlaganja Vladi FBiH odluke o raspodjeli sredstava ostvariti nadzor nad radom interresornog Povjerenstva.</w:t>
            </w:r>
          </w:p>
        </w:tc>
        <w:tc>
          <w:tcPr>
            <w:tcW w:w="7275" w:type="dxa"/>
          </w:tcPr>
          <w:p w:rsidR="00B23F24" w:rsidRPr="00495271" w:rsidRDefault="00B23F24" w:rsidP="00B23F24">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Definiranje obveze nadzora nad radom Povjerenstva, kao i  samog ostvarenja nadzora nad radom Povjerenstva, u nadležnosti je Vlade Federacije Bosne i Hercegovine, koja je i imenovala Povjerenstvo.</w:t>
            </w:r>
          </w:p>
        </w:tc>
      </w:tr>
      <w:tr w:rsidR="00495271" w:rsidRPr="00495271" w:rsidTr="00495271">
        <w:tc>
          <w:tcPr>
            <w:tcW w:w="1231" w:type="dxa"/>
          </w:tcPr>
          <w:p w:rsidR="00B23F24" w:rsidRPr="00495271" w:rsidRDefault="00B26939" w:rsidP="00B23F24">
            <w:pPr>
              <w:rPr>
                <w:rFonts w:asciiTheme="minorHAnsi" w:hAnsiTheme="minorHAnsi" w:cstheme="minorHAnsi"/>
                <w:i/>
              </w:rPr>
            </w:pPr>
            <w:r w:rsidRPr="00495271">
              <w:rPr>
                <w:rFonts w:asciiTheme="minorHAnsi" w:hAnsiTheme="minorHAnsi" w:cstheme="minorHAnsi"/>
                <w:i/>
              </w:rPr>
              <w:t>5</w:t>
            </w:r>
            <w:r w:rsidR="00B23F24" w:rsidRPr="00495271">
              <w:rPr>
                <w:rFonts w:asciiTheme="minorHAnsi" w:hAnsiTheme="minorHAnsi" w:cstheme="minorHAnsi"/>
                <w:i/>
              </w:rPr>
              <w:t>.</w:t>
            </w:r>
          </w:p>
        </w:tc>
        <w:tc>
          <w:tcPr>
            <w:tcW w:w="5710" w:type="dxa"/>
          </w:tcPr>
          <w:p w:rsidR="00B23F24" w:rsidRPr="00495271" w:rsidRDefault="00B23F24" w:rsidP="00B23F24">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Utvrditi točan iznos duga, zaduženja i ostalih obveza, kao i potraživanja Federalnog ministarstva obrane, Vojske FBiH i Obavještajno-sigurnosne službe FBiH.</w:t>
            </w:r>
          </w:p>
        </w:tc>
        <w:tc>
          <w:tcPr>
            <w:tcW w:w="7275" w:type="dxa"/>
          </w:tcPr>
          <w:p w:rsidR="0048065B" w:rsidRPr="00495271" w:rsidRDefault="00B23F24" w:rsidP="00B23F24">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Obzirom da su bivši federalni proračunski korisnici (Federalno ministarstvo obrane, Vojska Federacije BiH, Obavještajno¬ sigurnosna  službe   FBiH  i  Carinske uprave FBiH) bili dužni, u skladu sa zakonskim odredbama, izvršiti popis imovine, obveza i potraživanja te na taj način utvrditi ukupna zaduženja, kao i imovinu koja ostaje u nadležnosti Federacije BiH te da isto nikad nije urađeno, Federalno ministarsvo financija ne posjeduje relevantnu dokumentaciju na osnovu koje bi se utvrdio točan iznos duga, zaduženja i ostalih obveza, kao i potraživanja.</w:t>
            </w:r>
          </w:p>
          <w:p w:rsidR="0048065B" w:rsidRPr="00495271" w:rsidRDefault="0048065B" w:rsidP="00B23F24">
            <w:pPr>
              <w:spacing w:after="0" w:line="240" w:lineRule="auto"/>
              <w:jc w:val="both"/>
              <w:rPr>
                <w:rFonts w:asciiTheme="minorHAnsi" w:eastAsia="Times New Roman" w:hAnsiTheme="minorHAnsi"/>
                <w:b/>
                <w:bCs/>
                <w:i/>
                <w:iCs/>
                <w:lang w:eastAsia="bs-Latn-BA"/>
              </w:rPr>
            </w:pPr>
          </w:p>
        </w:tc>
      </w:tr>
      <w:tr w:rsidR="00495271" w:rsidRPr="00495271" w:rsidTr="00495271">
        <w:tc>
          <w:tcPr>
            <w:tcW w:w="1231" w:type="dxa"/>
          </w:tcPr>
          <w:p w:rsidR="003D27F4" w:rsidRPr="00495271" w:rsidRDefault="00B26939" w:rsidP="003D27F4">
            <w:pPr>
              <w:jc w:val="both"/>
              <w:rPr>
                <w:rFonts w:asciiTheme="minorHAnsi" w:hAnsiTheme="minorHAnsi" w:cstheme="minorHAnsi"/>
                <w:i/>
              </w:rPr>
            </w:pPr>
            <w:r w:rsidRPr="00495271">
              <w:rPr>
                <w:rFonts w:asciiTheme="minorHAnsi" w:hAnsiTheme="minorHAnsi" w:cstheme="minorHAnsi"/>
                <w:i/>
              </w:rPr>
              <w:lastRenderedPageBreak/>
              <w:t>6</w:t>
            </w:r>
            <w:r w:rsidR="003D27F4" w:rsidRPr="00495271">
              <w:rPr>
                <w:rFonts w:asciiTheme="minorHAnsi" w:hAnsiTheme="minorHAnsi" w:cstheme="minorHAnsi"/>
                <w:i/>
              </w:rPr>
              <w:t>.</w:t>
            </w:r>
          </w:p>
        </w:tc>
        <w:tc>
          <w:tcPr>
            <w:tcW w:w="5710" w:type="dxa"/>
            <w:vAlign w:val="center"/>
          </w:tcPr>
          <w:p w:rsidR="003D27F4" w:rsidRPr="00495271" w:rsidRDefault="003D27F4" w:rsidP="003D27F4">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Sačiniti detaljan pregled plana postupanja po preporukama danim u Izvješću o reviziji financijskih izvješća Federalnog ministarstva obrane i Vojske FBiH za 2005. godinu i dostaviti ga Uredu za reviziju institucija u FBiH.</w:t>
            </w:r>
          </w:p>
        </w:tc>
        <w:tc>
          <w:tcPr>
            <w:tcW w:w="7275" w:type="dxa"/>
            <w:vAlign w:val="center"/>
          </w:tcPr>
          <w:p w:rsidR="003D27F4" w:rsidRPr="00495271" w:rsidRDefault="003D27F4" w:rsidP="003D27F4">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Federalno ministarstvo financija ne posjeduje relevantnu dokumentaciju na osnovu koje može postupiti po preporuci Ureda za reviziju.</w:t>
            </w:r>
          </w:p>
        </w:tc>
      </w:tr>
      <w:tr w:rsidR="00495271" w:rsidRPr="00495271" w:rsidTr="00495271">
        <w:tc>
          <w:tcPr>
            <w:tcW w:w="1231" w:type="dxa"/>
          </w:tcPr>
          <w:p w:rsidR="003D27F4" w:rsidRPr="00495271" w:rsidRDefault="00B26939" w:rsidP="003D27F4">
            <w:pPr>
              <w:jc w:val="both"/>
              <w:rPr>
                <w:rFonts w:asciiTheme="minorHAnsi" w:hAnsiTheme="minorHAnsi" w:cstheme="minorHAnsi"/>
                <w:i/>
              </w:rPr>
            </w:pPr>
            <w:r w:rsidRPr="00495271">
              <w:rPr>
                <w:rFonts w:asciiTheme="minorHAnsi" w:hAnsiTheme="minorHAnsi" w:cstheme="minorHAnsi"/>
                <w:i/>
              </w:rPr>
              <w:t>7</w:t>
            </w:r>
            <w:r w:rsidR="003D27F4" w:rsidRPr="00495271">
              <w:rPr>
                <w:rFonts w:asciiTheme="minorHAnsi" w:hAnsiTheme="minorHAnsi" w:cstheme="minorHAnsi"/>
                <w:i/>
              </w:rPr>
              <w:t>.</w:t>
            </w:r>
          </w:p>
        </w:tc>
        <w:tc>
          <w:tcPr>
            <w:tcW w:w="5710" w:type="dxa"/>
            <w:vAlign w:val="center"/>
          </w:tcPr>
          <w:p w:rsidR="003D27F4" w:rsidRPr="00495271" w:rsidRDefault="003D27F4" w:rsidP="003D27F4">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Procijeniti stvarni iznos realiziranih usluga i, prema konstatiranom, izvršiti odgovarajuća knjigovodstvena evidentiranja, a u slučaju nemogućnosti izvršenja, poduzeti aktivnosti na raskidu Ugovora sukladno članku 12. Ugovora.</w:t>
            </w:r>
          </w:p>
        </w:tc>
        <w:tc>
          <w:tcPr>
            <w:tcW w:w="7275" w:type="dxa"/>
            <w:vAlign w:val="center"/>
          </w:tcPr>
          <w:p w:rsidR="003D27F4" w:rsidRPr="00495271" w:rsidRDefault="003D27F4" w:rsidP="0048065B">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Odgovarajuća knjigovodstvena knjiženja su uvijek bila izvršena. Vrijednost izvršenih radova za ovo ministarstvo je još uvijek 0,00 KM. Nikakva prava za korištenje aplikacije nisu prenesena na ministarstvo te iz navedenog razloga i knjigovodstvena vrijednost tih stalnih sredstava u obliku prava iznosi okruglo 0,00 KM i kao takva se i vode u ministarstvu. Stav ministarstva je da je još uvijek kontra produktivno pokretati proceduru raskida ugovora, obzirom da ministarstvo za aplikaciju nije uplatilo nijednu KM, dok je od izvođača radova naplatilo sva moguća potraživanja predviđena Ugovorom. Napominjemo da se raskidom ugovora vraćamo na stanje od prije 3+ godina i neizvjesnost vezanu za kompletan postupak, dok u trenutnoj situaciji u kojoj se nalazimo imamo naznaka da bi se izvršenje ugovora moglo okončati.</w:t>
            </w:r>
          </w:p>
        </w:tc>
      </w:tr>
      <w:tr w:rsidR="00495271" w:rsidRPr="00495271" w:rsidTr="00495271">
        <w:tc>
          <w:tcPr>
            <w:tcW w:w="1231" w:type="dxa"/>
          </w:tcPr>
          <w:p w:rsidR="003D27F4" w:rsidRPr="00495271" w:rsidRDefault="00B26939" w:rsidP="003D27F4">
            <w:pPr>
              <w:jc w:val="both"/>
              <w:rPr>
                <w:rFonts w:asciiTheme="minorHAnsi" w:hAnsiTheme="minorHAnsi" w:cstheme="minorHAnsi"/>
                <w:i/>
              </w:rPr>
            </w:pPr>
            <w:r w:rsidRPr="00495271">
              <w:rPr>
                <w:rFonts w:asciiTheme="minorHAnsi" w:hAnsiTheme="minorHAnsi" w:cstheme="minorHAnsi"/>
                <w:i/>
              </w:rPr>
              <w:t>8</w:t>
            </w:r>
            <w:r w:rsidR="003D27F4" w:rsidRPr="00495271">
              <w:rPr>
                <w:rFonts w:asciiTheme="minorHAnsi" w:hAnsiTheme="minorHAnsi" w:cstheme="minorHAnsi"/>
                <w:i/>
              </w:rPr>
              <w:t>.</w:t>
            </w:r>
          </w:p>
        </w:tc>
        <w:tc>
          <w:tcPr>
            <w:tcW w:w="5710" w:type="dxa"/>
            <w:vAlign w:val="center"/>
          </w:tcPr>
          <w:p w:rsidR="003D27F4" w:rsidRPr="00495271" w:rsidRDefault="003D27F4" w:rsidP="003D27F4">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Utvrditi status opreme koja je dana na revers u ranijem razdoblju i, sukladno konstatiranom, poduzeti odgovarajuće aktivnosti.</w:t>
            </w:r>
          </w:p>
        </w:tc>
        <w:tc>
          <w:tcPr>
            <w:tcW w:w="7275" w:type="dxa"/>
            <w:vAlign w:val="center"/>
          </w:tcPr>
          <w:p w:rsidR="003D27F4" w:rsidRPr="00495271" w:rsidRDefault="003D27F4" w:rsidP="003D27F4">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Status opreme je uvijek i bio utvrđen. Postoje reversi. U skladu s konstatiranim nije moguće poduzeti bilo kakvu aktivnost koja ne bi bila nezakonita.</w:t>
            </w:r>
          </w:p>
        </w:tc>
      </w:tr>
      <w:tr w:rsidR="00495271" w:rsidRPr="00495271" w:rsidTr="00495271">
        <w:tc>
          <w:tcPr>
            <w:tcW w:w="1231" w:type="dxa"/>
          </w:tcPr>
          <w:p w:rsidR="003D27F4" w:rsidRPr="00495271" w:rsidRDefault="00B26939" w:rsidP="003D27F4">
            <w:pPr>
              <w:jc w:val="both"/>
              <w:rPr>
                <w:rFonts w:asciiTheme="minorHAnsi" w:hAnsiTheme="minorHAnsi" w:cstheme="minorHAnsi"/>
                <w:i/>
              </w:rPr>
            </w:pPr>
            <w:r w:rsidRPr="00495271">
              <w:rPr>
                <w:rFonts w:asciiTheme="minorHAnsi" w:hAnsiTheme="minorHAnsi" w:cstheme="minorHAnsi"/>
                <w:i/>
              </w:rPr>
              <w:t>9</w:t>
            </w:r>
            <w:r w:rsidR="003D27F4" w:rsidRPr="00495271">
              <w:rPr>
                <w:rFonts w:asciiTheme="minorHAnsi" w:hAnsiTheme="minorHAnsi" w:cstheme="minorHAnsi"/>
                <w:i/>
              </w:rPr>
              <w:t>.</w:t>
            </w:r>
          </w:p>
        </w:tc>
        <w:tc>
          <w:tcPr>
            <w:tcW w:w="5710" w:type="dxa"/>
            <w:vAlign w:val="center"/>
          </w:tcPr>
          <w:p w:rsidR="003D27F4" w:rsidRPr="00495271" w:rsidRDefault="003D27F4" w:rsidP="003D27F4">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Poduzeti aktivnosti kako bi se obveze po kreditu JP „Vodovod“ d.o.o. Mostar tretirale sukladno zaključenom supsidijarnom kreditnom ugovoru i evidentirala potraživanja od krajnjeg korisnika sukladno Računovodstvenim politikama za federalne proračunske korisnike i riznicu i Naputku o planiranju i računovodstvenom evidentiranju vanjskog duga FBiH u Glavnoj knjizi riznice.</w:t>
            </w:r>
          </w:p>
          <w:p w:rsidR="003D27F4" w:rsidRPr="00495271" w:rsidRDefault="003D27F4" w:rsidP="003D27F4">
            <w:pPr>
              <w:spacing w:after="0" w:line="240" w:lineRule="auto"/>
              <w:jc w:val="both"/>
              <w:rPr>
                <w:rFonts w:asciiTheme="minorHAnsi" w:eastAsia="Times New Roman" w:hAnsiTheme="minorHAnsi"/>
                <w:b/>
                <w:bCs/>
                <w:i/>
                <w:iCs/>
                <w:lang w:eastAsia="bs-Latn-BA"/>
              </w:rPr>
            </w:pPr>
          </w:p>
        </w:tc>
        <w:tc>
          <w:tcPr>
            <w:tcW w:w="7275" w:type="dxa"/>
            <w:vAlign w:val="center"/>
          </w:tcPr>
          <w:p w:rsidR="003D27F4" w:rsidRPr="00495271" w:rsidRDefault="003D27F4" w:rsidP="00AE3FBE">
            <w:pPr>
              <w:jc w:val="both"/>
              <w:rPr>
                <w:rFonts w:asciiTheme="minorHAnsi" w:hAnsiTheme="minorHAnsi" w:cstheme="minorHAnsi"/>
                <w:b/>
                <w:bCs/>
                <w:i/>
                <w:lang w:val="bs-Latn-BA"/>
              </w:rPr>
            </w:pPr>
            <w:r w:rsidRPr="00495271">
              <w:rPr>
                <w:rFonts w:asciiTheme="minorHAnsi" w:hAnsiTheme="minorHAnsi"/>
                <w:b/>
                <w:bCs/>
                <w:i/>
                <w:iCs/>
                <w:lang w:eastAsia="bs-Latn-BA"/>
              </w:rPr>
              <w:t> </w:t>
            </w:r>
            <w:r w:rsidRPr="00495271">
              <w:rPr>
                <w:rFonts w:asciiTheme="minorHAnsi" w:hAnsiTheme="minorHAnsi" w:cstheme="minorHAnsi"/>
                <w:b/>
                <w:bCs/>
                <w:i/>
                <w:lang w:val="bs-Latn-BA"/>
              </w:rPr>
              <w:t xml:space="preserve">Federalno ministarstvo financija je u svojim komentarima na nacrt predmetnog izvješća naglašavalo da u svojim evidencijama i arhivima nema originalni supsidijarni sporazum o preuzimanju otplate obveza po kreditu Svjetske banke-IDA 34000 (Voda za Mostar) koji je potpisala i ovjerila ovlaštena osoba ispred </w:t>
            </w:r>
            <w:r w:rsidR="00433D49" w:rsidRPr="00495271">
              <w:rPr>
                <w:rFonts w:asciiTheme="minorHAnsi" w:hAnsiTheme="minorHAnsi" w:cstheme="minorHAnsi"/>
                <w:b/>
                <w:bCs/>
                <w:i/>
                <w:lang w:val="bs-Latn-BA"/>
              </w:rPr>
              <w:t>JP „Vodovod“ d.o.o. Mostar, kao ni</w:t>
            </w:r>
            <w:r w:rsidRPr="00495271">
              <w:rPr>
                <w:rFonts w:asciiTheme="minorHAnsi" w:hAnsiTheme="minorHAnsi" w:cstheme="minorHAnsi"/>
                <w:b/>
                <w:bCs/>
                <w:i/>
                <w:lang w:val="bs-Latn-BA"/>
              </w:rPr>
              <w:t xml:space="preserve"> ovjerenu kopiju istog, a to znači da ministarstvo ne raspolaže vjerodostvojnom dokumentacijom koja je osnova za knjiženje potraživanja od bilo kojeg dužnika. </w:t>
            </w:r>
            <w:r w:rsidR="00433D49" w:rsidRPr="00495271">
              <w:rPr>
                <w:rFonts w:asciiTheme="minorHAnsi" w:hAnsiTheme="minorHAnsi" w:cstheme="minorHAnsi"/>
                <w:b/>
                <w:bCs/>
                <w:i/>
                <w:lang w:val="bs-Latn-BA"/>
              </w:rPr>
              <w:t>Naime, originalni supsidijarni sporazum nije pronađen u arhivi ministarstva, postoji samo kopija istog, koj</w:t>
            </w:r>
            <w:r w:rsidR="00CD2B4F" w:rsidRPr="00495271">
              <w:rPr>
                <w:rFonts w:asciiTheme="minorHAnsi" w:hAnsiTheme="minorHAnsi" w:cstheme="minorHAnsi"/>
                <w:b/>
                <w:bCs/>
                <w:i/>
                <w:lang w:val="bs-Latn-BA"/>
              </w:rPr>
              <w:t>i</w:t>
            </w:r>
            <w:r w:rsidR="00433D49" w:rsidRPr="00495271">
              <w:rPr>
                <w:rFonts w:asciiTheme="minorHAnsi" w:hAnsiTheme="minorHAnsi" w:cstheme="minorHAnsi"/>
                <w:b/>
                <w:bCs/>
                <w:i/>
                <w:lang w:val="bs-Latn-BA"/>
              </w:rPr>
              <w:t xml:space="preserve"> su potpisali samo predstavnici organa Bosne i Hercegovine i Federacije Bosne i Hercegovine, ali ne i  ovlaštena osoba ispred JP „Vodovod“ d.o.o. Mostar. </w:t>
            </w:r>
            <w:r w:rsidRPr="00495271">
              <w:rPr>
                <w:rFonts w:asciiTheme="minorHAnsi" w:hAnsiTheme="minorHAnsi" w:cstheme="minorHAnsi"/>
                <w:b/>
                <w:bCs/>
                <w:i/>
                <w:lang w:val="bs-Latn-BA"/>
              </w:rPr>
              <w:t xml:space="preserve">S obzirom na to da Ured za reviziju institucija FBIH nije uvažio komentare i da se preporuka našla u konačnom Izvješću o financijskoj reviziji FMF-a za 2020. godinu, ministarstvo </w:t>
            </w:r>
            <w:r w:rsidR="00CD2B4F" w:rsidRPr="00495271">
              <w:rPr>
                <w:rFonts w:asciiTheme="minorHAnsi" w:hAnsiTheme="minorHAnsi" w:cstheme="minorHAnsi"/>
                <w:b/>
                <w:bCs/>
                <w:i/>
                <w:lang w:val="bs-Latn-BA"/>
              </w:rPr>
              <w:t>se obratilo</w:t>
            </w:r>
            <w:r w:rsidRPr="00495271">
              <w:rPr>
                <w:rFonts w:asciiTheme="minorHAnsi" w:hAnsiTheme="minorHAnsi" w:cstheme="minorHAnsi"/>
                <w:b/>
                <w:bCs/>
                <w:i/>
                <w:lang w:val="bs-Latn-BA"/>
              </w:rPr>
              <w:t xml:space="preserve"> JP „Vodovod“ d.o.o. Mostar</w:t>
            </w:r>
            <w:r w:rsidR="00CD2B4F" w:rsidRPr="00495271">
              <w:rPr>
                <w:rFonts w:asciiTheme="minorHAnsi" w:hAnsiTheme="minorHAnsi" w:cstheme="minorHAnsi"/>
                <w:b/>
                <w:bCs/>
                <w:i/>
                <w:lang w:val="bs-Latn-BA"/>
              </w:rPr>
              <w:t xml:space="preserve">, dana 18.11.2021.godine, </w:t>
            </w:r>
            <w:r w:rsidRPr="00495271">
              <w:rPr>
                <w:rFonts w:asciiTheme="minorHAnsi" w:hAnsiTheme="minorHAnsi" w:cstheme="minorHAnsi"/>
                <w:b/>
                <w:bCs/>
                <w:i/>
                <w:lang w:val="bs-Latn-BA"/>
              </w:rPr>
              <w:t xml:space="preserve"> radi dostave potpisanog i ovjerenog sporazuma o preuzimanju otplate obveza po kreditu Svjetske banke-I</w:t>
            </w:r>
            <w:r w:rsidR="00CD2B4F" w:rsidRPr="00495271">
              <w:rPr>
                <w:rFonts w:asciiTheme="minorHAnsi" w:hAnsiTheme="minorHAnsi" w:cstheme="minorHAnsi"/>
                <w:b/>
                <w:bCs/>
                <w:i/>
                <w:lang w:val="bs-Latn-BA"/>
              </w:rPr>
              <w:t>DA 34000, ukoliko isti postoji</w:t>
            </w:r>
            <w:r w:rsidR="00CD2B4F" w:rsidRPr="00495271">
              <w:rPr>
                <w:b/>
                <w:bCs/>
                <w:lang w:eastAsia="bs-Latn-BA"/>
              </w:rPr>
              <w:t xml:space="preserve"> </w:t>
            </w:r>
            <w:r w:rsidR="00CD2B4F" w:rsidRPr="00495271">
              <w:rPr>
                <w:b/>
                <w:bCs/>
                <w:i/>
                <w:lang w:eastAsia="bs-Latn-BA"/>
              </w:rPr>
              <w:t>u arhivi JP „Vodovod“ d.o.o. Mostar. Traženi odgovor do danas nije dostavljen</w:t>
            </w:r>
            <w:r w:rsidR="00CD2B4F" w:rsidRPr="00495271">
              <w:rPr>
                <w:b/>
                <w:bCs/>
                <w:lang w:eastAsia="bs-Latn-BA"/>
              </w:rPr>
              <w:t>.</w:t>
            </w:r>
          </w:p>
        </w:tc>
      </w:tr>
      <w:tr w:rsidR="00495271" w:rsidRPr="00495271" w:rsidTr="00495271">
        <w:tc>
          <w:tcPr>
            <w:tcW w:w="1231" w:type="dxa"/>
          </w:tcPr>
          <w:p w:rsidR="00EE6890" w:rsidRPr="00495271" w:rsidRDefault="00B26939" w:rsidP="00EE6890">
            <w:pPr>
              <w:jc w:val="both"/>
              <w:rPr>
                <w:rFonts w:asciiTheme="minorHAnsi" w:hAnsiTheme="minorHAnsi" w:cstheme="minorHAnsi"/>
                <w:i/>
              </w:rPr>
            </w:pPr>
            <w:r w:rsidRPr="00495271">
              <w:rPr>
                <w:rFonts w:asciiTheme="minorHAnsi" w:hAnsiTheme="minorHAnsi" w:cstheme="minorHAnsi"/>
                <w:i/>
              </w:rPr>
              <w:t>10</w:t>
            </w:r>
            <w:r w:rsidR="00EE6890" w:rsidRPr="00495271">
              <w:rPr>
                <w:rFonts w:asciiTheme="minorHAnsi" w:hAnsiTheme="minorHAnsi" w:cstheme="minorHAnsi"/>
                <w:i/>
              </w:rPr>
              <w:t>.</w:t>
            </w:r>
          </w:p>
        </w:tc>
        <w:tc>
          <w:tcPr>
            <w:tcW w:w="5710" w:type="dxa"/>
            <w:vAlign w:val="center"/>
          </w:tcPr>
          <w:p w:rsidR="00EE6890" w:rsidRPr="00495271" w:rsidRDefault="00EE6890" w:rsidP="00EE6890">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Prema utvrđenim nadležnostima, potrebno je poduzeti aktivnosti u cilju definiranja knjigovodstvenog evidentiranja, financijskog izvješćivanja i godišnjeg obračuna za razvojno-investicijske projekte, sukladno Zakonu o računovodstvu i reviziji u FBiH, a koji se realiziraju putem posebnih transakcijskih namjenskih računa.</w:t>
            </w:r>
          </w:p>
        </w:tc>
        <w:tc>
          <w:tcPr>
            <w:tcW w:w="7275" w:type="dxa"/>
            <w:vAlign w:val="center"/>
          </w:tcPr>
          <w:p w:rsidR="00EE6890" w:rsidRPr="00495271" w:rsidRDefault="00EE6890" w:rsidP="00EE6890">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Preporuku nije moguće provesti s obzirom na to da je ista u suprotnosti sa Zakonom o riznici, Zakonom o proračunima u FBiH  i Zakonom o unutarnjem platnom prometu</w:t>
            </w:r>
          </w:p>
        </w:tc>
      </w:tr>
      <w:tr w:rsidR="00495271" w:rsidRPr="00495271" w:rsidTr="00495271">
        <w:tc>
          <w:tcPr>
            <w:tcW w:w="1231" w:type="dxa"/>
          </w:tcPr>
          <w:p w:rsidR="0039292B" w:rsidRPr="00495271" w:rsidRDefault="0039292B" w:rsidP="0039292B">
            <w:pPr>
              <w:jc w:val="both"/>
              <w:rPr>
                <w:rFonts w:asciiTheme="minorHAnsi" w:hAnsiTheme="minorHAnsi" w:cstheme="minorHAnsi"/>
                <w:i/>
              </w:rPr>
            </w:pPr>
            <w:r w:rsidRPr="00495271">
              <w:rPr>
                <w:rFonts w:asciiTheme="minorHAnsi" w:hAnsiTheme="minorHAnsi" w:cstheme="minorHAnsi"/>
                <w:i/>
              </w:rPr>
              <w:lastRenderedPageBreak/>
              <w:t>11.</w:t>
            </w:r>
          </w:p>
        </w:tc>
        <w:tc>
          <w:tcPr>
            <w:tcW w:w="5710" w:type="dxa"/>
          </w:tcPr>
          <w:p w:rsidR="0039292B" w:rsidRPr="00495271" w:rsidRDefault="0039292B" w:rsidP="0039292B">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Usvojiti politike kojima bi se osigurale redovne nadogradnje svih slojeva ISFU-a, kako bi se omogućila stabilnost i pouzdanost sustava i korištenje pogodnosti Oracle tehničke podrške.</w:t>
            </w:r>
          </w:p>
          <w:p w:rsidR="0039292B" w:rsidRPr="00495271" w:rsidRDefault="0039292B" w:rsidP="0039292B">
            <w:pPr>
              <w:jc w:val="both"/>
              <w:rPr>
                <w:rFonts w:asciiTheme="minorHAnsi" w:hAnsiTheme="minorHAnsi" w:cstheme="minorHAnsi"/>
                <w:i/>
              </w:rPr>
            </w:pPr>
          </w:p>
        </w:tc>
        <w:tc>
          <w:tcPr>
            <w:tcW w:w="7275" w:type="dxa"/>
          </w:tcPr>
          <w:p w:rsidR="0039292B" w:rsidRPr="00495271" w:rsidRDefault="0039292B" w:rsidP="0097165B">
            <w:pPr>
              <w:spacing w:after="0" w:line="240" w:lineRule="auto"/>
              <w:jc w:val="both"/>
              <w:rPr>
                <w:rFonts w:asciiTheme="minorHAnsi" w:hAnsiTheme="minorHAnsi" w:cstheme="minorHAnsi"/>
                <w:b/>
                <w:i/>
              </w:rPr>
            </w:pPr>
            <w:r w:rsidRPr="00495271">
              <w:rPr>
                <w:rFonts w:asciiTheme="minorHAnsi" w:hAnsiTheme="minorHAnsi" w:cstheme="minorHAnsi"/>
                <w:b/>
                <w:i/>
              </w:rPr>
              <w:t>Nadogradnju aplikacije ISFU smo započeli 2018. godine i ona još nije okončana, odnosno traje duže od tri godine. U međuvremenu u toku trajanja nadogradnje izašle su nove verzije ISFU, što znači da bi mi u pravilu kad usvojimo takve politike cijelo vrijeme samo nadograđivali ISFU, dok je u procesu nadogradnje operativnost sustava na nižem niv</w:t>
            </w:r>
            <w:r w:rsidR="0097165B">
              <w:rPr>
                <w:rFonts w:asciiTheme="minorHAnsi" w:hAnsiTheme="minorHAnsi" w:cstheme="minorHAnsi"/>
                <w:b/>
                <w:i/>
              </w:rPr>
              <w:t>ou nego kad se ista ne radi (zb</w:t>
            </w:r>
            <w:r w:rsidRPr="00495271">
              <w:rPr>
                <w:rFonts w:asciiTheme="minorHAnsi" w:hAnsiTheme="minorHAnsi" w:cstheme="minorHAnsi"/>
                <w:b/>
                <w:i/>
              </w:rPr>
              <w:t>og mnogih problema koji se pojavljuju tijekom nadogradnje,te opterećennjem  uposlenika ministarstva sa značajnim aktivnostima vezanim za nadogradnju, čime se smanjuje njihova produktivnost u redovnim poslovima). Nadalje troškovi zadnj</w:t>
            </w:r>
            <w:r w:rsidR="0097165B">
              <w:rPr>
                <w:rFonts w:asciiTheme="minorHAnsi" w:hAnsiTheme="minorHAnsi" w:cstheme="minorHAnsi"/>
                <w:b/>
                <w:i/>
              </w:rPr>
              <w:t>e</w:t>
            </w:r>
            <w:r w:rsidRPr="00495271">
              <w:rPr>
                <w:rFonts w:asciiTheme="minorHAnsi" w:hAnsiTheme="minorHAnsi" w:cstheme="minorHAnsi"/>
                <w:b/>
                <w:i/>
              </w:rPr>
              <w:t xml:space="preserve"> nadogradnje ISFU aplikacije iznose preko 800.000 KM, te je sigurno da navedeni troškovi nebi opravdali potencijalne, moguće benefite koje bi ostvarili nadogradnjom. Smatramo da je neracionalno obavezivati se politikama za sve buduće troškove, već je potrebno kao i do sada kada </w:t>
            </w:r>
            <w:r w:rsidR="0097165B">
              <w:rPr>
                <w:rFonts w:asciiTheme="minorHAnsi" w:hAnsiTheme="minorHAnsi" w:cstheme="minorHAnsi"/>
                <w:b/>
                <w:i/>
              </w:rPr>
              <w:t>Sektor za riznicu</w:t>
            </w:r>
            <w:bookmarkStart w:id="0" w:name="_GoBack"/>
            <w:bookmarkEnd w:id="0"/>
            <w:r w:rsidRPr="00495271">
              <w:rPr>
                <w:rFonts w:asciiTheme="minorHAnsi" w:hAnsiTheme="minorHAnsi" w:cstheme="minorHAnsi"/>
                <w:b/>
                <w:i/>
              </w:rPr>
              <w:t xml:space="preserve"> Federalnog ministarstva financija izvrši procjene benefita i troškova odlučuje da li i kada ići u postupak nove nadogradnje.  </w:t>
            </w:r>
          </w:p>
        </w:tc>
      </w:tr>
      <w:tr w:rsidR="00495271" w:rsidRPr="00495271" w:rsidTr="00495271">
        <w:tc>
          <w:tcPr>
            <w:tcW w:w="1231" w:type="dxa"/>
          </w:tcPr>
          <w:p w:rsidR="0039292B" w:rsidRPr="00495271" w:rsidRDefault="00D2625B" w:rsidP="00EC70C9">
            <w:pPr>
              <w:jc w:val="both"/>
              <w:rPr>
                <w:rFonts w:asciiTheme="minorHAnsi" w:hAnsiTheme="minorHAnsi" w:cstheme="minorHAnsi"/>
                <w:i/>
              </w:rPr>
            </w:pPr>
            <w:r w:rsidRPr="00495271">
              <w:rPr>
                <w:rFonts w:asciiTheme="minorHAnsi" w:hAnsiTheme="minorHAnsi" w:cstheme="minorHAnsi"/>
                <w:i/>
              </w:rPr>
              <w:t>12.</w:t>
            </w:r>
          </w:p>
        </w:tc>
        <w:tc>
          <w:tcPr>
            <w:tcW w:w="5710" w:type="dxa"/>
          </w:tcPr>
          <w:p w:rsidR="00D2625B" w:rsidRPr="00495271" w:rsidRDefault="00D2625B" w:rsidP="00D2625B">
            <w:pPr>
              <w:spacing w:after="0" w:line="240" w:lineRule="auto"/>
              <w:jc w:val="both"/>
              <w:rPr>
                <w:rFonts w:asciiTheme="minorHAnsi" w:eastAsia="Times New Roman" w:hAnsiTheme="minorHAnsi"/>
                <w:b/>
                <w:bCs/>
                <w:i/>
                <w:iCs/>
                <w:lang w:eastAsia="bs-Latn-BA"/>
              </w:rPr>
            </w:pPr>
          </w:p>
          <w:p w:rsidR="00D2625B" w:rsidRPr="00495271" w:rsidRDefault="00D2625B" w:rsidP="00D2625B">
            <w:pPr>
              <w:spacing w:after="0" w:line="240" w:lineRule="auto"/>
              <w:jc w:val="both"/>
              <w:rPr>
                <w:rFonts w:asciiTheme="minorHAnsi" w:eastAsia="Times New Roman" w:hAnsiTheme="minorHAnsi"/>
                <w:b/>
                <w:bCs/>
                <w:i/>
                <w:iCs/>
                <w:lang w:eastAsia="bs-Latn-BA"/>
              </w:rPr>
            </w:pPr>
            <w:r w:rsidRPr="00495271">
              <w:rPr>
                <w:rFonts w:asciiTheme="minorHAnsi" w:eastAsia="Times New Roman" w:hAnsiTheme="minorHAnsi"/>
                <w:b/>
                <w:bCs/>
                <w:i/>
                <w:iCs/>
                <w:lang w:eastAsia="bs-Latn-BA"/>
              </w:rPr>
              <w:t>Izraditi i usvojiti strateški plan IT razvoja kako bi se na sustavan način pristupilo razvoju informacijskih tehnologija u Ministarstvu i osigurala adekvatna IT podrška, sukladno poslovnim ciljevima.</w:t>
            </w:r>
          </w:p>
          <w:p w:rsidR="00D2625B" w:rsidRPr="00495271" w:rsidRDefault="00D2625B" w:rsidP="00EC70C9">
            <w:pPr>
              <w:jc w:val="both"/>
              <w:rPr>
                <w:rFonts w:asciiTheme="minorHAnsi" w:hAnsiTheme="minorHAnsi" w:cstheme="minorHAnsi"/>
                <w:i/>
              </w:rPr>
            </w:pPr>
          </w:p>
        </w:tc>
        <w:tc>
          <w:tcPr>
            <w:tcW w:w="7275" w:type="dxa"/>
          </w:tcPr>
          <w:p w:rsidR="0039292B" w:rsidRPr="00495271" w:rsidRDefault="0039292B" w:rsidP="00EC70C9">
            <w:pPr>
              <w:jc w:val="both"/>
              <w:rPr>
                <w:rFonts w:asciiTheme="minorHAnsi" w:hAnsiTheme="minorHAnsi" w:cstheme="minorHAnsi"/>
                <w:b/>
                <w:i/>
              </w:rPr>
            </w:pPr>
            <w:r w:rsidRPr="00495271">
              <w:rPr>
                <w:rFonts w:asciiTheme="minorHAnsi" w:hAnsiTheme="minorHAnsi" w:cstheme="minorHAnsi"/>
                <w:b/>
                <w:i/>
              </w:rPr>
              <w:t>Obzirom na  stanje tržišta radne snage, kao i propisa koji definiraju radno pravni status informatičara mišljenja smo da se ne može uraditi strategija na razini ministarstva, već je potrebno da se isto uradi na razini Federacije, kako bi bili eleminirani ograničavajući faktori u razvoju IT sustava. Prema sadašnjim ograničenjima strategija nam može jedino biti outsourrcing Informacijskih tehnologija, ali obzirom na poznate probleme i kod vanjskih suradnika smatramo da nije kvalitetno rješenje (problemi sa software-om za evidenciju, proračunskom aplikacijom, aplikacijom riznice). Koliko smo upoznati Vlada Federacije je već poduzela određene korake kako bi razvoj IT prešao s proračunskog korisnika na Financijsko informatičku agenciju i s tim u vezi već su doneseni određeni zaključci.</w:t>
            </w:r>
          </w:p>
        </w:tc>
      </w:tr>
    </w:tbl>
    <w:p w:rsidR="00EC70C9" w:rsidRPr="00495271" w:rsidRDefault="00EC70C9" w:rsidP="00EC70C9">
      <w:pPr>
        <w:jc w:val="both"/>
        <w:rPr>
          <w:rFonts w:asciiTheme="minorHAnsi" w:hAnsiTheme="minorHAnsi" w:cstheme="minorHAnsi"/>
          <w:i/>
          <w:sz w:val="20"/>
          <w:szCs w:val="20"/>
        </w:rPr>
      </w:pPr>
    </w:p>
    <w:p w:rsidR="00EC70C9" w:rsidRPr="00495271" w:rsidRDefault="00EC70C9" w:rsidP="008948F2">
      <w:pPr>
        <w:jc w:val="both"/>
        <w:rPr>
          <w:rFonts w:asciiTheme="minorHAnsi" w:hAnsiTheme="minorHAnsi" w:cstheme="minorHAnsi"/>
          <w:i/>
          <w:sz w:val="20"/>
          <w:szCs w:val="20"/>
        </w:rPr>
      </w:pPr>
    </w:p>
    <w:sectPr w:rsidR="00EC70C9" w:rsidRPr="00495271" w:rsidSect="00147D10">
      <w:pgSz w:w="16838" w:h="11906" w:orient="landscape"/>
      <w:pgMar w:top="1258"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5053A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3369C1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F56C72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1D2680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EB473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AA4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C422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0A0C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6AFAC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4DA98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13E9B"/>
    <w:multiLevelType w:val="hybridMultilevel"/>
    <w:tmpl w:val="C1962AE8"/>
    <w:lvl w:ilvl="0" w:tplc="C4A80226">
      <w:start w:val="1"/>
      <w:numFmt w:val="decimal"/>
      <w:lvlText w:val="%1."/>
      <w:lvlJc w:val="left"/>
      <w:pPr>
        <w:ind w:left="720" w:hanging="360"/>
      </w:pPr>
      <w:rPr>
        <w:rFonts w:hint="default"/>
        <w:color w:val="0F0F0F"/>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8C02D6"/>
    <w:multiLevelType w:val="hybridMultilevel"/>
    <w:tmpl w:val="0A7454BE"/>
    <w:lvl w:ilvl="0" w:tplc="791A4E1A">
      <w:start w:val="1"/>
      <w:numFmt w:val="decimal"/>
      <w:lvlText w:val="%1."/>
      <w:lvlJc w:val="left"/>
      <w:pPr>
        <w:ind w:left="1332" w:hanging="435"/>
      </w:pPr>
      <w:rPr>
        <w:rFonts w:ascii="Arial" w:eastAsia="Arial" w:hAnsi="Arial" w:cs="Arial" w:hint="default"/>
        <w:b/>
        <w:bCs/>
        <w:color w:val="0F0F0F"/>
        <w:w w:val="92"/>
        <w:sz w:val="21"/>
        <w:szCs w:val="21"/>
      </w:rPr>
    </w:lvl>
    <w:lvl w:ilvl="1" w:tplc="A1C6D010">
      <w:start w:val="1"/>
      <w:numFmt w:val="decimal"/>
      <w:lvlText w:val="%2."/>
      <w:lvlJc w:val="left"/>
      <w:pPr>
        <w:ind w:left="1238" w:hanging="362"/>
        <w:jc w:val="right"/>
      </w:pPr>
      <w:rPr>
        <w:rFonts w:hint="default"/>
        <w:b/>
        <w:bCs/>
        <w:w w:val="106"/>
      </w:rPr>
    </w:lvl>
    <w:lvl w:ilvl="2" w:tplc="9578C8AE">
      <w:start w:val="1"/>
      <w:numFmt w:val="decimal"/>
      <w:lvlText w:val="%3."/>
      <w:lvlJc w:val="left"/>
      <w:pPr>
        <w:ind w:left="1816" w:hanging="366"/>
      </w:pPr>
      <w:rPr>
        <w:rFonts w:ascii="Arial" w:eastAsia="Arial" w:hAnsi="Arial" w:cs="Arial" w:hint="default"/>
        <w:color w:val="0C0C0C"/>
        <w:w w:val="103"/>
        <w:sz w:val="19"/>
        <w:szCs w:val="19"/>
      </w:rPr>
    </w:lvl>
    <w:lvl w:ilvl="3" w:tplc="70BC39EA">
      <w:numFmt w:val="bullet"/>
      <w:lvlText w:val="•"/>
      <w:lvlJc w:val="left"/>
      <w:pPr>
        <w:ind w:left="3022" w:hanging="366"/>
      </w:pPr>
      <w:rPr>
        <w:rFonts w:hint="default"/>
      </w:rPr>
    </w:lvl>
    <w:lvl w:ilvl="4" w:tplc="51AA718C">
      <w:numFmt w:val="bullet"/>
      <w:lvlText w:val="•"/>
      <w:lvlJc w:val="left"/>
      <w:pPr>
        <w:ind w:left="4225" w:hanging="366"/>
      </w:pPr>
      <w:rPr>
        <w:rFonts w:hint="default"/>
      </w:rPr>
    </w:lvl>
    <w:lvl w:ilvl="5" w:tplc="61186E44">
      <w:numFmt w:val="bullet"/>
      <w:lvlText w:val="•"/>
      <w:lvlJc w:val="left"/>
      <w:pPr>
        <w:ind w:left="5427" w:hanging="366"/>
      </w:pPr>
      <w:rPr>
        <w:rFonts w:hint="default"/>
      </w:rPr>
    </w:lvl>
    <w:lvl w:ilvl="6" w:tplc="810ABB72">
      <w:numFmt w:val="bullet"/>
      <w:lvlText w:val="•"/>
      <w:lvlJc w:val="left"/>
      <w:pPr>
        <w:ind w:left="6630" w:hanging="366"/>
      </w:pPr>
      <w:rPr>
        <w:rFonts w:hint="default"/>
      </w:rPr>
    </w:lvl>
    <w:lvl w:ilvl="7" w:tplc="932C91AA">
      <w:numFmt w:val="bullet"/>
      <w:lvlText w:val="•"/>
      <w:lvlJc w:val="left"/>
      <w:pPr>
        <w:ind w:left="7832" w:hanging="366"/>
      </w:pPr>
      <w:rPr>
        <w:rFonts w:hint="default"/>
      </w:rPr>
    </w:lvl>
    <w:lvl w:ilvl="8" w:tplc="C162409C">
      <w:numFmt w:val="bullet"/>
      <w:lvlText w:val="•"/>
      <w:lvlJc w:val="left"/>
      <w:pPr>
        <w:ind w:left="9035" w:hanging="366"/>
      </w:pPr>
      <w:rPr>
        <w:rFonts w:hint="default"/>
      </w:rPr>
    </w:lvl>
  </w:abstractNum>
  <w:abstractNum w:abstractNumId="12" w15:restartNumberingAfterBreak="0">
    <w:nsid w:val="119666BC"/>
    <w:multiLevelType w:val="hybridMultilevel"/>
    <w:tmpl w:val="A1C4530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52B412E"/>
    <w:multiLevelType w:val="hybridMultilevel"/>
    <w:tmpl w:val="65862BEA"/>
    <w:lvl w:ilvl="0" w:tplc="0A826B40">
      <w:start w:val="1"/>
      <w:numFmt w:val="decimal"/>
      <w:lvlText w:val="%1)"/>
      <w:lvlJc w:val="left"/>
      <w:pPr>
        <w:ind w:left="949" w:hanging="367"/>
      </w:pPr>
      <w:rPr>
        <w:rFonts w:ascii="Arial" w:eastAsia="Arial" w:hAnsi="Arial" w:cs="Arial" w:hint="default"/>
        <w:color w:val="1C1C1C"/>
        <w:w w:val="104"/>
        <w:sz w:val="19"/>
        <w:szCs w:val="19"/>
      </w:rPr>
    </w:lvl>
    <w:lvl w:ilvl="1" w:tplc="0588A0D0">
      <w:start w:val="1"/>
      <w:numFmt w:val="decimal"/>
      <w:lvlText w:val="%2)"/>
      <w:lvlJc w:val="left"/>
      <w:pPr>
        <w:ind w:left="1905" w:hanging="367"/>
      </w:pPr>
      <w:rPr>
        <w:rFonts w:hint="default"/>
        <w:w w:val="108"/>
      </w:rPr>
    </w:lvl>
    <w:lvl w:ilvl="2" w:tplc="E9F649B8">
      <w:numFmt w:val="bullet"/>
      <w:lvlText w:val="•"/>
      <w:lvlJc w:val="left"/>
      <w:pPr>
        <w:ind w:left="2744" w:hanging="367"/>
      </w:pPr>
      <w:rPr>
        <w:rFonts w:hint="default"/>
      </w:rPr>
    </w:lvl>
    <w:lvl w:ilvl="3" w:tplc="6C764528">
      <w:numFmt w:val="bullet"/>
      <w:lvlText w:val="•"/>
      <w:lvlJc w:val="left"/>
      <w:pPr>
        <w:ind w:left="3588" w:hanging="367"/>
      </w:pPr>
      <w:rPr>
        <w:rFonts w:hint="default"/>
      </w:rPr>
    </w:lvl>
    <w:lvl w:ilvl="4" w:tplc="83DAB3F8">
      <w:numFmt w:val="bullet"/>
      <w:lvlText w:val="•"/>
      <w:lvlJc w:val="left"/>
      <w:pPr>
        <w:ind w:left="4433" w:hanging="367"/>
      </w:pPr>
      <w:rPr>
        <w:rFonts w:hint="default"/>
      </w:rPr>
    </w:lvl>
    <w:lvl w:ilvl="5" w:tplc="AF98D9BA">
      <w:numFmt w:val="bullet"/>
      <w:lvlText w:val="•"/>
      <w:lvlJc w:val="left"/>
      <w:pPr>
        <w:ind w:left="5277" w:hanging="367"/>
      </w:pPr>
      <w:rPr>
        <w:rFonts w:hint="default"/>
      </w:rPr>
    </w:lvl>
    <w:lvl w:ilvl="6" w:tplc="571064C0">
      <w:numFmt w:val="bullet"/>
      <w:lvlText w:val="•"/>
      <w:lvlJc w:val="left"/>
      <w:pPr>
        <w:ind w:left="6122" w:hanging="367"/>
      </w:pPr>
      <w:rPr>
        <w:rFonts w:hint="default"/>
      </w:rPr>
    </w:lvl>
    <w:lvl w:ilvl="7" w:tplc="A600BE6E">
      <w:numFmt w:val="bullet"/>
      <w:lvlText w:val="•"/>
      <w:lvlJc w:val="left"/>
      <w:pPr>
        <w:ind w:left="6966" w:hanging="367"/>
      </w:pPr>
      <w:rPr>
        <w:rFonts w:hint="default"/>
      </w:rPr>
    </w:lvl>
    <w:lvl w:ilvl="8" w:tplc="FB36CEE4">
      <w:numFmt w:val="bullet"/>
      <w:lvlText w:val="•"/>
      <w:lvlJc w:val="left"/>
      <w:pPr>
        <w:ind w:left="7811" w:hanging="367"/>
      </w:pPr>
      <w:rPr>
        <w:rFonts w:hint="default"/>
      </w:rPr>
    </w:lvl>
  </w:abstractNum>
  <w:abstractNum w:abstractNumId="14" w15:restartNumberingAfterBreak="0">
    <w:nsid w:val="194D4D42"/>
    <w:multiLevelType w:val="hybridMultilevel"/>
    <w:tmpl w:val="242AB340"/>
    <w:lvl w:ilvl="0" w:tplc="1B700F6E">
      <w:start w:val="9"/>
      <w:numFmt w:val="decimal"/>
      <w:lvlText w:val="%1)"/>
      <w:lvlJc w:val="left"/>
      <w:pPr>
        <w:ind w:left="838" w:hanging="619"/>
      </w:pPr>
      <w:rPr>
        <w:rFonts w:ascii="Times New Roman" w:eastAsia="Times New Roman" w:hAnsi="Times New Roman" w:cs="Times New Roman" w:hint="default"/>
        <w:b/>
        <w:bCs/>
        <w:color w:val="3D3D3D"/>
        <w:w w:val="107"/>
        <w:sz w:val="31"/>
        <w:szCs w:val="31"/>
      </w:rPr>
    </w:lvl>
    <w:lvl w:ilvl="1" w:tplc="460A3B64">
      <w:start w:val="18"/>
      <w:numFmt w:val="decimal"/>
      <w:lvlText w:val="%2)"/>
      <w:lvlJc w:val="left"/>
      <w:pPr>
        <w:ind w:left="892" w:hanging="366"/>
      </w:pPr>
      <w:rPr>
        <w:rFonts w:ascii="Arial" w:eastAsia="Arial" w:hAnsi="Arial" w:cs="Arial" w:hint="default"/>
        <w:color w:val="151515"/>
        <w:w w:val="108"/>
        <w:sz w:val="19"/>
        <w:szCs w:val="19"/>
      </w:rPr>
    </w:lvl>
    <w:lvl w:ilvl="2" w:tplc="CA0A8204">
      <w:numFmt w:val="bullet"/>
      <w:lvlText w:val="•"/>
      <w:lvlJc w:val="left"/>
      <w:pPr>
        <w:ind w:left="1848" w:hanging="366"/>
      </w:pPr>
      <w:rPr>
        <w:rFonts w:hint="default"/>
      </w:rPr>
    </w:lvl>
    <w:lvl w:ilvl="3" w:tplc="5FBAE428">
      <w:numFmt w:val="bullet"/>
      <w:lvlText w:val="•"/>
      <w:lvlJc w:val="left"/>
      <w:pPr>
        <w:ind w:left="2797" w:hanging="366"/>
      </w:pPr>
      <w:rPr>
        <w:rFonts w:hint="default"/>
      </w:rPr>
    </w:lvl>
    <w:lvl w:ilvl="4" w:tplc="806AD9EE">
      <w:numFmt w:val="bullet"/>
      <w:lvlText w:val="•"/>
      <w:lvlJc w:val="left"/>
      <w:pPr>
        <w:ind w:left="3746" w:hanging="366"/>
      </w:pPr>
      <w:rPr>
        <w:rFonts w:hint="default"/>
      </w:rPr>
    </w:lvl>
    <w:lvl w:ilvl="5" w:tplc="19F88CC4">
      <w:numFmt w:val="bullet"/>
      <w:lvlText w:val="•"/>
      <w:lvlJc w:val="left"/>
      <w:pPr>
        <w:ind w:left="4695" w:hanging="366"/>
      </w:pPr>
      <w:rPr>
        <w:rFonts w:hint="default"/>
      </w:rPr>
    </w:lvl>
    <w:lvl w:ilvl="6" w:tplc="CE9CEE1C">
      <w:numFmt w:val="bullet"/>
      <w:lvlText w:val="•"/>
      <w:lvlJc w:val="left"/>
      <w:pPr>
        <w:ind w:left="5644" w:hanging="366"/>
      </w:pPr>
      <w:rPr>
        <w:rFonts w:hint="default"/>
      </w:rPr>
    </w:lvl>
    <w:lvl w:ilvl="7" w:tplc="3F6A3AE8">
      <w:numFmt w:val="bullet"/>
      <w:lvlText w:val="•"/>
      <w:lvlJc w:val="left"/>
      <w:pPr>
        <w:ind w:left="6593" w:hanging="366"/>
      </w:pPr>
      <w:rPr>
        <w:rFonts w:hint="default"/>
      </w:rPr>
    </w:lvl>
    <w:lvl w:ilvl="8" w:tplc="5C06C634">
      <w:numFmt w:val="bullet"/>
      <w:lvlText w:val="•"/>
      <w:lvlJc w:val="left"/>
      <w:pPr>
        <w:ind w:left="7542" w:hanging="366"/>
      </w:pPr>
      <w:rPr>
        <w:rFonts w:hint="default"/>
      </w:rPr>
    </w:lvl>
  </w:abstractNum>
  <w:abstractNum w:abstractNumId="15" w15:restartNumberingAfterBreak="0">
    <w:nsid w:val="1FB87CF2"/>
    <w:multiLevelType w:val="hybridMultilevel"/>
    <w:tmpl w:val="658656D8"/>
    <w:lvl w:ilvl="0" w:tplc="174E83CE">
      <w:start w:val="6"/>
      <w:numFmt w:val="decimal"/>
      <w:lvlText w:val="%1)"/>
      <w:lvlJc w:val="left"/>
      <w:pPr>
        <w:ind w:left="1879" w:hanging="353"/>
        <w:jc w:val="right"/>
      </w:pPr>
      <w:rPr>
        <w:rFonts w:hint="default"/>
        <w:spacing w:val="-20"/>
        <w:w w:val="84"/>
      </w:rPr>
    </w:lvl>
    <w:lvl w:ilvl="1" w:tplc="1A42B656">
      <w:numFmt w:val="bullet"/>
      <w:lvlText w:val="•"/>
      <w:lvlJc w:val="left"/>
      <w:pPr>
        <w:ind w:left="2862" w:hanging="353"/>
      </w:pPr>
      <w:rPr>
        <w:rFonts w:hint="default"/>
      </w:rPr>
    </w:lvl>
    <w:lvl w:ilvl="2" w:tplc="97CCF28E">
      <w:numFmt w:val="bullet"/>
      <w:lvlText w:val="•"/>
      <w:lvlJc w:val="left"/>
      <w:pPr>
        <w:ind w:left="3844" w:hanging="353"/>
      </w:pPr>
      <w:rPr>
        <w:rFonts w:hint="default"/>
      </w:rPr>
    </w:lvl>
    <w:lvl w:ilvl="3" w:tplc="F2E60C7A">
      <w:numFmt w:val="bullet"/>
      <w:lvlText w:val="•"/>
      <w:lvlJc w:val="left"/>
      <w:pPr>
        <w:ind w:left="4826" w:hanging="353"/>
      </w:pPr>
      <w:rPr>
        <w:rFonts w:hint="default"/>
      </w:rPr>
    </w:lvl>
    <w:lvl w:ilvl="4" w:tplc="F538F7AC">
      <w:numFmt w:val="bullet"/>
      <w:lvlText w:val="•"/>
      <w:lvlJc w:val="left"/>
      <w:pPr>
        <w:ind w:left="5808" w:hanging="353"/>
      </w:pPr>
      <w:rPr>
        <w:rFonts w:hint="default"/>
      </w:rPr>
    </w:lvl>
    <w:lvl w:ilvl="5" w:tplc="475C212C">
      <w:numFmt w:val="bullet"/>
      <w:lvlText w:val="•"/>
      <w:lvlJc w:val="left"/>
      <w:pPr>
        <w:ind w:left="6790" w:hanging="353"/>
      </w:pPr>
      <w:rPr>
        <w:rFonts w:hint="default"/>
      </w:rPr>
    </w:lvl>
    <w:lvl w:ilvl="6" w:tplc="D848027E">
      <w:numFmt w:val="bullet"/>
      <w:lvlText w:val="•"/>
      <w:lvlJc w:val="left"/>
      <w:pPr>
        <w:ind w:left="7772" w:hanging="353"/>
      </w:pPr>
      <w:rPr>
        <w:rFonts w:hint="default"/>
      </w:rPr>
    </w:lvl>
    <w:lvl w:ilvl="7" w:tplc="F24020BC">
      <w:numFmt w:val="bullet"/>
      <w:lvlText w:val="•"/>
      <w:lvlJc w:val="left"/>
      <w:pPr>
        <w:ind w:left="8754" w:hanging="353"/>
      </w:pPr>
      <w:rPr>
        <w:rFonts w:hint="default"/>
      </w:rPr>
    </w:lvl>
    <w:lvl w:ilvl="8" w:tplc="264696A2">
      <w:numFmt w:val="bullet"/>
      <w:lvlText w:val="•"/>
      <w:lvlJc w:val="left"/>
      <w:pPr>
        <w:ind w:left="9736" w:hanging="353"/>
      </w:pPr>
      <w:rPr>
        <w:rFonts w:hint="default"/>
      </w:rPr>
    </w:lvl>
  </w:abstractNum>
  <w:abstractNum w:abstractNumId="16" w15:restartNumberingAfterBreak="0">
    <w:nsid w:val="251D0BEB"/>
    <w:multiLevelType w:val="hybridMultilevel"/>
    <w:tmpl w:val="A626704C"/>
    <w:lvl w:ilvl="0" w:tplc="DFECF410">
      <w:start w:val="1"/>
      <w:numFmt w:val="decimal"/>
      <w:lvlText w:val="%1."/>
      <w:lvlJc w:val="left"/>
      <w:pPr>
        <w:ind w:left="883" w:hanging="360"/>
      </w:pPr>
      <w:rPr>
        <w:rFonts w:hint="default"/>
        <w:color w:val="0C0C0C"/>
        <w:w w:val="110"/>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7" w15:restartNumberingAfterBreak="0">
    <w:nsid w:val="26862EDD"/>
    <w:multiLevelType w:val="hybridMultilevel"/>
    <w:tmpl w:val="F522C15E"/>
    <w:lvl w:ilvl="0" w:tplc="4310308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30414D"/>
    <w:multiLevelType w:val="hybridMultilevel"/>
    <w:tmpl w:val="ABCA0224"/>
    <w:lvl w:ilvl="0" w:tplc="141A0001">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4C54B7"/>
    <w:multiLevelType w:val="hybridMultilevel"/>
    <w:tmpl w:val="0AB4EE5E"/>
    <w:lvl w:ilvl="0" w:tplc="14A2029E">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C2029D5"/>
    <w:multiLevelType w:val="hybridMultilevel"/>
    <w:tmpl w:val="C51430BC"/>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4F566E80"/>
    <w:multiLevelType w:val="hybridMultilevel"/>
    <w:tmpl w:val="3B686D52"/>
    <w:lvl w:ilvl="0" w:tplc="14A2029E">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12238ED"/>
    <w:multiLevelType w:val="hybridMultilevel"/>
    <w:tmpl w:val="C54C8EDE"/>
    <w:lvl w:ilvl="0" w:tplc="16A05EAE">
      <w:start w:val="5"/>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15:restartNumberingAfterBreak="0">
    <w:nsid w:val="5548017E"/>
    <w:multiLevelType w:val="hybridMultilevel"/>
    <w:tmpl w:val="70EEE80C"/>
    <w:lvl w:ilvl="0" w:tplc="B4DE4E18">
      <w:start w:val="3"/>
      <w:numFmt w:val="decimal"/>
      <w:lvlText w:val="%1."/>
      <w:lvlJc w:val="left"/>
      <w:pPr>
        <w:ind w:left="883" w:hanging="360"/>
      </w:pPr>
      <w:rPr>
        <w:rFonts w:hint="default"/>
        <w:color w:val="0C0C0C"/>
        <w:w w:val="105"/>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24" w15:restartNumberingAfterBreak="0">
    <w:nsid w:val="57E8160F"/>
    <w:multiLevelType w:val="multilevel"/>
    <w:tmpl w:val="12F8141A"/>
    <w:lvl w:ilvl="0">
      <w:start w:val="1"/>
      <w:numFmt w:val="bullet"/>
      <w:lvlText w:val=""/>
      <w:lvlJc w:val="left"/>
      <w:pPr>
        <w:ind w:left="720" w:hanging="360"/>
      </w:pPr>
      <w:rPr>
        <w:rFonts w:ascii="Wingdings" w:hAnsi="Wingdings"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611259"/>
    <w:multiLevelType w:val="hybridMultilevel"/>
    <w:tmpl w:val="321232D0"/>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15:restartNumberingAfterBreak="0">
    <w:nsid w:val="5BE05F4C"/>
    <w:multiLevelType w:val="hybridMultilevel"/>
    <w:tmpl w:val="2EA6FACC"/>
    <w:lvl w:ilvl="0" w:tplc="1A4C5812">
      <w:start w:val="1"/>
      <w:numFmt w:val="decimal"/>
      <w:lvlText w:val="%1."/>
      <w:lvlJc w:val="left"/>
      <w:pPr>
        <w:ind w:left="883" w:hanging="360"/>
      </w:pPr>
      <w:rPr>
        <w:rFonts w:hint="default"/>
        <w:color w:val="0C0C0C"/>
        <w:w w:val="110"/>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27" w15:restartNumberingAfterBreak="0">
    <w:nsid w:val="5FEC2870"/>
    <w:multiLevelType w:val="hybridMultilevel"/>
    <w:tmpl w:val="17BE5BCC"/>
    <w:lvl w:ilvl="0" w:tplc="04090001">
      <w:start w:val="1"/>
      <w:numFmt w:val="bullet"/>
      <w:lvlText w:val=""/>
      <w:lvlJc w:val="left"/>
      <w:pPr>
        <w:tabs>
          <w:tab w:val="num" w:pos="720"/>
        </w:tabs>
        <w:ind w:left="72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6B305E"/>
    <w:multiLevelType w:val="hybridMultilevel"/>
    <w:tmpl w:val="46407738"/>
    <w:lvl w:ilvl="0" w:tplc="BB5E821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E60AEE"/>
    <w:multiLevelType w:val="hybridMultilevel"/>
    <w:tmpl w:val="12F8141A"/>
    <w:lvl w:ilvl="0" w:tplc="8CF6606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333631"/>
    <w:multiLevelType w:val="hybridMultilevel"/>
    <w:tmpl w:val="22B2814C"/>
    <w:lvl w:ilvl="0" w:tplc="4F8AD438">
      <w:start w:val="3"/>
      <w:numFmt w:val="decimal"/>
      <w:lvlText w:val="%1."/>
      <w:lvlJc w:val="left"/>
      <w:pPr>
        <w:ind w:left="883" w:hanging="360"/>
      </w:pPr>
      <w:rPr>
        <w:rFonts w:hint="default"/>
        <w:color w:val="0C0C0C"/>
        <w:w w:val="105"/>
      </w:rPr>
    </w:lvl>
    <w:lvl w:ilvl="1" w:tplc="04090019" w:tentative="1">
      <w:start w:val="1"/>
      <w:numFmt w:val="lowerLetter"/>
      <w:lvlText w:val="%2."/>
      <w:lvlJc w:val="left"/>
      <w:pPr>
        <w:ind w:left="1603" w:hanging="360"/>
      </w:pPr>
    </w:lvl>
    <w:lvl w:ilvl="2" w:tplc="0409001B">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31" w15:restartNumberingAfterBreak="0">
    <w:nsid w:val="768C39E3"/>
    <w:multiLevelType w:val="hybridMultilevel"/>
    <w:tmpl w:val="3564BAD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1C734D"/>
    <w:multiLevelType w:val="hybridMultilevel"/>
    <w:tmpl w:val="39B066DE"/>
    <w:lvl w:ilvl="0" w:tplc="05029576">
      <w:start w:val="3"/>
      <w:numFmt w:val="decimal"/>
      <w:lvlText w:val="%1."/>
      <w:lvlJc w:val="left"/>
      <w:pPr>
        <w:ind w:left="883" w:hanging="360"/>
      </w:pPr>
      <w:rPr>
        <w:rFonts w:hint="default"/>
        <w:color w:val="0C0C0C"/>
        <w:w w:val="105"/>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1"/>
  </w:num>
  <w:num w:numId="14">
    <w:abstractNumId w:val="12"/>
  </w:num>
  <w:num w:numId="15">
    <w:abstractNumId w:val="29"/>
  </w:num>
  <w:num w:numId="16">
    <w:abstractNumId w:val="24"/>
  </w:num>
  <w:num w:numId="17">
    <w:abstractNumId w:val="27"/>
  </w:num>
  <w:num w:numId="18">
    <w:abstractNumId w:val="11"/>
  </w:num>
  <w:num w:numId="19">
    <w:abstractNumId w:val="16"/>
  </w:num>
  <w:num w:numId="20">
    <w:abstractNumId w:val="23"/>
  </w:num>
  <w:num w:numId="21">
    <w:abstractNumId w:val="32"/>
  </w:num>
  <w:num w:numId="22">
    <w:abstractNumId w:val="26"/>
  </w:num>
  <w:num w:numId="23">
    <w:abstractNumId w:val="30"/>
  </w:num>
  <w:num w:numId="24">
    <w:abstractNumId w:val="31"/>
  </w:num>
  <w:num w:numId="25">
    <w:abstractNumId w:val="10"/>
  </w:num>
  <w:num w:numId="26">
    <w:abstractNumId w:val="28"/>
  </w:num>
  <w:num w:numId="27">
    <w:abstractNumId w:val="17"/>
  </w:num>
  <w:num w:numId="28">
    <w:abstractNumId w:val="13"/>
  </w:num>
  <w:num w:numId="29">
    <w:abstractNumId w:val="15"/>
  </w:num>
  <w:num w:numId="30">
    <w:abstractNumId w:val="14"/>
  </w:num>
  <w:num w:numId="31">
    <w:abstractNumId w:val="22"/>
  </w:num>
  <w:num w:numId="32">
    <w:abstractNumId w:val="2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E9"/>
    <w:rsid w:val="00007916"/>
    <w:rsid w:val="0001133F"/>
    <w:rsid w:val="00016C90"/>
    <w:rsid w:val="00022A44"/>
    <w:rsid w:val="00023420"/>
    <w:rsid w:val="0002470C"/>
    <w:rsid w:val="00027200"/>
    <w:rsid w:val="00050F92"/>
    <w:rsid w:val="000521BC"/>
    <w:rsid w:val="00052D51"/>
    <w:rsid w:val="00072B41"/>
    <w:rsid w:val="00076720"/>
    <w:rsid w:val="000839AB"/>
    <w:rsid w:val="00092C6D"/>
    <w:rsid w:val="000A3DA5"/>
    <w:rsid w:val="000B07E6"/>
    <w:rsid w:val="000B102C"/>
    <w:rsid w:val="000B5292"/>
    <w:rsid w:val="000B5F74"/>
    <w:rsid w:val="000B77F3"/>
    <w:rsid w:val="000C0177"/>
    <w:rsid w:val="000C3DDA"/>
    <w:rsid w:val="000C588F"/>
    <w:rsid w:val="000C6994"/>
    <w:rsid w:val="000C6D1B"/>
    <w:rsid w:val="000D0115"/>
    <w:rsid w:val="000D1E57"/>
    <w:rsid w:val="000D202F"/>
    <w:rsid w:val="000D72BE"/>
    <w:rsid w:val="000E119D"/>
    <w:rsid w:val="000E4D5E"/>
    <w:rsid w:val="000E54E5"/>
    <w:rsid w:val="000F026E"/>
    <w:rsid w:val="00100F7F"/>
    <w:rsid w:val="00137D6F"/>
    <w:rsid w:val="0014332F"/>
    <w:rsid w:val="001439C4"/>
    <w:rsid w:val="00143C5C"/>
    <w:rsid w:val="00145AD1"/>
    <w:rsid w:val="00147D10"/>
    <w:rsid w:val="00151C56"/>
    <w:rsid w:val="00153803"/>
    <w:rsid w:val="001544D1"/>
    <w:rsid w:val="00156EF4"/>
    <w:rsid w:val="00171399"/>
    <w:rsid w:val="00175409"/>
    <w:rsid w:val="00176BA2"/>
    <w:rsid w:val="00182B27"/>
    <w:rsid w:val="001909B8"/>
    <w:rsid w:val="00196932"/>
    <w:rsid w:val="0019720D"/>
    <w:rsid w:val="001A0066"/>
    <w:rsid w:val="001A2052"/>
    <w:rsid w:val="001A500B"/>
    <w:rsid w:val="001B3EAC"/>
    <w:rsid w:val="001B7CAA"/>
    <w:rsid w:val="001C1E2A"/>
    <w:rsid w:val="001D136A"/>
    <w:rsid w:val="001D6D5B"/>
    <w:rsid w:val="001E290A"/>
    <w:rsid w:val="001E6150"/>
    <w:rsid w:val="001E6D4F"/>
    <w:rsid w:val="001F1042"/>
    <w:rsid w:val="001F37A6"/>
    <w:rsid w:val="002136E9"/>
    <w:rsid w:val="00213D6B"/>
    <w:rsid w:val="00223CDF"/>
    <w:rsid w:val="00226F76"/>
    <w:rsid w:val="002271D0"/>
    <w:rsid w:val="00241454"/>
    <w:rsid w:val="002414BB"/>
    <w:rsid w:val="0024538C"/>
    <w:rsid w:val="002509BE"/>
    <w:rsid w:val="0025329F"/>
    <w:rsid w:val="00260A56"/>
    <w:rsid w:val="00260A81"/>
    <w:rsid w:val="00264A21"/>
    <w:rsid w:val="00272358"/>
    <w:rsid w:val="002759BE"/>
    <w:rsid w:val="00275A36"/>
    <w:rsid w:val="0027667B"/>
    <w:rsid w:val="00295BDD"/>
    <w:rsid w:val="00297770"/>
    <w:rsid w:val="002A0D84"/>
    <w:rsid w:val="002A3282"/>
    <w:rsid w:val="002B32E5"/>
    <w:rsid w:val="002C6F2B"/>
    <w:rsid w:val="002C774B"/>
    <w:rsid w:val="002C7DC2"/>
    <w:rsid w:val="002C7F73"/>
    <w:rsid w:val="002E22E2"/>
    <w:rsid w:val="002E2BE8"/>
    <w:rsid w:val="002E5104"/>
    <w:rsid w:val="0031049E"/>
    <w:rsid w:val="00311B3F"/>
    <w:rsid w:val="003146B6"/>
    <w:rsid w:val="003174FA"/>
    <w:rsid w:val="003239B2"/>
    <w:rsid w:val="00325D04"/>
    <w:rsid w:val="00335123"/>
    <w:rsid w:val="00336F2E"/>
    <w:rsid w:val="00344C1D"/>
    <w:rsid w:val="00353472"/>
    <w:rsid w:val="003544EA"/>
    <w:rsid w:val="00354B35"/>
    <w:rsid w:val="00354F78"/>
    <w:rsid w:val="00363271"/>
    <w:rsid w:val="00366C30"/>
    <w:rsid w:val="003760B9"/>
    <w:rsid w:val="00376ADD"/>
    <w:rsid w:val="0038281F"/>
    <w:rsid w:val="0039292B"/>
    <w:rsid w:val="00395C8C"/>
    <w:rsid w:val="003973E9"/>
    <w:rsid w:val="003A3846"/>
    <w:rsid w:val="003A588E"/>
    <w:rsid w:val="003A6225"/>
    <w:rsid w:val="003B649A"/>
    <w:rsid w:val="003C3383"/>
    <w:rsid w:val="003C6E00"/>
    <w:rsid w:val="003C6E9F"/>
    <w:rsid w:val="003C74F2"/>
    <w:rsid w:val="003C75D3"/>
    <w:rsid w:val="003D11BD"/>
    <w:rsid w:val="003D27F4"/>
    <w:rsid w:val="003D6792"/>
    <w:rsid w:val="003E2D70"/>
    <w:rsid w:val="003E5F51"/>
    <w:rsid w:val="003F1B24"/>
    <w:rsid w:val="00401C14"/>
    <w:rsid w:val="00415FBA"/>
    <w:rsid w:val="00420B8D"/>
    <w:rsid w:val="00433D49"/>
    <w:rsid w:val="004406DC"/>
    <w:rsid w:val="00440954"/>
    <w:rsid w:val="00443772"/>
    <w:rsid w:val="0044580B"/>
    <w:rsid w:val="0044600B"/>
    <w:rsid w:val="0045195D"/>
    <w:rsid w:val="00451FCC"/>
    <w:rsid w:val="00457C1B"/>
    <w:rsid w:val="00463223"/>
    <w:rsid w:val="004716AA"/>
    <w:rsid w:val="0047377E"/>
    <w:rsid w:val="00476E33"/>
    <w:rsid w:val="0048065B"/>
    <w:rsid w:val="004839D1"/>
    <w:rsid w:val="004917B8"/>
    <w:rsid w:val="00494EE4"/>
    <w:rsid w:val="00495271"/>
    <w:rsid w:val="00495B71"/>
    <w:rsid w:val="004A3AF7"/>
    <w:rsid w:val="004B1455"/>
    <w:rsid w:val="004B1A1B"/>
    <w:rsid w:val="004B1DDA"/>
    <w:rsid w:val="004B5E80"/>
    <w:rsid w:val="004B68ED"/>
    <w:rsid w:val="004C106B"/>
    <w:rsid w:val="004C7475"/>
    <w:rsid w:val="004F1FA8"/>
    <w:rsid w:val="004F3B4B"/>
    <w:rsid w:val="004F4319"/>
    <w:rsid w:val="004F5CC2"/>
    <w:rsid w:val="00506B16"/>
    <w:rsid w:val="005072FB"/>
    <w:rsid w:val="00515E18"/>
    <w:rsid w:val="0051639D"/>
    <w:rsid w:val="005201D5"/>
    <w:rsid w:val="00532DA1"/>
    <w:rsid w:val="005351A7"/>
    <w:rsid w:val="00536EE2"/>
    <w:rsid w:val="005406B0"/>
    <w:rsid w:val="00542242"/>
    <w:rsid w:val="0054270E"/>
    <w:rsid w:val="00552C43"/>
    <w:rsid w:val="0055509B"/>
    <w:rsid w:val="00556D82"/>
    <w:rsid w:val="00560629"/>
    <w:rsid w:val="0056662D"/>
    <w:rsid w:val="00574DD3"/>
    <w:rsid w:val="00581FC4"/>
    <w:rsid w:val="00596A8F"/>
    <w:rsid w:val="005A6977"/>
    <w:rsid w:val="005B2E8D"/>
    <w:rsid w:val="005B4D96"/>
    <w:rsid w:val="005D1CAB"/>
    <w:rsid w:val="005D7D94"/>
    <w:rsid w:val="005E56E1"/>
    <w:rsid w:val="005E6247"/>
    <w:rsid w:val="005F410C"/>
    <w:rsid w:val="005F680F"/>
    <w:rsid w:val="00610853"/>
    <w:rsid w:val="00611D5C"/>
    <w:rsid w:val="00613BEE"/>
    <w:rsid w:val="00615F26"/>
    <w:rsid w:val="006305FC"/>
    <w:rsid w:val="00631A3D"/>
    <w:rsid w:val="00651853"/>
    <w:rsid w:val="00656E6F"/>
    <w:rsid w:val="00660712"/>
    <w:rsid w:val="00667778"/>
    <w:rsid w:val="006706DB"/>
    <w:rsid w:val="00671B37"/>
    <w:rsid w:val="00671EBC"/>
    <w:rsid w:val="00684D82"/>
    <w:rsid w:val="0068618B"/>
    <w:rsid w:val="00687C22"/>
    <w:rsid w:val="00695746"/>
    <w:rsid w:val="006A3FE6"/>
    <w:rsid w:val="006A6DDF"/>
    <w:rsid w:val="006A7428"/>
    <w:rsid w:val="006B14BC"/>
    <w:rsid w:val="006D0778"/>
    <w:rsid w:val="006D6A2B"/>
    <w:rsid w:val="006E2B2E"/>
    <w:rsid w:val="006E412E"/>
    <w:rsid w:val="006E431E"/>
    <w:rsid w:val="006E5520"/>
    <w:rsid w:val="006E554E"/>
    <w:rsid w:val="006E78BC"/>
    <w:rsid w:val="006F16CB"/>
    <w:rsid w:val="006F7996"/>
    <w:rsid w:val="00702956"/>
    <w:rsid w:val="00713346"/>
    <w:rsid w:val="00716ED4"/>
    <w:rsid w:val="00725EA6"/>
    <w:rsid w:val="00725EFF"/>
    <w:rsid w:val="0072645B"/>
    <w:rsid w:val="007410A2"/>
    <w:rsid w:val="007435A8"/>
    <w:rsid w:val="00744E86"/>
    <w:rsid w:val="007631A1"/>
    <w:rsid w:val="007712B9"/>
    <w:rsid w:val="00795024"/>
    <w:rsid w:val="007A0776"/>
    <w:rsid w:val="007A1601"/>
    <w:rsid w:val="007A20A2"/>
    <w:rsid w:val="007A5A8B"/>
    <w:rsid w:val="007A6A66"/>
    <w:rsid w:val="007A7012"/>
    <w:rsid w:val="007B0CCA"/>
    <w:rsid w:val="007B2A2F"/>
    <w:rsid w:val="007B3520"/>
    <w:rsid w:val="007B64CF"/>
    <w:rsid w:val="007B7497"/>
    <w:rsid w:val="007C4E4E"/>
    <w:rsid w:val="007C5D8B"/>
    <w:rsid w:val="007C6EB3"/>
    <w:rsid w:val="007D023A"/>
    <w:rsid w:val="007D0D39"/>
    <w:rsid w:val="007D23CB"/>
    <w:rsid w:val="007F1862"/>
    <w:rsid w:val="00800E4C"/>
    <w:rsid w:val="00810675"/>
    <w:rsid w:val="00811C0F"/>
    <w:rsid w:val="008126AE"/>
    <w:rsid w:val="00817C96"/>
    <w:rsid w:val="00827F84"/>
    <w:rsid w:val="0083388F"/>
    <w:rsid w:val="008353A8"/>
    <w:rsid w:val="00836C33"/>
    <w:rsid w:val="008439FA"/>
    <w:rsid w:val="00847061"/>
    <w:rsid w:val="008477CE"/>
    <w:rsid w:val="0085052F"/>
    <w:rsid w:val="008527BC"/>
    <w:rsid w:val="00854C9D"/>
    <w:rsid w:val="0085731C"/>
    <w:rsid w:val="0085744B"/>
    <w:rsid w:val="00863C23"/>
    <w:rsid w:val="00870897"/>
    <w:rsid w:val="00872044"/>
    <w:rsid w:val="0087649B"/>
    <w:rsid w:val="00883C7A"/>
    <w:rsid w:val="0088461A"/>
    <w:rsid w:val="00887802"/>
    <w:rsid w:val="008948F2"/>
    <w:rsid w:val="00895450"/>
    <w:rsid w:val="00897586"/>
    <w:rsid w:val="008A1D6B"/>
    <w:rsid w:val="008B272E"/>
    <w:rsid w:val="008B555B"/>
    <w:rsid w:val="008B6A2C"/>
    <w:rsid w:val="008B6BBD"/>
    <w:rsid w:val="008C19AD"/>
    <w:rsid w:val="008D4E2B"/>
    <w:rsid w:val="008E191F"/>
    <w:rsid w:val="008E5E24"/>
    <w:rsid w:val="00904D23"/>
    <w:rsid w:val="009063EB"/>
    <w:rsid w:val="009112F6"/>
    <w:rsid w:val="0091315D"/>
    <w:rsid w:val="00920167"/>
    <w:rsid w:val="00923219"/>
    <w:rsid w:val="00927893"/>
    <w:rsid w:val="0093170D"/>
    <w:rsid w:val="009337D2"/>
    <w:rsid w:val="0094093E"/>
    <w:rsid w:val="0094737B"/>
    <w:rsid w:val="0095255B"/>
    <w:rsid w:val="0096375F"/>
    <w:rsid w:val="00966F59"/>
    <w:rsid w:val="0097165B"/>
    <w:rsid w:val="00984D69"/>
    <w:rsid w:val="009A0096"/>
    <w:rsid w:val="009A23C3"/>
    <w:rsid w:val="009A430E"/>
    <w:rsid w:val="009A597D"/>
    <w:rsid w:val="009A6364"/>
    <w:rsid w:val="009C7519"/>
    <w:rsid w:val="009D65E2"/>
    <w:rsid w:val="009E7F30"/>
    <w:rsid w:val="009F6B19"/>
    <w:rsid w:val="00A03E62"/>
    <w:rsid w:val="00A04E0C"/>
    <w:rsid w:val="00A05EC5"/>
    <w:rsid w:val="00A109E7"/>
    <w:rsid w:val="00A16BDD"/>
    <w:rsid w:val="00A218F8"/>
    <w:rsid w:val="00A22264"/>
    <w:rsid w:val="00A23559"/>
    <w:rsid w:val="00A24415"/>
    <w:rsid w:val="00A3215B"/>
    <w:rsid w:val="00A32889"/>
    <w:rsid w:val="00A34818"/>
    <w:rsid w:val="00A43774"/>
    <w:rsid w:val="00A4782E"/>
    <w:rsid w:val="00A52E8A"/>
    <w:rsid w:val="00A54EEA"/>
    <w:rsid w:val="00A57674"/>
    <w:rsid w:val="00A703E0"/>
    <w:rsid w:val="00A967F5"/>
    <w:rsid w:val="00AA2F07"/>
    <w:rsid w:val="00AA4DB8"/>
    <w:rsid w:val="00AB3CA1"/>
    <w:rsid w:val="00AB682F"/>
    <w:rsid w:val="00AC008D"/>
    <w:rsid w:val="00AC1C07"/>
    <w:rsid w:val="00AD4C6A"/>
    <w:rsid w:val="00AE3FBE"/>
    <w:rsid w:val="00AE5582"/>
    <w:rsid w:val="00AE793D"/>
    <w:rsid w:val="00AF21F7"/>
    <w:rsid w:val="00AF7399"/>
    <w:rsid w:val="00AF747C"/>
    <w:rsid w:val="00B026D9"/>
    <w:rsid w:val="00B060F2"/>
    <w:rsid w:val="00B10534"/>
    <w:rsid w:val="00B1254A"/>
    <w:rsid w:val="00B23F24"/>
    <w:rsid w:val="00B26939"/>
    <w:rsid w:val="00B30B0D"/>
    <w:rsid w:val="00B367EA"/>
    <w:rsid w:val="00B37079"/>
    <w:rsid w:val="00B46BB4"/>
    <w:rsid w:val="00B7558B"/>
    <w:rsid w:val="00B926CE"/>
    <w:rsid w:val="00B9274C"/>
    <w:rsid w:val="00B93856"/>
    <w:rsid w:val="00BA4E88"/>
    <w:rsid w:val="00BB4EAA"/>
    <w:rsid w:val="00BB70E0"/>
    <w:rsid w:val="00BB77BF"/>
    <w:rsid w:val="00BC4237"/>
    <w:rsid w:val="00BC58CA"/>
    <w:rsid w:val="00BD4309"/>
    <w:rsid w:val="00BE2931"/>
    <w:rsid w:val="00BE4C6A"/>
    <w:rsid w:val="00BF5FB0"/>
    <w:rsid w:val="00C04333"/>
    <w:rsid w:val="00C06530"/>
    <w:rsid w:val="00C16163"/>
    <w:rsid w:val="00C20DFD"/>
    <w:rsid w:val="00C24FC8"/>
    <w:rsid w:val="00C27274"/>
    <w:rsid w:val="00C436FE"/>
    <w:rsid w:val="00C45E36"/>
    <w:rsid w:val="00C50213"/>
    <w:rsid w:val="00C51B0F"/>
    <w:rsid w:val="00C51BA6"/>
    <w:rsid w:val="00C52A49"/>
    <w:rsid w:val="00C53D69"/>
    <w:rsid w:val="00C558DB"/>
    <w:rsid w:val="00C57FBF"/>
    <w:rsid w:val="00C7350F"/>
    <w:rsid w:val="00C7568D"/>
    <w:rsid w:val="00C87383"/>
    <w:rsid w:val="00CA3375"/>
    <w:rsid w:val="00CB15D8"/>
    <w:rsid w:val="00CB1FDF"/>
    <w:rsid w:val="00CC3765"/>
    <w:rsid w:val="00CC7E69"/>
    <w:rsid w:val="00CD13B8"/>
    <w:rsid w:val="00CD2566"/>
    <w:rsid w:val="00CD2B4F"/>
    <w:rsid w:val="00CD32D8"/>
    <w:rsid w:val="00CD490B"/>
    <w:rsid w:val="00CE2E08"/>
    <w:rsid w:val="00CE3B49"/>
    <w:rsid w:val="00CE775E"/>
    <w:rsid w:val="00D06413"/>
    <w:rsid w:val="00D11355"/>
    <w:rsid w:val="00D23094"/>
    <w:rsid w:val="00D2625B"/>
    <w:rsid w:val="00D32F59"/>
    <w:rsid w:val="00D33EE4"/>
    <w:rsid w:val="00D4066D"/>
    <w:rsid w:val="00D43CE3"/>
    <w:rsid w:val="00D554FC"/>
    <w:rsid w:val="00D636D9"/>
    <w:rsid w:val="00D63E90"/>
    <w:rsid w:val="00D67ACC"/>
    <w:rsid w:val="00D745D0"/>
    <w:rsid w:val="00D80E81"/>
    <w:rsid w:val="00D9002F"/>
    <w:rsid w:val="00D96063"/>
    <w:rsid w:val="00DA1284"/>
    <w:rsid w:val="00DA2E57"/>
    <w:rsid w:val="00DA7144"/>
    <w:rsid w:val="00DB5075"/>
    <w:rsid w:val="00DB5441"/>
    <w:rsid w:val="00DB56AA"/>
    <w:rsid w:val="00DB6E50"/>
    <w:rsid w:val="00DD250D"/>
    <w:rsid w:val="00DE477A"/>
    <w:rsid w:val="00DF18C2"/>
    <w:rsid w:val="00DF50AD"/>
    <w:rsid w:val="00E058B5"/>
    <w:rsid w:val="00E05C2B"/>
    <w:rsid w:val="00E21298"/>
    <w:rsid w:val="00E232E0"/>
    <w:rsid w:val="00E24D80"/>
    <w:rsid w:val="00E261E0"/>
    <w:rsid w:val="00E35F98"/>
    <w:rsid w:val="00E40CB2"/>
    <w:rsid w:val="00E50968"/>
    <w:rsid w:val="00E542B6"/>
    <w:rsid w:val="00E60269"/>
    <w:rsid w:val="00E64D25"/>
    <w:rsid w:val="00E7671A"/>
    <w:rsid w:val="00E80F72"/>
    <w:rsid w:val="00E90F67"/>
    <w:rsid w:val="00E921AA"/>
    <w:rsid w:val="00E979BA"/>
    <w:rsid w:val="00EC0EBF"/>
    <w:rsid w:val="00EC70C9"/>
    <w:rsid w:val="00EC7DBB"/>
    <w:rsid w:val="00ED1520"/>
    <w:rsid w:val="00ED6114"/>
    <w:rsid w:val="00ED75B1"/>
    <w:rsid w:val="00EE2D87"/>
    <w:rsid w:val="00EE4B81"/>
    <w:rsid w:val="00EE5974"/>
    <w:rsid w:val="00EE6890"/>
    <w:rsid w:val="00EF14FA"/>
    <w:rsid w:val="00EF21FC"/>
    <w:rsid w:val="00EF2214"/>
    <w:rsid w:val="00EF54B2"/>
    <w:rsid w:val="00EF5BB4"/>
    <w:rsid w:val="00F05FB4"/>
    <w:rsid w:val="00F34EBD"/>
    <w:rsid w:val="00F44B80"/>
    <w:rsid w:val="00F4645B"/>
    <w:rsid w:val="00F5371C"/>
    <w:rsid w:val="00F54C0E"/>
    <w:rsid w:val="00F65811"/>
    <w:rsid w:val="00F75BD3"/>
    <w:rsid w:val="00F75D0F"/>
    <w:rsid w:val="00F806AB"/>
    <w:rsid w:val="00F9042E"/>
    <w:rsid w:val="00F92B0D"/>
    <w:rsid w:val="00F9783B"/>
    <w:rsid w:val="00F978EA"/>
    <w:rsid w:val="00FA588A"/>
    <w:rsid w:val="00FA5B20"/>
    <w:rsid w:val="00FA5E69"/>
    <w:rsid w:val="00FA7464"/>
    <w:rsid w:val="00FB2772"/>
    <w:rsid w:val="00FC1E94"/>
    <w:rsid w:val="00FC20FD"/>
    <w:rsid w:val="00FD52C0"/>
    <w:rsid w:val="00FE4A4D"/>
    <w:rsid w:val="00FE7375"/>
    <w:rsid w:val="00FF43A1"/>
    <w:rsid w:val="00FF4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9BDAEF"/>
  <w15:docId w15:val="{70E6135C-5461-4CDB-B479-07451B2B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3E9"/>
    <w:pPr>
      <w:spacing w:after="200" w:line="276" w:lineRule="auto"/>
    </w:pPr>
    <w:rPr>
      <w:lang w:val="hr-HR"/>
    </w:rPr>
  </w:style>
  <w:style w:type="paragraph" w:styleId="Heading2">
    <w:name w:val="heading 2"/>
    <w:basedOn w:val="Normal"/>
    <w:next w:val="Normal"/>
    <w:link w:val="Heading2Char"/>
    <w:uiPriority w:val="99"/>
    <w:qFormat/>
    <w:rsid w:val="003973E9"/>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semiHidden/>
    <w:unhideWhenUsed/>
    <w:qFormat/>
    <w:locked/>
    <w:rsid w:val="006A6DD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semiHidden/>
    <w:unhideWhenUsed/>
    <w:qFormat/>
    <w:locked/>
    <w:rsid w:val="007712B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7712B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973E9"/>
    <w:rPr>
      <w:rFonts w:ascii="Cambria" w:hAnsi="Cambria" w:cs="Times New Roman"/>
      <w:b/>
      <w:bCs/>
      <w:color w:val="4F81BD"/>
      <w:sz w:val="26"/>
      <w:szCs w:val="26"/>
    </w:rPr>
  </w:style>
  <w:style w:type="table" w:styleId="TableGrid">
    <w:name w:val="Table Grid"/>
    <w:basedOn w:val="TableNormal"/>
    <w:uiPriority w:val="99"/>
    <w:rsid w:val="003973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0177"/>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rsid w:val="00354F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1454"/>
    <w:rPr>
      <w:rFonts w:ascii="Times New Roman" w:hAnsi="Times New Roman" w:cs="Times New Roman"/>
      <w:sz w:val="2"/>
      <w:lang w:val="hr-HR"/>
    </w:rPr>
  </w:style>
  <w:style w:type="character" w:customStyle="1" w:styleId="BodyTextChar">
    <w:name w:val="Body Text Char"/>
    <w:uiPriority w:val="99"/>
    <w:locked/>
    <w:rsid w:val="00CB1FDF"/>
    <w:rPr>
      <w:rFonts w:ascii="Arial" w:hAnsi="Arial"/>
      <w:color w:val="000000"/>
      <w:sz w:val="24"/>
      <w:lang w:val="hr-HR" w:eastAsia="en-US"/>
    </w:rPr>
  </w:style>
  <w:style w:type="paragraph" w:styleId="BodyText">
    <w:name w:val="Body Text"/>
    <w:basedOn w:val="Normal"/>
    <w:link w:val="BodyTextChar1"/>
    <w:uiPriority w:val="99"/>
    <w:rsid w:val="00CB1FDF"/>
    <w:pPr>
      <w:spacing w:after="0" w:line="240" w:lineRule="auto"/>
      <w:jc w:val="both"/>
    </w:pPr>
    <w:rPr>
      <w:rFonts w:ascii="Arial" w:hAnsi="Arial" w:cs="Arial"/>
      <w:color w:val="000000"/>
      <w:sz w:val="24"/>
      <w:szCs w:val="20"/>
    </w:rPr>
  </w:style>
  <w:style w:type="character" w:customStyle="1" w:styleId="BodyTextChar1">
    <w:name w:val="Body Text Char1"/>
    <w:basedOn w:val="DefaultParagraphFont"/>
    <w:link w:val="BodyText"/>
    <w:uiPriority w:val="99"/>
    <w:semiHidden/>
    <w:locked/>
    <w:rsid w:val="00FF43A1"/>
    <w:rPr>
      <w:rFonts w:cs="Times New Roman"/>
      <w:lang w:val="hr-HR"/>
    </w:rPr>
  </w:style>
  <w:style w:type="paragraph" w:customStyle="1" w:styleId="CharChar">
    <w:name w:val="Char Char"/>
    <w:basedOn w:val="Normal"/>
    <w:uiPriority w:val="99"/>
    <w:rsid w:val="004F1FA8"/>
    <w:pPr>
      <w:spacing w:after="160" w:line="240" w:lineRule="exact"/>
    </w:pPr>
    <w:rPr>
      <w:rFonts w:ascii="Tahoma" w:hAnsi="Tahoma"/>
      <w:sz w:val="20"/>
      <w:szCs w:val="20"/>
      <w:lang w:val="en-US"/>
    </w:rPr>
  </w:style>
  <w:style w:type="paragraph" w:styleId="ListParagraph">
    <w:name w:val="List Paragraph"/>
    <w:basedOn w:val="Normal"/>
    <w:uiPriority w:val="1"/>
    <w:qFormat/>
    <w:rsid w:val="002C7DC2"/>
    <w:pPr>
      <w:widowControl w:val="0"/>
      <w:autoSpaceDE w:val="0"/>
      <w:autoSpaceDN w:val="0"/>
      <w:spacing w:after="0" w:line="240" w:lineRule="auto"/>
      <w:ind w:left="880" w:hanging="357"/>
      <w:jc w:val="both"/>
    </w:pPr>
    <w:rPr>
      <w:rFonts w:ascii="Arial" w:eastAsia="Arial" w:hAnsi="Arial" w:cs="Arial"/>
      <w:lang w:val="en-US"/>
    </w:rPr>
  </w:style>
  <w:style w:type="character" w:customStyle="1" w:styleId="Heading8Char">
    <w:name w:val="Heading 8 Char"/>
    <w:basedOn w:val="DefaultParagraphFont"/>
    <w:link w:val="Heading8"/>
    <w:semiHidden/>
    <w:rsid w:val="007712B9"/>
    <w:rPr>
      <w:rFonts w:asciiTheme="majorHAnsi" w:eastAsiaTheme="majorEastAsia" w:hAnsiTheme="majorHAnsi" w:cstheme="majorBidi"/>
      <w:color w:val="272727" w:themeColor="text1" w:themeTint="D8"/>
      <w:sz w:val="21"/>
      <w:szCs w:val="21"/>
      <w:lang w:val="hr-HR"/>
    </w:rPr>
  </w:style>
  <w:style w:type="character" w:customStyle="1" w:styleId="Heading7Char">
    <w:name w:val="Heading 7 Char"/>
    <w:basedOn w:val="DefaultParagraphFont"/>
    <w:link w:val="Heading7"/>
    <w:semiHidden/>
    <w:rsid w:val="007712B9"/>
    <w:rPr>
      <w:rFonts w:asciiTheme="majorHAnsi" w:eastAsiaTheme="majorEastAsia" w:hAnsiTheme="majorHAnsi" w:cstheme="majorBidi"/>
      <w:i/>
      <w:iCs/>
      <w:color w:val="243F60" w:themeColor="accent1" w:themeShade="7F"/>
      <w:lang w:val="hr-HR"/>
    </w:rPr>
  </w:style>
  <w:style w:type="character" w:customStyle="1" w:styleId="Heading4Char">
    <w:name w:val="Heading 4 Char"/>
    <w:basedOn w:val="DefaultParagraphFont"/>
    <w:link w:val="Heading4"/>
    <w:semiHidden/>
    <w:rsid w:val="006A6DDF"/>
    <w:rPr>
      <w:rFonts w:asciiTheme="majorHAnsi" w:eastAsiaTheme="majorEastAsia" w:hAnsiTheme="majorHAnsi" w:cstheme="majorBidi"/>
      <w:i/>
      <w:iCs/>
      <w:color w:val="365F91" w:themeColor="accent1" w:themeShade="BF"/>
      <w:lang w:val="hr-HR"/>
    </w:rPr>
  </w:style>
  <w:style w:type="paragraph" w:styleId="NoSpacing">
    <w:name w:val="No Spacing"/>
    <w:link w:val="NoSpacingChar"/>
    <w:uiPriority w:val="1"/>
    <w:qFormat/>
    <w:rsid w:val="00FF451B"/>
    <w:rPr>
      <w:rFonts w:asciiTheme="minorHAnsi" w:eastAsiaTheme="minorHAnsi" w:hAnsiTheme="minorHAnsi" w:cstheme="minorBidi"/>
    </w:rPr>
  </w:style>
  <w:style w:type="character" w:customStyle="1" w:styleId="NoSpacingChar">
    <w:name w:val="No Spacing Char"/>
    <w:link w:val="NoSpacing"/>
    <w:uiPriority w:val="1"/>
    <w:locked/>
    <w:rsid w:val="00FF451B"/>
    <w:rPr>
      <w:rFonts w:asciiTheme="minorHAnsi" w:eastAsiaTheme="minorHAnsi" w:hAnsiTheme="minorHAnsi" w:cstheme="minorBidi"/>
    </w:rPr>
  </w:style>
  <w:style w:type="paragraph" w:styleId="Caption">
    <w:name w:val="caption"/>
    <w:basedOn w:val="Normal"/>
    <w:next w:val="Normal"/>
    <w:unhideWhenUsed/>
    <w:qFormat/>
    <w:locked/>
    <w:rsid w:val="003C75D3"/>
    <w:pPr>
      <w:spacing w:line="240" w:lineRule="auto"/>
    </w:pPr>
    <w:rPr>
      <w:i/>
      <w:iCs/>
      <w:color w:val="1F497D" w:themeColor="text2"/>
      <w:sz w:val="18"/>
      <w:szCs w:val="18"/>
    </w:rPr>
  </w:style>
  <w:style w:type="paragraph" w:customStyle="1" w:styleId="xmsonormal">
    <w:name w:val="x_msonormal"/>
    <w:basedOn w:val="Normal"/>
    <w:rsid w:val="009C7519"/>
    <w:pPr>
      <w:spacing w:after="0" w:line="240" w:lineRule="auto"/>
    </w:pPr>
    <w:rPr>
      <w:rFonts w:eastAsiaTheme="minorHAnsi" w:cs="Calibri"/>
      <w:lang w:val="bs-Latn-BA" w:eastAsia="bs-Latn-BA"/>
    </w:rPr>
  </w:style>
  <w:style w:type="paragraph" w:styleId="BodyText2">
    <w:name w:val="Body Text 2"/>
    <w:basedOn w:val="Normal"/>
    <w:link w:val="BodyText2Char"/>
    <w:rsid w:val="003D27F4"/>
    <w:pPr>
      <w:spacing w:after="0" w:line="240" w:lineRule="auto"/>
      <w:jc w:val="both"/>
    </w:pPr>
    <w:rPr>
      <w:rFonts w:ascii="Times New Roman" w:eastAsia="Times New Roman" w:hAnsi="Times New Roman"/>
      <w:sz w:val="28"/>
      <w:szCs w:val="20"/>
      <w:lang w:val="en-US"/>
    </w:rPr>
  </w:style>
  <w:style w:type="character" w:customStyle="1" w:styleId="BodyText2Char">
    <w:name w:val="Body Text 2 Char"/>
    <w:basedOn w:val="DefaultParagraphFont"/>
    <w:link w:val="BodyText2"/>
    <w:rsid w:val="003D27F4"/>
    <w:rPr>
      <w:rFonts w:ascii="Times New Roman" w:eastAsia="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72377">
      <w:bodyDiv w:val="1"/>
      <w:marLeft w:val="0"/>
      <w:marRight w:val="0"/>
      <w:marTop w:val="0"/>
      <w:marBottom w:val="0"/>
      <w:divBdr>
        <w:top w:val="none" w:sz="0" w:space="0" w:color="auto"/>
        <w:left w:val="none" w:sz="0" w:space="0" w:color="auto"/>
        <w:bottom w:val="none" w:sz="0" w:space="0" w:color="auto"/>
        <w:right w:val="none" w:sz="0" w:space="0" w:color="auto"/>
      </w:divBdr>
    </w:div>
    <w:div w:id="90788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B296D-2F83-4A9E-B062-7E87BF5D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5929</Words>
  <Characters>33796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Bosna i Hercegovina</vt:lpstr>
    </vt:vector>
  </TitlesOfParts>
  <Company/>
  <LinksUpToDate>false</LinksUpToDate>
  <CharactersWithSpaces>39646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subject/>
  <dc:creator>Goran Jovanovic</dc:creator>
  <cp:keywords/>
  <dc:description/>
  <cp:lastModifiedBy>asim pandzic</cp:lastModifiedBy>
  <cp:revision>4</cp:revision>
  <cp:lastPrinted>2022-04-22T08:22:00Z</cp:lastPrinted>
  <dcterms:created xsi:type="dcterms:W3CDTF">2022-04-22T08:04:00Z</dcterms:created>
  <dcterms:modified xsi:type="dcterms:W3CDTF">2022-04-22T08:23:00Z</dcterms:modified>
</cp:coreProperties>
</file>