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drawings/drawing2.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E36C0A" w:themeColor="accent6" w:themeShade="BF"/>
        </w:rPr>
        <w:id w:val="1295100865"/>
        <w:docPartObj>
          <w:docPartGallery w:val="Cover Pages"/>
          <w:docPartUnique/>
        </w:docPartObj>
      </w:sdtPr>
      <w:sdtEndPr>
        <w:rPr>
          <w:rFonts w:ascii="Arial" w:hAnsi="Arial" w:cs="Arial"/>
          <w:sz w:val="24"/>
          <w:szCs w:val="24"/>
        </w:rPr>
      </w:sdtEndPr>
      <w:sdtContent>
        <w:p w14:paraId="18977C32" w14:textId="32A9F9F0" w:rsidR="0059009B" w:rsidRPr="00BF51BB" w:rsidRDefault="00F038BE" w:rsidP="0059009B">
          <w:pPr>
            <w:tabs>
              <w:tab w:val="left" w:pos="1605"/>
            </w:tabs>
            <w:jc w:val="center"/>
            <w:rPr>
              <w:caps/>
              <w:color w:val="FFFFFF" w:themeColor="background1"/>
            </w:rPr>
          </w:pPr>
          <w:r w:rsidRPr="00BF51BB">
            <w:rPr>
              <w:rFonts w:ascii="Arial" w:hAnsi="Arial" w:cs="Arial"/>
              <w:noProof/>
              <w:color w:val="FFFFFF" w:themeColor="background1"/>
              <w:sz w:val="24"/>
              <w:szCs w:val="24"/>
              <w:lang w:val="en-US"/>
            </w:rPr>
            <mc:AlternateContent>
              <mc:Choice Requires="wpg">
                <w:drawing>
                  <wp:anchor distT="0" distB="0" distL="114300" distR="114300" simplePos="0" relativeHeight="251669504" behindDoc="1" locked="0" layoutInCell="1" allowOverlap="1" wp14:anchorId="10C147E1" wp14:editId="25CDC1EF">
                    <wp:simplePos x="0" y="0"/>
                    <wp:positionH relativeFrom="margin">
                      <wp:posOffset>-668867</wp:posOffset>
                    </wp:positionH>
                    <wp:positionV relativeFrom="margin">
                      <wp:posOffset>-441326</wp:posOffset>
                    </wp:positionV>
                    <wp:extent cx="7058025" cy="9863667"/>
                    <wp:effectExtent l="0" t="0" r="9525" b="4445"/>
                    <wp:wrapNone/>
                    <wp:docPr id="193" name="Group 193"/>
                    <wp:cNvGraphicFramePr/>
                    <a:graphic xmlns:a="http://schemas.openxmlformats.org/drawingml/2006/main">
                      <a:graphicData uri="http://schemas.microsoft.com/office/word/2010/wordprocessingGroup">
                        <wpg:wgp>
                          <wpg:cNvGrpSpPr/>
                          <wpg:grpSpPr>
                            <a:xfrm>
                              <a:off x="0" y="0"/>
                              <a:ext cx="7058025" cy="9863667"/>
                              <a:chOff x="-28575" y="0"/>
                              <a:chExt cx="7058025" cy="9724395"/>
                            </a:xfrm>
                          </wpg:grpSpPr>
                          <wps:wsp>
                            <wps:cNvPr id="194" name="Rectangle 194"/>
                            <wps:cNvSpPr/>
                            <wps:spPr>
                              <a:xfrm>
                                <a:off x="6824" y="0"/>
                                <a:ext cx="7022626" cy="13716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8575" y="7427595"/>
                                <a:ext cx="6933600" cy="22968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83CB6" w14:textId="77777777" w:rsidR="0000223F" w:rsidRDefault="0000223F">
                                  <w:pPr>
                                    <w:pStyle w:val="NoSpacing"/>
                                    <w:spacing w:before="120"/>
                                    <w:jc w:val="center"/>
                                    <w:rPr>
                                      <w:color w:val="FFFFFF" w:themeColor="background1"/>
                                    </w:rPr>
                                  </w:pPr>
                                </w:p>
                                <w:p w14:paraId="01CDDC13" w14:textId="77777777" w:rsidR="0000223F" w:rsidRDefault="0000223F">
                                  <w:pPr>
                                    <w:pStyle w:val="NoSpacing"/>
                                    <w:spacing w:before="120"/>
                                    <w:jc w:val="center"/>
                                    <w:rPr>
                                      <w:color w:val="FFFFFF" w:themeColor="background1"/>
                                    </w:rPr>
                                  </w:pPr>
                                  <w:r>
                                    <w:rPr>
                                      <w:color w:val="FFFFFF" w:themeColor="background1"/>
                                    </w:rPr>
                                    <w:t> </w:t>
                                  </w:r>
                                </w:p>
                                <w:p w14:paraId="51808318" w14:textId="247A8441" w:rsidR="0000223F" w:rsidRDefault="0000223F">
                                  <w:pPr>
                                    <w:pStyle w:val="NoSpacing"/>
                                    <w:spacing w:before="120"/>
                                    <w:jc w:val="center"/>
                                    <w:rPr>
                                      <w:color w:val="FFFFFF" w:themeColor="background1"/>
                                    </w:rPr>
                                  </w:pPr>
                                  <w:r>
                                    <w:rPr>
                                      <w:color w:val="FFFFFF" w:themeColor="background1"/>
                                    </w:rPr>
                                    <w:t>Sarajevo</w:t>
                                  </w:r>
                                  <w:r w:rsidRPr="00FB6FC8">
                                    <w:rPr>
                                      <w:color w:val="FFFFFF" w:themeColor="background1"/>
                                    </w:rPr>
                                    <w:t xml:space="preserve">, </w:t>
                                  </w:r>
                                  <w:r>
                                    <w:rPr>
                                      <w:color w:val="FFFFFF" w:themeColor="background1"/>
                                    </w:rPr>
                                    <w:t>a</w:t>
                                  </w:r>
                                  <w:r w:rsidRPr="00FB6FC8">
                                    <w:rPr>
                                      <w:color w:val="FFFFFF" w:themeColor="background1"/>
                                    </w:rPr>
                                    <w:t>pril</w:t>
                                  </w:r>
                                  <w:r w:rsidRPr="00D912D1">
                                    <w:rPr>
                                      <w:color w:val="FFFFFF" w:themeColor="background1"/>
                                      <w:lang w:val="hr-BA"/>
                                    </w:rPr>
                                    <w:t xml:space="preserve"> </w:t>
                                  </w:r>
                                  <w:r w:rsidRPr="00FB6FC8">
                                    <w:rPr>
                                      <w:color w:val="FFFFFF" w:themeColor="background1"/>
                                    </w:rPr>
                                    <w:t>202</w:t>
                                  </w:r>
                                  <w:r w:rsidRPr="00BF51BB">
                                    <w:rPr>
                                      <w:color w:val="FFFFFF" w:themeColor="background1"/>
                                    </w:rPr>
                                    <w:t>2</w:t>
                                  </w:r>
                                  <w:r w:rsidRPr="00FB6FC8">
                                    <w:rPr>
                                      <w:color w:val="FFFFFF" w:themeColor="background1"/>
                                    </w:rPr>
                                    <w:t>.</w:t>
                                  </w:r>
                                </w:p>
                                <w:p w14:paraId="4A32006B" w14:textId="77777777" w:rsidR="0000223F" w:rsidRDefault="0000223F">
                                  <w:pPr>
                                    <w:pStyle w:val="NoSpacing"/>
                                    <w:spacing w:before="120"/>
                                    <w:jc w:val="center"/>
                                    <w:rPr>
                                      <w:color w:val="FFFFFF" w:themeColor="background1"/>
                                    </w:rPr>
                                  </w:pPr>
                                  <w:r>
                                    <w:rPr>
                                      <w:color w:val="FFFFFF" w:themeColor="background1"/>
                                    </w:rPr>
                                    <w:t> www.fmf.gov.ba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lang w:val="hr-HR"/>
                                    </w:rPr>
                                    <w:alias w:val="Title"/>
                                    <w:tag w:val=""/>
                                    <w:id w:val="926461990"/>
                                    <w:dataBinding w:prefixMappings="xmlns:ns0='http://purl.org/dc/elements/1.1/' xmlns:ns1='http://schemas.openxmlformats.org/package/2006/metadata/core-properties' " w:xpath="/ns1:coreProperties[1]/ns0:title[1]" w:storeItemID="{6C3C8BC8-F283-45AE-878A-BAB7291924A1}"/>
                                    <w:text/>
                                  </w:sdtPr>
                                  <w:sdtEndPr/>
                                  <w:sdtContent>
                                    <w:p w14:paraId="6AC1A2C9" w14:textId="72F61138" w:rsidR="0000223F" w:rsidRPr="00BF51BB" w:rsidRDefault="0000223F">
                                      <w:pPr>
                                        <w:pStyle w:val="NoSpacing"/>
                                        <w:jc w:val="center"/>
                                        <w:rPr>
                                          <w:rFonts w:asciiTheme="majorHAnsi" w:eastAsiaTheme="majorEastAsia" w:hAnsiTheme="majorHAnsi" w:cstheme="majorBidi"/>
                                          <w:caps/>
                                          <w:color w:val="4F81BD" w:themeColor="accent1"/>
                                          <w:sz w:val="72"/>
                                          <w:szCs w:val="72"/>
                                          <w:lang w:val="hr-HR"/>
                                        </w:rPr>
                                      </w:pPr>
                                      <w:r w:rsidRPr="00FB6FC8">
                                        <w:rPr>
                                          <w:rFonts w:asciiTheme="majorHAnsi" w:eastAsiaTheme="majorEastAsia" w:hAnsiTheme="majorHAnsi" w:cstheme="majorBidi"/>
                                          <w:caps/>
                                          <w:color w:val="4F81BD" w:themeColor="accent1"/>
                                          <w:sz w:val="72"/>
                                          <w:szCs w:val="72"/>
                                          <w:lang w:val="hr-HR"/>
                                        </w:rPr>
                                        <w:t>Strategija upravljanja dugom                                 2022</w:t>
                                      </w:r>
                                      <w:r>
                                        <w:rPr>
                                          <w:rFonts w:asciiTheme="majorHAnsi" w:eastAsiaTheme="majorEastAsia" w:hAnsiTheme="majorHAnsi" w:cstheme="majorBidi"/>
                                          <w:caps/>
                                          <w:color w:val="4F81BD" w:themeColor="accent1"/>
                                          <w:sz w:val="72"/>
                                          <w:szCs w:val="72"/>
                                          <w:lang w:val="hr-HR"/>
                                        </w:rPr>
                                        <w:t>.</w:t>
                                      </w:r>
                                      <w:r w:rsidRPr="00FB6FC8">
                                        <w:rPr>
                                          <w:rFonts w:asciiTheme="majorHAnsi" w:eastAsiaTheme="majorEastAsia" w:hAnsiTheme="majorHAnsi" w:cstheme="majorBidi"/>
                                          <w:caps/>
                                          <w:color w:val="4F81BD" w:themeColor="accent1"/>
                                          <w:sz w:val="72"/>
                                          <w:szCs w:val="72"/>
                                          <w:lang w:val="hr-HR"/>
                                        </w:rPr>
                                        <w:t>-2024</w:t>
                                      </w:r>
                                      <w:r>
                                        <w:rPr>
                                          <w:rFonts w:asciiTheme="majorHAnsi" w:eastAsiaTheme="majorEastAsia" w:hAnsiTheme="majorHAnsi" w:cstheme="majorBidi"/>
                                          <w:caps/>
                                          <w:color w:val="4F81BD" w:themeColor="accent1"/>
                                          <w:sz w:val="72"/>
                                          <w:szCs w:val="72"/>
                                          <w:lang w:val="hr-HR"/>
                                        </w:rPr>
                                        <w: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0C147E1" id="Group 193" o:spid="_x0000_s1026" style="position:absolute;left:0;text-align:left;margin-left:-52.65pt;margin-top:-34.75pt;width:555.75pt;height:776.65pt;z-index:-251646976;mso-position-horizontal-relative:margin;mso-position-vertical-relative:margin" coordorigin="-285" coordsize="70580,9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">
                    <v:rect id="Rectangle 194" o:spid="_x0000_s1027" style="position:absolute;left:68;width:7022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" fillcolor="#b8cce4 [1300]" stroked="f" strokeweight="2pt"/>
                    <v:rect id="Rectangle 195" o:spid="_x0000_s1028" style="position:absolute;left:-285;top:74275;width:69335;height:229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" fillcolor="#b8cce4 [1300]" stroked="f" strokeweight="2pt">
                      <v:textbox inset="36pt,57.6pt,36pt,36pt">
                        <w:txbxContent>
                          <w:p w14:paraId="29C83CB6" w14:textId="77777777" w:rsidR="0000223F" w:rsidRDefault="0000223F">
                            <w:pPr>
                              <w:pStyle w:val="NoSpacing"/>
                              <w:spacing w:before="120"/>
                              <w:jc w:val="center"/>
                              <w:rPr>
                                <w:color w:val="FFFFFF" w:themeColor="background1"/>
                              </w:rPr>
                            </w:pPr>
                          </w:p>
                          <w:p w14:paraId="01CDDC13" w14:textId="77777777" w:rsidR="0000223F" w:rsidRDefault="0000223F">
                            <w:pPr>
                              <w:pStyle w:val="NoSpacing"/>
                              <w:spacing w:before="120"/>
                              <w:jc w:val="center"/>
                              <w:rPr>
                                <w:color w:val="FFFFFF" w:themeColor="background1"/>
                              </w:rPr>
                            </w:pPr>
                            <w:r>
                              <w:rPr>
                                <w:color w:val="FFFFFF" w:themeColor="background1"/>
                              </w:rPr>
                              <w:t> </w:t>
                            </w:r>
                          </w:p>
                          <w:p w14:paraId="51808318" w14:textId="247A8441" w:rsidR="0000223F" w:rsidRDefault="0000223F">
                            <w:pPr>
                              <w:pStyle w:val="NoSpacing"/>
                              <w:spacing w:before="120"/>
                              <w:jc w:val="center"/>
                              <w:rPr>
                                <w:color w:val="FFFFFF" w:themeColor="background1"/>
                              </w:rPr>
                            </w:pPr>
                            <w:r>
                              <w:rPr>
                                <w:color w:val="FFFFFF" w:themeColor="background1"/>
                              </w:rPr>
                              <w:t>Sarajevo</w:t>
                            </w:r>
                            <w:r w:rsidRPr="00FB6FC8">
                              <w:rPr>
                                <w:color w:val="FFFFFF" w:themeColor="background1"/>
                              </w:rPr>
                              <w:t xml:space="preserve">, </w:t>
                            </w:r>
                            <w:proofErr w:type="spellStart"/>
                            <w:r>
                              <w:rPr>
                                <w:color w:val="FFFFFF" w:themeColor="background1"/>
                              </w:rPr>
                              <w:t>a</w:t>
                            </w:r>
                            <w:r w:rsidRPr="00FB6FC8">
                              <w:rPr>
                                <w:color w:val="FFFFFF" w:themeColor="background1"/>
                              </w:rPr>
                              <w:t>pril</w:t>
                            </w:r>
                            <w:proofErr w:type="spellEnd"/>
                            <w:r w:rsidRPr="00D912D1">
                              <w:rPr>
                                <w:color w:val="FFFFFF" w:themeColor="background1"/>
                                <w:lang w:val="hr-BA"/>
                              </w:rPr>
                              <w:t xml:space="preserve"> </w:t>
                            </w:r>
                            <w:r w:rsidRPr="00FB6FC8">
                              <w:rPr>
                                <w:color w:val="FFFFFF" w:themeColor="background1"/>
                              </w:rPr>
                              <w:t>202</w:t>
                            </w:r>
                            <w:r w:rsidRPr="00BF51BB">
                              <w:rPr>
                                <w:color w:val="FFFFFF" w:themeColor="background1"/>
                              </w:rPr>
                              <w:t>2</w:t>
                            </w:r>
                            <w:r w:rsidRPr="00FB6FC8">
                              <w:rPr>
                                <w:color w:val="FFFFFF" w:themeColor="background1"/>
                              </w:rPr>
                              <w:t>.</w:t>
                            </w:r>
                          </w:p>
                          <w:p w14:paraId="4A32006B" w14:textId="77777777" w:rsidR="0000223F" w:rsidRDefault="0000223F">
                            <w:pPr>
                              <w:pStyle w:val="NoSpacing"/>
                              <w:spacing w:before="120"/>
                              <w:jc w:val="center"/>
                              <w:rPr>
                                <w:color w:val="FFFFFF" w:themeColor="background1"/>
                              </w:rPr>
                            </w:pPr>
                            <w:r>
                              <w:rPr>
                                <w:color w:val="FFFFFF" w:themeColor="background1"/>
                              </w:rPr>
                              <w:t> www.fmf.gov.ba</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lang w:val="hr-HR"/>
                              </w:rPr>
                              <w:alias w:val="Title"/>
                              <w:tag w:val=""/>
                              <w:id w:val="926461990"/>
                              <w:dataBinding w:prefixMappings="xmlns:ns0='http://purl.org/dc/elements/1.1/' xmlns:ns1='http://schemas.openxmlformats.org/package/2006/metadata/core-properties' " w:xpath="/ns1:coreProperties[1]/ns0:title[1]" w:storeItemID="{6C3C8BC8-F283-45AE-878A-BAB7291924A1}"/>
                              <w:text/>
                            </w:sdtPr>
                            <w:sdtContent>
                              <w:p w14:paraId="6AC1A2C9" w14:textId="72F61138" w:rsidR="0000223F" w:rsidRPr="00BF51BB" w:rsidRDefault="0000223F">
                                <w:pPr>
                                  <w:pStyle w:val="NoSpacing"/>
                                  <w:jc w:val="center"/>
                                  <w:rPr>
                                    <w:rFonts w:asciiTheme="majorHAnsi" w:eastAsiaTheme="majorEastAsia" w:hAnsiTheme="majorHAnsi" w:cstheme="majorBidi"/>
                                    <w:caps/>
                                    <w:color w:val="4F81BD" w:themeColor="accent1"/>
                                    <w:sz w:val="72"/>
                                    <w:szCs w:val="72"/>
                                    <w:lang w:val="hr-HR"/>
                                  </w:rPr>
                                </w:pPr>
                                <w:r w:rsidRPr="00FB6FC8">
                                  <w:rPr>
                                    <w:rFonts w:asciiTheme="majorHAnsi" w:eastAsiaTheme="majorEastAsia" w:hAnsiTheme="majorHAnsi" w:cstheme="majorBidi"/>
                                    <w:caps/>
                                    <w:color w:val="4F81BD" w:themeColor="accent1"/>
                                    <w:sz w:val="72"/>
                                    <w:szCs w:val="72"/>
                                    <w:lang w:val="hr-HR"/>
                                  </w:rPr>
                                  <w:t>Strategija upravljanja dugom                                 2022</w:t>
                                </w:r>
                                <w:r>
                                  <w:rPr>
                                    <w:rFonts w:asciiTheme="majorHAnsi" w:eastAsiaTheme="majorEastAsia" w:hAnsiTheme="majorHAnsi" w:cstheme="majorBidi"/>
                                    <w:caps/>
                                    <w:color w:val="4F81BD" w:themeColor="accent1"/>
                                    <w:sz w:val="72"/>
                                    <w:szCs w:val="72"/>
                                    <w:lang w:val="hr-HR"/>
                                  </w:rPr>
                                  <w:t>.</w:t>
                                </w:r>
                                <w:r w:rsidRPr="00FB6FC8">
                                  <w:rPr>
                                    <w:rFonts w:asciiTheme="majorHAnsi" w:eastAsiaTheme="majorEastAsia" w:hAnsiTheme="majorHAnsi" w:cstheme="majorBidi"/>
                                    <w:caps/>
                                    <w:color w:val="4F81BD" w:themeColor="accent1"/>
                                    <w:sz w:val="72"/>
                                    <w:szCs w:val="72"/>
                                    <w:lang w:val="hr-HR"/>
                                  </w:rPr>
                                  <w:t>-2024</w:t>
                                </w:r>
                                <w:r>
                                  <w:rPr>
                                    <w:rFonts w:asciiTheme="majorHAnsi" w:eastAsiaTheme="majorEastAsia" w:hAnsiTheme="majorHAnsi" w:cstheme="majorBidi"/>
                                    <w:caps/>
                                    <w:color w:val="4F81BD" w:themeColor="accent1"/>
                                    <w:sz w:val="72"/>
                                    <w:szCs w:val="72"/>
                                    <w:lang w:val="hr-HR"/>
                                  </w:rPr>
                                  <w:t>.</w:t>
                                </w:r>
                              </w:p>
                            </w:sdtContent>
                          </w:sdt>
                        </w:txbxContent>
                      </v:textbox>
                    </v:shape>
                    <w10:wrap anchorx="margin" anchory="margin"/>
                  </v:group>
                </w:pict>
              </mc:Fallback>
            </mc:AlternateContent>
          </w:r>
          <w:r w:rsidR="00CD70D2" w:rsidRPr="00BF51BB">
            <w:rPr>
              <w:rFonts w:ascii="Arial" w:hAnsi="Arial" w:cs="Arial"/>
              <w:noProof/>
              <w:color w:val="FFFFFF" w:themeColor="background1"/>
              <w:sz w:val="24"/>
              <w:szCs w:val="24"/>
              <w:lang w:val="en-US"/>
            </w:rPr>
            <mc:AlternateContent>
              <mc:Choice Requires="wps">
                <w:drawing>
                  <wp:anchor distT="0" distB="0" distL="114300" distR="114300" simplePos="0" relativeHeight="251671552" behindDoc="0" locked="0" layoutInCell="1" allowOverlap="1" wp14:anchorId="5E1D762E" wp14:editId="3DE64055">
                    <wp:simplePos x="0" y="0"/>
                    <wp:positionH relativeFrom="margin">
                      <wp:posOffset>238126</wp:posOffset>
                    </wp:positionH>
                    <wp:positionV relativeFrom="paragraph">
                      <wp:posOffset>3981450</wp:posOffset>
                    </wp:positionV>
                    <wp:extent cx="5238750" cy="3028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8750" cy="302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8E4D3" w14:textId="77777777" w:rsidR="0000223F" w:rsidRDefault="0000223F" w:rsidP="000605CA">
                                <w:pPr>
                                  <w:ind w:hanging="284"/>
                                  <w:jc w:val="center"/>
                                </w:pPr>
                                <w:r>
                                  <w:rPr>
                                    <w:noProof/>
                                    <w:lang w:val="en-US"/>
                                  </w:rPr>
                                  <w:drawing>
                                    <wp:inline distT="0" distB="0" distL="0" distR="0" wp14:anchorId="699909DE" wp14:editId="2F1C710E">
                                      <wp:extent cx="5116195" cy="3148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5116195" cy="3148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1D762E" id="Text Box 19" o:spid="_x0000_s1030" type="#_x0000_t202" style="position:absolute;left:0;text-align:left;margin-left:18.75pt;margin-top:313.5pt;width:412.5pt;height:2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4bjQIAAJQ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" fillcolor="white [3201]" stroked="f" strokeweight=".5pt">
                    <v:textbox>
                      <w:txbxContent>
                        <w:p w14:paraId="1BD8E4D3" w14:textId="77777777" w:rsidR="0000223F" w:rsidRDefault="0000223F" w:rsidP="000605CA">
                          <w:pPr>
                            <w:ind w:hanging="284"/>
                            <w:jc w:val="center"/>
                          </w:pPr>
                          <w:r>
                            <w:rPr>
                              <w:noProof/>
                              <w:lang w:val="bs-Latn-BA" w:eastAsia="bs-Latn-BA"/>
                            </w:rPr>
                            <w:drawing>
                              <wp:inline distT="0" distB="0" distL="0" distR="0" wp14:anchorId="699909DE" wp14:editId="2F1C710E">
                                <wp:extent cx="5116195" cy="3148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5116195" cy="3148965"/>
                                        </a:xfrm>
                                        <a:prstGeom prst="rect">
                                          <a:avLst/>
                                        </a:prstGeom>
                                      </pic:spPr>
                                    </pic:pic>
                                  </a:graphicData>
                                </a:graphic>
                              </wp:inline>
                            </w:drawing>
                          </w:r>
                        </w:p>
                      </w:txbxContent>
                    </v:textbox>
                    <w10:wrap anchorx="margin"/>
                  </v:shape>
                </w:pict>
              </mc:Fallback>
            </mc:AlternateContent>
          </w:r>
          <w:r w:rsidR="000605CA" w:rsidRPr="00BF51BB">
            <w:rPr>
              <w:rFonts w:ascii="Arial" w:hAnsi="Arial" w:cs="Arial"/>
              <w:color w:val="FFFFFF" w:themeColor="background1"/>
              <w:sz w:val="24"/>
              <w:szCs w:val="24"/>
            </w:rPr>
            <w:t xml:space="preserve">BOSNA I HERCEGOVINA                                                                                                                                  FEDERACIJA BOSNE I HERCEGOVINE                                                                                                        FEDERALNO MINISTARSTVO FINANSIJA                                                                                                    </w:t>
          </w:r>
          <w:r w:rsidR="0059009B" w:rsidRPr="00BF51BB">
            <w:rPr>
              <w:rFonts w:ascii="Arial" w:hAnsi="Arial" w:cs="Arial"/>
              <w:color w:val="FFFFFF" w:themeColor="background1"/>
              <w:sz w:val="24"/>
              <w:szCs w:val="24"/>
            </w:rPr>
            <w:t xml:space="preserve">  </w:t>
          </w:r>
          <w:r w:rsidR="000605CA" w:rsidRPr="00BF51BB">
            <w:rPr>
              <w:rFonts w:ascii="Arial" w:hAnsi="Arial" w:cs="Arial"/>
              <w:color w:val="FFFFFF" w:themeColor="background1"/>
              <w:sz w:val="24"/>
              <w:szCs w:val="24"/>
            </w:rPr>
            <w:t>FEDERALNO MINISTARSTVO FINANCIJA</w:t>
          </w:r>
          <w:r w:rsidR="000605CA" w:rsidRPr="00BF51BB">
            <w:rPr>
              <w:caps/>
              <w:color w:val="FFFFFF" w:themeColor="background1"/>
            </w:rPr>
            <w:t xml:space="preserve"> </w:t>
          </w:r>
        </w:p>
        <w:p w14:paraId="06844A75" w14:textId="77777777" w:rsidR="0059009B" w:rsidRPr="00BF51BB" w:rsidRDefault="0059009B" w:rsidP="0059009B">
          <w:pPr>
            <w:tabs>
              <w:tab w:val="left" w:pos="1605"/>
            </w:tabs>
            <w:jc w:val="center"/>
            <w:rPr>
              <w:caps/>
              <w:color w:val="FFFFFF" w:themeColor="background1"/>
            </w:rPr>
          </w:pPr>
        </w:p>
        <w:p w14:paraId="1C291823" w14:textId="77777777" w:rsidR="0059009B" w:rsidRPr="00BF51BB" w:rsidRDefault="0059009B" w:rsidP="0059009B">
          <w:pPr>
            <w:tabs>
              <w:tab w:val="left" w:pos="1605"/>
            </w:tabs>
            <w:jc w:val="center"/>
            <w:rPr>
              <w:caps/>
              <w:color w:val="FFFFFF" w:themeColor="background1"/>
            </w:rPr>
          </w:pPr>
        </w:p>
        <w:p w14:paraId="6F8FC1F1" w14:textId="11D4FD9F" w:rsidR="0059009B" w:rsidRPr="00BF51BB" w:rsidRDefault="00615517" w:rsidP="00615517">
          <w:pPr>
            <w:tabs>
              <w:tab w:val="left" w:pos="855"/>
              <w:tab w:val="left" w:pos="1605"/>
            </w:tabs>
            <w:rPr>
              <w:caps/>
              <w:color w:val="FFFFFF" w:themeColor="background1"/>
            </w:rPr>
          </w:pPr>
          <w:r w:rsidRPr="00BF51BB">
            <w:rPr>
              <w:caps/>
              <w:color w:val="FFFFFF" w:themeColor="background1"/>
            </w:rPr>
            <w:tab/>
          </w:r>
          <w:r w:rsidRPr="00BF51BB">
            <w:rPr>
              <w:caps/>
              <w:color w:val="FFFFFF" w:themeColor="background1"/>
            </w:rPr>
            <w:tab/>
          </w:r>
        </w:p>
        <w:p w14:paraId="79102279" w14:textId="77777777" w:rsidR="0059009B" w:rsidRPr="00BF51BB" w:rsidRDefault="0059009B" w:rsidP="0059009B">
          <w:pPr>
            <w:tabs>
              <w:tab w:val="left" w:pos="1605"/>
            </w:tabs>
            <w:jc w:val="center"/>
            <w:rPr>
              <w:caps/>
              <w:color w:val="FFFFFF" w:themeColor="background1"/>
            </w:rPr>
          </w:pPr>
        </w:p>
        <w:p w14:paraId="7B0779C2" w14:textId="77777777" w:rsidR="0059009B" w:rsidRPr="00BF51BB" w:rsidRDefault="0059009B" w:rsidP="0059009B">
          <w:pPr>
            <w:tabs>
              <w:tab w:val="left" w:pos="1605"/>
            </w:tabs>
            <w:jc w:val="center"/>
            <w:rPr>
              <w:caps/>
              <w:color w:val="FFFFFF" w:themeColor="background1"/>
            </w:rPr>
          </w:pPr>
        </w:p>
        <w:p w14:paraId="68D706C7" w14:textId="44D6438E" w:rsidR="0059009B" w:rsidRPr="00BF51BB" w:rsidRDefault="00615517" w:rsidP="00BF51BB">
          <w:pPr>
            <w:tabs>
              <w:tab w:val="left" w:pos="1605"/>
              <w:tab w:val="left" w:pos="6083"/>
            </w:tabs>
            <w:rPr>
              <w:caps/>
              <w:color w:val="FFFFFF" w:themeColor="background1"/>
            </w:rPr>
          </w:pPr>
          <w:r w:rsidRPr="00BF51BB">
            <w:rPr>
              <w:caps/>
              <w:color w:val="FFFFFF" w:themeColor="background1"/>
            </w:rPr>
            <w:tab/>
          </w:r>
          <w:r w:rsidR="00FB6FC8" w:rsidRPr="00BF51BB">
            <w:rPr>
              <w:caps/>
              <w:color w:val="FFFFFF" w:themeColor="background1"/>
            </w:rPr>
            <w:tab/>
          </w:r>
        </w:p>
        <w:p w14:paraId="7A4B25C1" w14:textId="2E667E68" w:rsidR="0059009B" w:rsidRPr="00BF51BB" w:rsidRDefault="009A2717" w:rsidP="009A2717">
          <w:pPr>
            <w:tabs>
              <w:tab w:val="left" w:pos="1605"/>
              <w:tab w:val="left" w:pos="4159"/>
            </w:tabs>
            <w:rPr>
              <w:caps/>
              <w:color w:val="FFFFFF" w:themeColor="background1"/>
            </w:rPr>
          </w:pPr>
          <w:r>
            <w:rPr>
              <w:caps/>
              <w:color w:val="FFFFFF" w:themeColor="background1"/>
            </w:rPr>
            <w:tab/>
          </w:r>
          <w:r>
            <w:rPr>
              <w:caps/>
              <w:color w:val="FFFFFF" w:themeColor="background1"/>
            </w:rPr>
            <w:tab/>
            <w:t xml:space="preserve"> </w:t>
          </w:r>
        </w:p>
        <w:p w14:paraId="2FF45034" w14:textId="77777777" w:rsidR="0059009B" w:rsidRPr="00BF51BB" w:rsidRDefault="0059009B" w:rsidP="0059009B">
          <w:pPr>
            <w:tabs>
              <w:tab w:val="left" w:pos="1605"/>
            </w:tabs>
            <w:jc w:val="center"/>
            <w:rPr>
              <w:caps/>
              <w:color w:val="FFFFFF" w:themeColor="background1"/>
            </w:rPr>
          </w:pPr>
        </w:p>
        <w:p w14:paraId="4AB5B4BB" w14:textId="77777777" w:rsidR="0059009B" w:rsidRPr="00BF51BB" w:rsidRDefault="0059009B" w:rsidP="0059009B">
          <w:pPr>
            <w:tabs>
              <w:tab w:val="left" w:pos="1605"/>
            </w:tabs>
            <w:jc w:val="center"/>
            <w:rPr>
              <w:caps/>
              <w:color w:val="FFFFFF" w:themeColor="background1"/>
            </w:rPr>
          </w:pPr>
        </w:p>
        <w:p w14:paraId="37E33B9B" w14:textId="77777777" w:rsidR="0059009B" w:rsidRPr="00BF51BB" w:rsidRDefault="0059009B" w:rsidP="0059009B">
          <w:pPr>
            <w:tabs>
              <w:tab w:val="left" w:pos="1605"/>
            </w:tabs>
            <w:jc w:val="center"/>
            <w:rPr>
              <w:caps/>
              <w:color w:val="FFFFFF" w:themeColor="background1"/>
            </w:rPr>
          </w:pPr>
        </w:p>
        <w:p w14:paraId="237282B3" w14:textId="77777777" w:rsidR="0059009B" w:rsidRPr="00BF51BB" w:rsidRDefault="0059009B" w:rsidP="0059009B">
          <w:pPr>
            <w:tabs>
              <w:tab w:val="left" w:pos="1605"/>
            </w:tabs>
            <w:jc w:val="center"/>
            <w:rPr>
              <w:caps/>
              <w:color w:val="FFFFFF" w:themeColor="background1"/>
            </w:rPr>
          </w:pPr>
        </w:p>
        <w:p w14:paraId="7B0CDB40" w14:textId="77777777" w:rsidR="0059009B" w:rsidRPr="00BF51BB" w:rsidRDefault="0059009B" w:rsidP="0059009B">
          <w:pPr>
            <w:tabs>
              <w:tab w:val="left" w:pos="1605"/>
            </w:tabs>
            <w:jc w:val="center"/>
            <w:rPr>
              <w:caps/>
              <w:color w:val="FFFFFF" w:themeColor="background1"/>
            </w:rPr>
          </w:pPr>
        </w:p>
        <w:p w14:paraId="3744185E" w14:textId="77777777" w:rsidR="0059009B" w:rsidRPr="00BF51BB" w:rsidRDefault="0059009B" w:rsidP="0059009B">
          <w:pPr>
            <w:tabs>
              <w:tab w:val="left" w:pos="1605"/>
            </w:tabs>
            <w:jc w:val="center"/>
            <w:rPr>
              <w:caps/>
              <w:color w:val="FFFFFF" w:themeColor="background1"/>
            </w:rPr>
          </w:pPr>
        </w:p>
        <w:p w14:paraId="4A679A33" w14:textId="77777777" w:rsidR="0059009B" w:rsidRPr="00BF51BB" w:rsidRDefault="0059009B" w:rsidP="0059009B">
          <w:pPr>
            <w:tabs>
              <w:tab w:val="left" w:pos="1605"/>
            </w:tabs>
            <w:jc w:val="center"/>
            <w:rPr>
              <w:caps/>
              <w:color w:val="FFFFFF" w:themeColor="background1"/>
            </w:rPr>
          </w:pPr>
        </w:p>
        <w:p w14:paraId="03937E62" w14:textId="77777777" w:rsidR="0059009B" w:rsidRPr="00BF51BB" w:rsidRDefault="0059009B" w:rsidP="0059009B">
          <w:pPr>
            <w:tabs>
              <w:tab w:val="left" w:pos="1605"/>
            </w:tabs>
            <w:jc w:val="center"/>
            <w:rPr>
              <w:caps/>
              <w:color w:val="FFFFFF" w:themeColor="background1"/>
            </w:rPr>
          </w:pPr>
        </w:p>
        <w:p w14:paraId="4C641FA3" w14:textId="77777777" w:rsidR="0059009B" w:rsidRPr="00BF51BB" w:rsidRDefault="0059009B" w:rsidP="0059009B">
          <w:pPr>
            <w:tabs>
              <w:tab w:val="left" w:pos="1605"/>
            </w:tabs>
            <w:jc w:val="center"/>
            <w:rPr>
              <w:caps/>
              <w:color w:val="FFFFFF" w:themeColor="background1"/>
            </w:rPr>
          </w:pPr>
        </w:p>
        <w:p w14:paraId="381E863C" w14:textId="77777777" w:rsidR="0059009B" w:rsidRPr="00BF51BB" w:rsidRDefault="0059009B" w:rsidP="0059009B">
          <w:pPr>
            <w:tabs>
              <w:tab w:val="left" w:pos="1605"/>
            </w:tabs>
            <w:jc w:val="center"/>
            <w:rPr>
              <w:caps/>
              <w:color w:val="FFFFFF" w:themeColor="background1"/>
            </w:rPr>
          </w:pPr>
        </w:p>
        <w:p w14:paraId="40262F71" w14:textId="494A6B96" w:rsidR="0059009B" w:rsidRPr="00BF51BB" w:rsidRDefault="00615517" w:rsidP="00615517">
          <w:pPr>
            <w:tabs>
              <w:tab w:val="left" w:pos="1605"/>
              <w:tab w:val="left" w:pos="3045"/>
              <w:tab w:val="left" w:pos="3510"/>
            </w:tabs>
            <w:rPr>
              <w:caps/>
              <w:color w:val="FFFFFF" w:themeColor="background1"/>
            </w:rPr>
          </w:pPr>
          <w:r w:rsidRPr="00BF51BB">
            <w:rPr>
              <w:caps/>
              <w:color w:val="FFFFFF" w:themeColor="background1"/>
            </w:rPr>
            <w:tab/>
          </w:r>
          <w:r w:rsidRPr="00BF51BB">
            <w:rPr>
              <w:caps/>
              <w:color w:val="FFFFFF" w:themeColor="background1"/>
            </w:rPr>
            <w:tab/>
          </w:r>
          <w:r w:rsidRPr="00BF51BB">
            <w:rPr>
              <w:caps/>
              <w:color w:val="FFFFFF" w:themeColor="background1"/>
            </w:rPr>
            <w:tab/>
          </w:r>
        </w:p>
        <w:p w14:paraId="13F6E389" w14:textId="0E0FCEB3" w:rsidR="008A7464" w:rsidRPr="00BF51BB" w:rsidRDefault="00615517" w:rsidP="00615517">
          <w:pPr>
            <w:tabs>
              <w:tab w:val="left" w:pos="1605"/>
              <w:tab w:val="left" w:pos="3825"/>
              <w:tab w:val="center" w:pos="4666"/>
            </w:tabs>
            <w:rPr>
              <w:rFonts w:ascii="Arial" w:hAnsi="Arial" w:cs="Arial"/>
              <w:color w:val="E36C0A" w:themeColor="accent6" w:themeShade="BF"/>
              <w:sz w:val="24"/>
              <w:szCs w:val="24"/>
            </w:rPr>
          </w:pPr>
          <w:r w:rsidRPr="00BF51BB">
            <w:rPr>
              <w:rFonts w:ascii="Arial" w:hAnsi="Arial" w:cs="Arial"/>
              <w:color w:val="E36C0A" w:themeColor="accent6" w:themeShade="BF"/>
              <w:sz w:val="24"/>
              <w:szCs w:val="24"/>
            </w:rPr>
            <w:tab/>
          </w:r>
          <w:r w:rsidRPr="00BF51BB">
            <w:rPr>
              <w:rFonts w:ascii="Arial" w:hAnsi="Arial" w:cs="Arial"/>
              <w:color w:val="E36C0A" w:themeColor="accent6" w:themeShade="BF"/>
              <w:sz w:val="24"/>
              <w:szCs w:val="24"/>
            </w:rPr>
            <w:tab/>
          </w:r>
          <w:r w:rsidRPr="00BF51BB">
            <w:rPr>
              <w:rFonts w:ascii="Arial" w:hAnsi="Arial" w:cs="Arial"/>
              <w:color w:val="E36C0A" w:themeColor="accent6" w:themeShade="BF"/>
              <w:sz w:val="24"/>
              <w:szCs w:val="24"/>
            </w:rPr>
            <w:tab/>
          </w:r>
        </w:p>
      </w:sdtContent>
    </w:sdt>
    <w:sdt>
      <w:sdtPr>
        <w:rPr>
          <w:rFonts w:ascii="Arial Narrow" w:eastAsiaTheme="minorHAnsi" w:hAnsi="Arial Narrow" w:cs="Arial"/>
          <w:b w:val="0"/>
          <w:bCs w:val="0"/>
          <w:color w:val="auto"/>
          <w:sz w:val="20"/>
          <w:szCs w:val="20"/>
        </w:rPr>
        <w:id w:val="49129360"/>
        <w:docPartObj>
          <w:docPartGallery w:val="Table of Contents"/>
          <w:docPartUnique/>
        </w:docPartObj>
      </w:sdtPr>
      <w:sdtEndPr>
        <w:rPr>
          <w:rFonts w:asciiTheme="minorHAnsi" w:hAnsiTheme="minorHAnsi" w:cstheme="minorBidi"/>
          <w:sz w:val="22"/>
          <w:szCs w:val="22"/>
        </w:rPr>
      </w:sdtEndPr>
      <w:sdtContent>
        <w:p w14:paraId="07F3E9A7" w14:textId="77777777" w:rsidR="009A2717" w:rsidRDefault="009A2717" w:rsidP="00955DCC">
          <w:pPr>
            <w:pStyle w:val="TOCHeading"/>
            <w:jc w:val="center"/>
            <w:rPr>
              <w:rFonts w:ascii="Arial Narrow" w:eastAsiaTheme="minorHAnsi" w:hAnsi="Arial Narrow" w:cs="Arial"/>
              <w:b w:val="0"/>
              <w:bCs w:val="0"/>
              <w:color w:val="auto"/>
              <w:sz w:val="20"/>
              <w:szCs w:val="20"/>
            </w:rPr>
          </w:pPr>
        </w:p>
        <w:p w14:paraId="3813E542" w14:textId="77777777" w:rsidR="009A2717" w:rsidRDefault="009A2717">
          <w:pPr>
            <w:rPr>
              <w:rFonts w:ascii="Arial Narrow" w:hAnsi="Arial Narrow" w:cs="Arial"/>
              <w:sz w:val="20"/>
              <w:szCs w:val="20"/>
            </w:rPr>
          </w:pPr>
          <w:r>
            <w:rPr>
              <w:rFonts w:ascii="Arial Narrow" w:hAnsi="Arial Narrow" w:cs="Arial"/>
              <w:b/>
              <w:bCs/>
              <w:sz w:val="20"/>
              <w:szCs w:val="20"/>
            </w:rPr>
            <w:br w:type="page"/>
          </w:r>
        </w:p>
        <w:p w14:paraId="0183BE50" w14:textId="335752E5" w:rsidR="00955DCC" w:rsidRPr="00BF51BB" w:rsidRDefault="00FE7312" w:rsidP="00955DCC">
          <w:pPr>
            <w:pStyle w:val="TOCHeading"/>
            <w:jc w:val="center"/>
            <w:rPr>
              <w:rFonts w:ascii="Arial" w:hAnsi="Arial" w:cs="Arial"/>
              <w:b w:val="0"/>
              <w:color w:val="auto"/>
              <w:sz w:val="20"/>
              <w:szCs w:val="20"/>
            </w:rPr>
          </w:pPr>
          <w:r w:rsidRPr="00BF51BB">
            <w:rPr>
              <w:rFonts w:ascii="Arial" w:hAnsi="Arial" w:cs="Arial"/>
              <w:b w:val="0"/>
              <w:color w:val="auto"/>
              <w:szCs w:val="20"/>
            </w:rPr>
            <w:lastRenderedPageBreak/>
            <w:t>S A D R Ž A J</w:t>
          </w:r>
        </w:p>
        <w:p w14:paraId="14C61B4B" w14:textId="77777777" w:rsidR="0031271E" w:rsidRDefault="00955DCC">
          <w:pPr>
            <w:pStyle w:val="TOC1"/>
            <w:rPr>
              <w:rFonts w:asciiTheme="minorHAnsi" w:eastAsiaTheme="minorEastAsia" w:hAnsiTheme="minorHAnsi" w:cstheme="minorBidi"/>
              <w:sz w:val="22"/>
              <w:szCs w:val="22"/>
              <w:lang w:val="en-US"/>
            </w:rPr>
          </w:pPr>
          <w:r w:rsidRPr="00BF51BB">
            <w:rPr>
              <w:noProof w:val="0"/>
              <w:sz w:val="20"/>
              <w:szCs w:val="20"/>
              <w:lang w:val="hr-HR"/>
            </w:rPr>
            <w:fldChar w:fldCharType="begin"/>
          </w:r>
          <w:r w:rsidRPr="00BF51BB">
            <w:rPr>
              <w:noProof w:val="0"/>
              <w:sz w:val="20"/>
              <w:szCs w:val="20"/>
              <w:lang w:val="hr-HR"/>
            </w:rPr>
            <w:instrText xml:space="preserve"> TOC \o "1-3" \h \z \u </w:instrText>
          </w:r>
          <w:r w:rsidRPr="00BF51BB">
            <w:rPr>
              <w:noProof w:val="0"/>
              <w:sz w:val="20"/>
              <w:szCs w:val="20"/>
              <w:lang w:val="hr-HR"/>
            </w:rPr>
            <w:fldChar w:fldCharType="separate"/>
          </w:r>
          <w:hyperlink w:anchor="_Toc101781021" w:history="1">
            <w:r w:rsidR="0031271E" w:rsidRPr="002600A5">
              <w:rPr>
                <w:rStyle w:val="Hyperlink"/>
              </w:rPr>
              <w:t>SAŽETAK</w:t>
            </w:r>
            <w:r w:rsidR="0031271E">
              <w:rPr>
                <w:webHidden/>
              </w:rPr>
              <w:tab/>
            </w:r>
            <w:r w:rsidR="0031271E">
              <w:rPr>
                <w:webHidden/>
              </w:rPr>
              <w:fldChar w:fldCharType="begin"/>
            </w:r>
            <w:r w:rsidR="0031271E">
              <w:rPr>
                <w:webHidden/>
              </w:rPr>
              <w:instrText xml:space="preserve"> PAGEREF _Toc101781021 \h </w:instrText>
            </w:r>
            <w:r w:rsidR="0031271E">
              <w:rPr>
                <w:webHidden/>
              </w:rPr>
            </w:r>
            <w:r w:rsidR="0031271E">
              <w:rPr>
                <w:webHidden/>
              </w:rPr>
              <w:fldChar w:fldCharType="separate"/>
            </w:r>
            <w:r w:rsidR="0031271E">
              <w:rPr>
                <w:webHidden/>
              </w:rPr>
              <w:t>1</w:t>
            </w:r>
            <w:r w:rsidR="0031271E">
              <w:rPr>
                <w:webHidden/>
              </w:rPr>
              <w:fldChar w:fldCharType="end"/>
            </w:r>
          </w:hyperlink>
        </w:p>
        <w:p w14:paraId="0F11BBD4" w14:textId="77777777" w:rsidR="0031271E" w:rsidRDefault="0031271E">
          <w:pPr>
            <w:pStyle w:val="TOC1"/>
            <w:rPr>
              <w:rFonts w:asciiTheme="minorHAnsi" w:eastAsiaTheme="minorEastAsia" w:hAnsiTheme="minorHAnsi" w:cstheme="minorBidi"/>
              <w:sz w:val="22"/>
              <w:szCs w:val="22"/>
              <w:lang w:val="en-US"/>
            </w:rPr>
          </w:pPr>
          <w:hyperlink w:anchor="_Toc101781022" w:history="1">
            <w:r w:rsidRPr="002600A5">
              <w:rPr>
                <w:rStyle w:val="Hyperlink"/>
              </w:rPr>
              <w:t>1.</w:t>
            </w:r>
            <w:r>
              <w:rPr>
                <w:rFonts w:asciiTheme="minorHAnsi" w:eastAsiaTheme="minorEastAsia" w:hAnsiTheme="minorHAnsi" w:cstheme="minorBidi"/>
                <w:sz w:val="22"/>
                <w:szCs w:val="22"/>
                <w:lang w:val="en-US"/>
              </w:rPr>
              <w:tab/>
            </w:r>
            <w:r w:rsidRPr="002600A5">
              <w:rPr>
                <w:rStyle w:val="Hyperlink"/>
              </w:rPr>
              <w:t>PRAVNI I INSTITUCIONALNI OKVIR</w:t>
            </w:r>
            <w:r>
              <w:rPr>
                <w:webHidden/>
              </w:rPr>
              <w:tab/>
            </w:r>
            <w:r>
              <w:rPr>
                <w:webHidden/>
              </w:rPr>
              <w:fldChar w:fldCharType="begin"/>
            </w:r>
            <w:r>
              <w:rPr>
                <w:webHidden/>
              </w:rPr>
              <w:instrText xml:space="preserve"> PAGEREF _Toc101781022 \h </w:instrText>
            </w:r>
            <w:r>
              <w:rPr>
                <w:webHidden/>
              </w:rPr>
            </w:r>
            <w:r>
              <w:rPr>
                <w:webHidden/>
              </w:rPr>
              <w:fldChar w:fldCharType="separate"/>
            </w:r>
            <w:r>
              <w:rPr>
                <w:webHidden/>
              </w:rPr>
              <w:t>1</w:t>
            </w:r>
            <w:r>
              <w:rPr>
                <w:webHidden/>
              </w:rPr>
              <w:fldChar w:fldCharType="end"/>
            </w:r>
          </w:hyperlink>
        </w:p>
        <w:p w14:paraId="365F749B" w14:textId="77777777" w:rsidR="0031271E" w:rsidRDefault="0031271E">
          <w:pPr>
            <w:pStyle w:val="TOC2"/>
            <w:rPr>
              <w:rFonts w:eastAsiaTheme="minorEastAsia"/>
              <w:noProof/>
              <w:lang w:val="en-US"/>
            </w:rPr>
          </w:pPr>
          <w:hyperlink w:anchor="_Toc101781023" w:history="1">
            <w:r w:rsidRPr="002600A5">
              <w:rPr>
                <w:rStyle w:val="Hyperlink"/>
                <w:rFonts w:ascii="Arial" w:hAnsi="Arial" w:cs="Arial"/>
                <w:noProof/>
              </w:rPr>
              <w:t>1.1.</w:t>
            </w:r>
            <w:r>
              <w:rPr>
                <w:rFonts w:eastAsiaTheme="minorEastAsia"/>
                <w:noProof/>
                <w:lang w:val="en-US"/>
              </w:rPr>
              <w:tab/>
            </w:r>
            <w:r w:rsidRPr="002600A5">
              <w:rPr>
                <w:rStyle w:val="Hyperlink"/>
                <w:rFonts w:ascii="Arial" w:hAnsi="Arial" w:cs="Arial"/>
                <w:noProof/>
              </w:rPr>
              <w:t>Pravni okvir</w:t>
            </w:r>
            <w:r>
              <w:rPr>
                <w:noProof/>
                <w:webHidden/>
              </w:rPr>
              <w:tab/>
            </w:r>
            <w:r>
              <w:rPr>
                <w:noProof/>
                <w:webHidden/>
              </w:rPr>
              <w:fldChar w:fldCharType="begin"/>
            </w:r>
            <w:r>
              <w:rPr>
                <w:noProof/>
                <w:webHidden/>
              </w:rPr>
              <w:instrText xml:space="preserve"> PAGEREF _Toc101781023 \h </w:instrText>
            </w:r>
            <w:r>
              <w:rPr>
                <w:noProof/>
                <w:webHidden/>
              </w:rPr>
            </w:r>
            <w:r>
              <w:rPr>
                <w:noProof/>
                <w:webHidden/>
              </w:rPr>
              <w:fldChar w:fldCharType="separate"/>
            </w:r>
            <w:r>
              <w:rPr>
                <w:noProof/>
                <w:webHidden/>
              </w:rPr>
              <w:t>1</w:t>
            </w:r>
            <w:r>
              <w:rPr>
                <w:noProof/>
                <w:webHidden/>
              </w:rPr>
              <w:fldChar w:fldCharType="end"/>
            </w:r>
          </w:hyperlink>
        </w:p>
        <w:p w14:paraId="070927D1" w14:textId="77777777" w:rsidR="0031271E" w:rsidRDefault="0031271E">
          <w:pPr>
            <w:pStyle w:val="TOC2"/>
            <w:rPr>
              <w:rFonts w:eastAsiaTheme="minorEastAsia"/>
              <w:noProof/>
              <w:lang w:val="en-US"/>
            </w:rPr>
          </w:pPr>
          <w:hyperlink w:anchor="_Toc101781024" w:history="1">
            <w:r w:rsidRPr="002600A5">
              <w:rPr>
                <w:rStyle w:val="Hyperlink"/>
                <w:rFonts w:ascii="Arial" w:hAnsi="Arial" w:cs="Arial"/>
                <w:noProof/>
              </w:rPr>
              <w:t>1.2.</w:t>
            </w:r>
            <w:r>
              <w:rPr>
                <w:rFonts w:eastAsiaTheme="minorEastAsia"/>
                <w:noProof/>
                <w:lang w:val="en-US"/>
              </w:rPr>
              <w:tab/>
            </w:r>
            <w:r w:rsidRPr="002600A5">
              <w:rPr>
                <w:rStyle w:val="Hyperlink"/>
                <w:rFonts w:ascii="Arial" w:hAnsi="Arial" w:cs="Arial"/>
                <w:noProof/>
              </w:rPr>
              <w:t>Institucionalni okvir</w:t>
            </w:r>
            <w:r>
              <w:rPr>
                <w:noProof/>
                <w:webHidden/>
              </w:rPr>
              <w:tab/>
            </w:r>
            <w:r>
              <w:rPr>
                <w:noProof/>
                <w:webHidden/>
              </w:rPr>
              <w:fldChar w:fldCharType="begin"/>
            </w:r>
            <w:r>
              <w:rPr>
                <w:noProof/>
                <w:webHidden/>
              </w:rPr>
              <w:instrText xml:space="preserve"> PAGEREF _Toc101781024 \h </w:instrText>
            </w:r>
            <w:r>
              <w:rPr>
                <w:noProof/>
                <w:webHidden/>
              </w:rPr>
            </w:r>
            <w:r>
              <w:rPr>
                <w:noProof/>
                <w:webHidden/>
              </w:rPr>
              <w:fldChar w:fldCharType="separate"/>
            </w:r>
            <w:r>
              <w:rPr>
                <w:noProof/>
                <w:webHidden/>
              </w:rPr>
              <w:t>1</w:t>
            </w:r>
            <w:r>
              <w:rPr>
                <w:noProof/>
                <w:webHidden/>
              </w:rPr>
              <w:fldChar w:fldCharType="end"/>
            </w:r>
          </w:hyperlink>
        </w:p>
        <w:p w14:paraId="054937AC" w14:textId="77777777" w:rsidR="0031271E" w:rsidRDefault="0031271E">
          <w:pPr>
            <w:pStyle w:val="TOC1"/>
            <w:rPr>
              <w:rFonts w:asciiTheme="minorHAnsi" w:eastAsiaTheme="minorEastAsia" w:hAnsiTheme="minorHAnsi" w:cstheme="minorBidi"/>
              <w:sz w:val="22"/>
              <w:szCs w:val="22"/>
              <w:lang w:val="en-US"/>
            </w:rPr>
          </w:pPr>
          <w:hyperlink w:anchor="_Toc101781025" w:history="1">
            <w:r w:rsidRPr="002600A5">
              <w:rPr>
                <w:rStyle w:val="Hyperlink"/>
              </w:rPr>
              <w:t>2.</w:t>
            </w:r>
            <w:r>
              <w:rPr>
                <w:rFonts w:asciiTheme="minorHAnsi" w:eastAsiaTheme="minorEastAsia" w:hAnsiTheme="minorHAnsi" w:cstheme="minorBidi"/>
                <w:sz w:val="22"/>
                <w:szCs w:val="22"/>
                <w:lang w:val="en-US"/>
              </w:rPr>
              <w:tab/>
            </w:r>
            <w:r w:rsidRPr="002600A5">
              <w:rPr>
                <w:rStyle w:val="Hyperlink"/>
              </w:rPr>
              <w:t>CILJEVI I OBUHVAT STRATEGIJE UPRAVLJANJA DUGOM</w:t>
            </w:r>
            <w:r>
              <w:rPr>
                <w:webHidden/>
              </w:rPr>
              <w:tab/>
            </w:r>
            <w:r>
              <w:rPr>
                <w:webHidden/>
              </w:rPr>
              <w:fldChar w:fldCharType="begin"/>
            </w:r>
            <w:r>
              <w:rPr>
                <w:webHidden/>
              </w:rPr>
              <w:instrText xml:space="preserve"> PAGEREF _Toc101781025 \h </w:instrText>
            </w:r>
            <w:r>
              <w:rPr>
                <w:webHidden/>
              </w:rPr>
            </w:r>
            <w:r>
              <w:rPr>
                <w:webHidden/>
              </w:rPr>
              <w:fldChar w:fldCharType="separate"/>
            </w:r>
            <w:r>
              <w:rPr>
                <w:webHidden/>
              </w:rPr>
              <w:t>2</w:t>
            </w:r>
            <w:r>
              <w:rPr>
                <w:webHidden/>
              </w:rPr>
              <w:fldChar w:fldCharType="end"/>
            </w:r>
          </w:hyperlink>
        </w:p>
        <w:p w14:paraId="64E9848B" w14:textId="77777777" w:rsidR="0031271E" w:rsidRDefault="0031271E">
          <w:pPr>
            <w:pStyle w:val="TOC2"/>
            <w:rPr>
              <w:rFonts w:eastAsiaTheme="minorEastAsia"/>
              <w:noProof/>
              <w:lang w:val="en-US"/>
            </w:rPr>
          </w:pPr>
          <w:hyperlink w:anchor="_Toc101781026" w:history="1">
            <w:r w:rsidRPr="002600A5">
              <w:rPr>
                <w:rStyle w:val="Hyperlink"/>
                <w:rFonts w:ascii="Arial" w:hAnsi="Arial" w:cs="Arial"/>
                <w:noProof/>
              </w:rPr>
              <w:t>2.1.</w:t>
            </w:r>
            <w:r>
              <w:rPr>
                <w:rFonts w:eastAsiaTheme="minorEastAsia"/>
                <w:noProof/>
                <w:lang w:val="en-US"/>
              </w:rPr>
              <w:tab/>
            </w:r>
            <w:r w:rsidRPr="002600A5">
              <w:rPr>
                <w:rStyle w:val="Hyperlink"/>
                <w:rFonts w:ascii="Arial" w:hAnsi="Arial" w:cs="Arial"/>
                <w:noProof/>
              </w:rPr>
              <w:t>Ciljevi upravljanja dugom</w:t>
            </w:r>
            <w:r>
              <w:rPr>
                <w:noProof/>
                <w:webHidden/>
              </w:rPr>
              <w:tab/>
            </w:r>
            <w:r>
              <w:rPr>
                <w:noProof/>
                <w:webHidden/>
              </w:rPr>
              <w:fldChar w:fldCharType="begin"/>
            </w:r>
            <w:r>
              <w:rPr>
                <w:noProof/>
                <w:webHidden/>
              </w:rPr>
              <w:instrText xml:space="preserve"> PAGEREF _Toc101781026 \h </w:instrText>
            </w:r>
            <w:r>
              <w:rPr>
                <w:noProof/>
                <w:webHidden/>
              </w:rPr>
            </w:r>
            <w:r>
              <w:rPr>
                <w:noProof/>
                <w:webHidden/>
              </w:rPr>
              <w:fldChar w:fldCharType="separate"/>
            </w:r>
            <w:r>
              <w:rPr>
                <w:noProof/>
                <w:webHidden/>
              </w:rPr>
              <w:t>2</w:t>
            </w:r>
            <w:r>
              <w:rPr>
                <w:noProof/>
                <w:webHidden/>
              </w:rPr>
              <w:fldChar w:fldCharType="end"/>
            </w:r>
          </w:hyperlink>
        </w:p>
        <w:p w14:paraId="6D8EB823" w14:textId="77777777" w:rsidR="0031271E" w:rsidRDefault="0031271E">
          <w:pPr>
            <w:pStyle w:val="TOC2"/>
            <w:rPr>
              <w:rFonts w:eastAsiaTheme="minorEastAsia"/>
              <w:noProof/>
              <w:lang w:val="en-US"/>
            </w:rPr>
          </w:pPr>
          <w:hyperlink w:anchor="_Toc101781027" w:history="1">
            <w:r w:rsidRPr="002600A5">
              <w:rPr>
                <w:rStyle w:val="Hyperlink"/>
                <w:rFonts w:ascii="Arial" w:hAnsi="Arial" w:cs="Arial"/>
                <w:noProof/>
              </w:rPr>
              <w:t>2.2.</w:t>
            </w:r>
            <w:r>
              <w:rPr>
                <w:rFonts w:eastAsiaTheme="minorEastAsia"/>
                <w:noProof/>
                <w:lang w:val="en-US"/>
              </w:rPr>
              <w:tab/>
            </w:r>
            <w:r w:rsidRPr="002600A5">
              <w:rPr>
                <w:rStyle w:val="Hyperlink"/>
                <w:rFonts w:ascii="Arial" w:hAnsi="Arial" w:cs="Arial"/>
                <w:noProof/>
              </w:rPr>
              <w:t>Obuhvat Strategije</w:t>
            </w:r>
            <w:r>
              <w:rPr>
                <w:noProof/>
                <w:webHidden/>
              </w:rPr>
              <w:tab/>
            </w:r>
            <w:r>
              <w:rPr>
                <w:noProof/>
                <w:webHidden/>
              </w:rPr>
              <w:fldChar w:fldCharType="begin"/>
            </w:r>
            <w:r>
              <w:rPr>
                <w:noProof/>
                <w:webHidden/>
              </w:rPr>
              <w:instrText xml:space="preserve"> PAGEREF _Toc101781027 \h </w:instrText>
            </w:r>
            <w:r>
              <w:rPr>
                <w:noProof/>
                <w:webHidden/>
              </w:rPr>
            </w:r>
            <w:r>
              <w:rPr>
                <w:noProof/>
                <w:webHidden/>
              </w:rPr>
              <w:fldChar w:fldCharType="separate"/>
            </w:r>
            <w:r>
              <w:rPr>
                <w:noProof/>
                <w:webHidden/>
              </w:rPr>
              <w:t>2</w:t>
            </w:r>
            <w:r>
              <w:rPr>
                <w:noProof/>
                <w:webHidden/>
              </w:rPr>
              <w:fldChar w:fldCharType="end"/>
            </w:r>
          </w:hyperlink>
        </w:p>
        <w:p w14:paraId="173B0948" w14:textId="77777777" w:rsidR="0031271E" w:rsidRDefault="0031271E">
          <w:pPr>
            <w:pStyle w:val="TOC1"/>
            <w:rPr>
              <w:rFonts w:asciiTheme="minorHAnsi" w:eastAsiaTheme="minorEastAsia" w:hAnsiTheme="minorHAnsi" w:cstheme="minorBidi"/>
              <w:sz w:val="22"/>
              <w:szCs w:val="22"/>
              <w:lang w:val="en-US"/>
            </w:rPr>
          </w:pPr>
          <w:hyperlink w:anchor="_Toc101781028" w:history="1">
            <w:r w:rsidRPr="002600A5">
              <w:rPr>
                <w:rStyle w:val="Hyperlink"/>
              </w:rPr>
              <w:t>3.</w:t>
            </w:r>
            <w:r>
              <w:rPr>
                <w:rFonts w:asciiTheme="minorHAnsi" w:eastAsiaTheme="minorEastAsia" w:hAnsiTheme="minorHAnsi" w:cstheme="minorBidi"/>
                <w:sz w:val="22"/>
                <w:szCs w:val="22"/>
                <w:lang w:val="en-US"/>
              </w:rPr>
              <w:tab/>
            </w:r>
            <w:r w:rsidRPr="002600A5">
              <w:rPr>
                <w:rStyle w:val="Hyperlink"/>
              </w:rPr>
              <w:t>PORTFOLIO DUGA VLADE FEDERACIJE BIH</w:t>
            </w:r>
            <w:r>
              <w:rPr>
                <w:webHidden/>
              </w:rPr>
              <w:tab/>
            </w:r>
            <w:r>
              <w:rPr>
                <w:webHidden/>
              </w:rPr>
              <w:fldChar w:fldCharType="begin"/>
            </w:r>
            <w:r>
              <w:rPr>
                <w:webHidden/>
              </w:rPr>
              <w:instrText xml:space="preserve"> PAGEREF _Toc101781028 \h </w:instrText>
            </w:r>
            <w:r>
              <w:rPr>
                <w:webHidden/>
              </w:rPr>
            </w:r>
            <w:r>
              <w:rPr>
                <w:webHidden/>
              </w:rPr>
              <w:fldChar w:fldCharType="separate"/>
            </w:r>
            <w:r>
              <w:rPr>
                <w:webHidden/>
              </w:rPr>
              <w:t>2</w:t>
            </w:r>
            <w:r>
              <w:rPr>
                <w:webHidden/>
              </w:rPr>
              <w:fldChar w:fldCharType="end"/>
            </w:r>
          </w:hyperlink>
        </w:p>
        <w:p w14:paraId="4EDFDEA8" w14:textId="77777777" w:rsidR="0031271E" w:rsidRDefault="0031271E">
          <w:pPr>
            <w:pStyle w:val="TOC2"/>
            <w:rPr>
              <w:rFonts w:eastAsiaTheme="minorEastAsia"/>
              <w:noProof/>
              <w:lang w:val="en-US"/>
            </w:rPr>
          </w:pPr>
          <w:hyperlink w:anchor="_Toc101781029" w:history="1">
            <w:r w:rsidRPr="002600A5">
              <w:rPr>
                <w:rStyle w:val="Hyperlink"/>
                <w:rFonts w:ascii="Arial" w:hAnsi="Arial" w:cs="Arial"/>
                <w:noProof/>
              </w:rPr>
              <w:t>3.1.</w:t>
            </w:r>
            <w:r>
              <w:rPr>
                <w:rFonts w:eastAsiaTheme="minorEastAsia"/>
                <w:noProof/>
                <w:lang w:val="en-US"/>
              </w:rPr>
              <w:tab/>
            </w:r>
            <w:r w:rsidRPr="002600A5">
              <w:rPr>
                <w:rStyle w:val="Hyperlink"/>
                <w:rFonts w:ascii="Arial" w:hAnsi="Arial" w:cs="Arial"/>
                <w:noProof/>
              </w:rPr>
              <w:t>Struktura vanjskog duga Federacije BiH na dan 31.12.2021. godine</w:t>
            </w:r>
            <w:r>
              <w:rPr>
                <w:noProof/>
                <w:webHidden/>
              </w:rPr>
              <w:tab/>
            </w:r>
            <w:r>
              <w:rPr>
                <w:noProof/>
                <w:webHidden/>
              </w:rPr>
              <w:fldChar w:fldCharType="begin"/>
            </w:r>
            <w:r>
              <w:rPr>
                <w:noProof/>
                <w:webHidden/>
              </w:rPr>
              <w:instrText xml:space="preserve"> PAGEREF _Toc101781029 \h </w:instrText>
            </w:r>
            <w:r>
              <w:rPr>
                <w:noProof/>
                <w:webHidden/>
              </w:rPr>
            </w:r>
            <w:r>
              <w:rPr>
                <w:noProof/>
                <w:webHidden/>
              </w:rPr>
              <w:fldChar w:fldCharType="separate"/>
            </w:r>
            <w:r>
              <w:rPr>
                <w:noProof/>
                <w:webHidden/>
              </w:rPr>
              <w:t>3</w:t>
            </w:r>
            <w:r>
              <w:rPr>
                <w:noProof/>
                <w:webHidden/>
              </w:rPr>
              <w:fldChar w:fldCharType="end"/>
            </w:r>
          </w:hyperlink>
        </w:p>
        <w:p w14:paraId="7D6DA227" w14:textId="77777777" w:rsidR="0031271E" w:rsidRDefault="0031271E">
          <w:pPr>
            <w:pStyle w:val="TOC3"/>
            <w:rPr>
              <w:rFonts w:eastAsiaTheme="minorEastAsia"/>
              <w:noProof/>
              <w:lang w:val="en-US"/>
            </w:rPr>
          </w:pPr>
          <w:hyperlink w:anchor="_Toc101781030" w:history="1">
            <w:r w:rsidRPr="002600A5">
              <w:rPr>
                <w:rStyle w:val="Hyperlink"/>
                <w:rFonts w:ascii="Arial" w:hAnsi="Arial" w:cs="Arial"/>
                <w:noProof/>
              </w:rPr>
              <w:t>3.1.1.</w:t>
            </w:r>
            <w:r>
              <w:rPr>
                <w:rFonts w:eastAsiaTheme="minorEastAsia"/>
                <w:noProof/>
                <w:lang w:val="en-US"/>
              </w:rPr>
              <w:tab/>
            </w:r>
            <w:r w:rsidRPr="002600A5">
              <w:rPr>
                <w:rStyle w:val="Hyperlink"/>
                <w:rFonts w:ascii="Arial" w:hAnsi="Arial" w:cs="Arial"/>
                <w:noProof/>
              </w:rPr>
              <w:t>Struktura vanjskog duga Federacije BiH po kreditorima</w:t>
            </w:r>
            <w:r>
              <w:rPr>
                <w:noProof/>
                <w:webHidden/>
              </w:rPr>
              <w:tab/>
            </w:r>
            <w:r>
              <w:rPr>
                <w:noProof/>
                <w:webHidden/>
              </w:rPr>
              <w:fldChar w:fldCharType="begin"/>
            </w:r>
            <w:r>
              <w:rPr>
                <w:noProof/>
                <w:webHidden/>
              </w:rPr>
              <w:instrText xml:space="preserve"> PAGEREF _Toc101781030 \h </w:instrText>
            </w:r>
            <w:r>
              <w:rPr>
                <w:noProof/>
                <w:webHidden/>
              </w:rPr>
            </w:r>
            <w:r>
              <w:rPr>
                <w:noProof/>
                <w:webHidden/>
              </w:rPr>
              <w:fldChar w:fldCharType="separate"/>
            </w:r>
            <w:r>
              <w:rPr>
                <w:noProof/>
                <w:webHidden/>
              </w:rPr>
              <w:t>3</w:t>
            </w:r>
            <w:r>
              <w:rPr>
                <w:noProof/>
                <w:webHidden/>
              </w:rPr>
              <w:fldChar w:fldCharType="end"/>
            </w:r>
          </w:hyperlink>
        </w:p>
        <w:p w14:paraId="71F2AB2D" w14:textId="77777777" w:rsidR="0031271E" w:rsidRDefault="0031271E">
          <w:pPr>
            <w:pStyle w:val="TOC3"/>
            <w:rPr>
              <w:rFonts w:eastAsiaTheme="minorEastAsia"/>
              <w:noProof/>
              <w:lang w:val="en-US"/>
            </w:rPr>
          </w:pPr>
          <w:hyperlink w:anchor="_Toc101781031" w:history="1">
            <w:r w:rsidRPr="002600A5">
              <w:rPr>
                <w:rStyle w:val="Hyperlink"/>
                <w:rFonts w:ascii="Arial" w:hAnsi="Arial" w:cs="Arial"/>
                <w:noProof/>
              </w:rPr>
              <w:t>3.1.2.</w:t>
            </w:r>
            <w:r>
              <w:rPr>
                <w:rFonts w:eastAsiaTheme="minorEastAsia"/>
                <w:noProof/>
                <w:lang w:val="en-US"/>
              </w:rPr>
              <w:tab/>
            </w:r>
            <w:r w:rsidRPr="002600A5">
              <w:rPr>
                <w:rStyle w:val="Hyperlink"/>
                <w:rFonts w:ascii="Arial" w:hAnsi="Arial" w:cs="Arial"/>
                <w:noProof/>
              </w:rPr>
              <w:t>Valutna struktura vanjskog duga Federacije BiH</w:t>
            </w:r>
            <w:r>
              <w:rPr>
                <w:noProof/>
                <w:webHidden/>
              </w:rPr>
              <w:tab/>
            </w:r>
            <w:r>
              <w:rPr>
                <w:noProof/>
                <w:webHidden/>
              </w:rPr>
              <w:fldChar w:fldCharType="begin"/>
            </w:r>
            <w:r>
              <w:rPr>
                <w:noProof/>
                <w:webHidden/>
              </w:rPr>
              <w:instrText xml:space="preserve"> PAGEREF _Toc101781031 \h </w:instrText>
            </w:r>
            <w:r>
              <w:rPr>
                <w:noProof/>
                <w:webHidden/>
              </w:rPr>
            </w:r>
            <w:r>
              <w:rPr>
                <w:noProof/>
                <w:webHidden/>
              </w:rPr>
              <w:fldChar w:fldCharType="separate"/>
            </w:r>
            <w:r>
              <w:rPr>
                <w:noProof/>
                <w:webHidden/>
              </w:rPr>
              <w:t>4</w:t>
            </w:r>
            <w:r>
              <w:rPr>
                <w:noProof/>
                <w:webHidden/>
              </w:rPr>
              <w:fldChar w:fldCharType="end"/>
            </w:r>
          </w:hyperlink>
        </w:p>
        <w:p w14:paraId="059DC4AD" w14:textId="77777777" w:rsidR="0031271E" w:rsidRDefault="0031271E">
          <w:pPr>
            <w:pStyle w:val="TOC3"/>
            <w:rPr>
              <w:rFonts w:eastAsiaTheme="minorEastAsia"/>
              <w:noProof/>
              <w:lang w:val="en-US"/>
            </w:rPr>
          </w:pPr>
          <w:hyperlink w:anchor="_Toc101781032" w:history="1">
            <w:r w:rsidRPr="002600A5">
              <w:rPr>
                <w:rStyle w:val="Hyperlink"/>
                <w:rFonts w:ascii="Arial" w:hAnsi="Arial" w:cs="Arial"/>
                <w:noProof/>
              </w:rPr>
              <w:t>3.1.3.</w:t>
            </w:r>
            <w:r>
              <w:rPr>
                <w:rFonts w:eastAsiaTheme="minorEastAsia"/>
                <w:noProof/>
                <w:lang w:val="en-US"/>
              </w:rPr>
              <w:tab/>
            </w:r>
            <w:r w:rsidRPr="002600A5">
              <w:rPr>
                <w:rStyle w:val="Hyperlink"/>
                <w:rFonts w:ascii="Arial" w:hAnsi="Arial" w:cs="Arial"/>
                <w:noProof/>
              </w:rPr>
              <w:t>Kamatna struktura vanjskog duga Federacije BiH</w:t>
            </w:r>
            <w:r>
              <w:rPr>
                <w:noProof/>
                <w:webHidden/>
              </w:rPr>
              <w:tab/>
            </w:r>
            <w:r>
              <w:rPr>
                <w:noProof/>
                <w:webHidden/>
              </w:rPr>
              <w:fldChar w:fldCharType="begin"/>
            </w:r>
            <w:r>
              <w:rPr>
                <w:noProof/>
                <w:webHidden/>
              </w:rPr>
              <w:instrText xml:space="preserve"> PAGEREF _Toc101781032 \h </w:instrText>
            </w:r>
            <w:r>
              <w:rPr>
                <w:noProof/>
                <w:webHidden/>
              </w:rPr>
            </w:r>
            <w:r>
              <w:rPr>
                <w:noProof/>
                <w:webHidden/>
              </w:rPr>
              <w:fldChar w:fldCharType="separate"/>
            </w:r>
            <w:r>
              <w:rPr>
                <w:noProof/>
                <w:webHidden/>
              </w:rPr>
              <w:t>4</w:t>
            </w:r>
            <w:r>
              <w:rPr>
                <w:noProof/>
                <w:webHidden/>
              </w:rPr>
              <w:fldChar w:fldCharType="end"/>
            </w:r>
          </w:hyperlink>
        </w:p>
        <w:p w14:paraId="108EE6E9" w14:textId="77777777" w:rsidR="0031271E" w:rsidRDefault="0031271E">
          <w:pPr>
            <w:pStyle w:val="TOC2"/>
            <w:rPr>
              <w:rFonts w:eastAsiaTheme="minorEastAsia"/>
              <w:noProof/>
              <w:lang w:val="en-US"/>
            </w:rPr>
          </w:pPr>
          <w:hyperlink w:anchor="_Toc101781033" w:history="1">
            <w:r w:rsidRPr="002600A5">
              <w:rPr>
                <w:rStyle w:val="Hyperlink"/>
                <w:rFonts w:ascii="Arial" w:hAnsi="Arial" w:cs="Arial"/>
                <w:noProof/>
              </w:rPr>
              <w:t>3.2.</w:t>
            </w:r>
            <w:r>
              <w:rPr>
                <w:rFonts w:eastAsiaTheme="minorEastAsia"/>
                <w:noProof/>
                <w:lang w:val="en-US"/>
              </w:rPr>
              <w:tab/>
            </w:r>
            <w:r w:rsidRPr="002600A5">
              <w:rPr>
                <w:rStyle w:val="Hyperlink"/>
                <w:rFonts w:ascii="Arial" w:hAnsi="Arial" w:cs="Arial"/>
                <w:noProof/>
              </w:rPr>
              <w:t>Struktura unutrašnjeg duga Federacije BiH na dan 31.12.2021. godine</w:t>
            </w:r>
            <w:r>
              <w:rPr>
                <w:noProof/>
                <w:webHidden/>
              </w:rPr>
              <w:tab/>
            </w:r>
            <w:r>
              <w:rPr>
                <w:noProof/>
                <w:webHidden/>
              </w:rPr>
              <w:fldChar w:fldCharType="begin"/>
            </w:r>
            <w:r>
              <w:rPr>
                <w:noProof/>
                <w:webHidden/>
              </w:rPr>
              <w:instrText xml:space="preserve"> PAGEREF _Toc101781033 \h </w:instrText>
            </w:r>
            <w:r>
              <w:rPr>
                <w:noProof/>
                <w:webHidden/>
              </w:rPr>
            </w:r>
            <w:r>
              <w:rPr>
                <w:noProof/>
                <w:webHidden/>
              </w:rPr>
              <w:fldChar w:fldCharType="separate"/>
            </w:r>
            <w:r>
              <w:rPr>
                <w:noProof/>
                <w:webHidden/>
              </w:rPr>
              <w:t>5</w:t>
            </w:r>
            <w:r>
              <w:rPr>
                <w:noProof/>
                <w:webHidden/>
              </w:rPr>
              <w:fldChar w:fldCharType="end"/>
            </w:r>
          </w:hyperlink>
        </w:p>
        <w:p w14:paraId="553D25C0" w14:textId="77777777" w:rsidR="0031271E" w:rsidRDefault="0031271E">
          <w:pPr>
            <w:pStyle w:val="TOC3"/>
            <w:rPr>
              <w:rFonts w:eastAsiaTheme="minorEastAsia"/>
              <w:noProof/>
              <w:lang w:val="en-US"/>
            </w:rPr>
          </w:pPr>
          <w:hyperlink w:anchor="_Toc101781034" w:history="1">
            <w:r w:rsidRPr="002600A5">
              <w:rPr>
                <w:rStyle w:val="Hyperlink"/>
                <w:rFonts w:ascii="Arial" w:hAnsi="Arial" w:cs="Arial"/>
                <w:noProof/>
              </w:rPr>
              <w:t>3.2.1.</w:t>
            </w:r>
            <w:r>
              <w:rPr>
                <w:rFonts w:eastAsiaTheme="minorEastAsia"/>
                <w:noProof/>
                <w:lang w:val="en-US"/>
              </w:rPr>
              <w:tab/>
            </w:r>
            <w:r w:rsidRPr="002600A5">
              <w:rPr>
                <w:rStyle w:val="Hyperlink"/>
                <w:rFonts w:ascii="Arial" w:hAnsi="Arial" w:cs="Arial"/>
                <w:noProof/>
              </w:rPr>
              <w:t>Kamatna struktura unutrašnjeg duga Federacije BiH</w:t>
            </w:r>
            <w:r>
              <w:rPr>
                <w:noProof/>
                <w:webHidden/>
              </w:rPr>
              <w:tab/>
            </w:r>
            <w:r>
              <w:rPr>
                <w:noProof/>
                <w:webHidden/>
              </w:rPr>
              <w:fldChar w:fldCharType="begin"/>
            </w:r>
            <w:r>
              <w:rPr>
                <w:noProof/>
                <w:webHidden/>
              </w:rPr>
              <w:instrText xml:space="preserve"> PAGEREF _Toc101781034 \h </w:instrText>
            </w:r>
            <w:r>
              <w:rPr>
                <w:noProof/>
                <w:webHidden/>
              </w:rPr>
            </w:r>
            <w:r>
              <w:rPr>
                <w:noProof/>
                <w:webHidden/>
              </w:rPr>
              <w:fldChar w:fldCharType="separate"/>
            </w:r>
            <w:r>
              <w:rPr>
                <w:noProof/>
                <w:webHidden/>
              </w:rPr>
              <w:t>5</w:t>
            </w:r>
            <w:r>
              <w:rPr>
                <w:noProof/>
                <w:webHidden/>
              </w:rPr>
              <w:fldChar w:fldCharType="end"/>
            </w:r>
          </w:hyperlink>
        </w:p>
        <w:p w14:paraId="25DE1DEE" w14:textId="77777777" w:rsidR="0031271E" w:rsidRDefault="0031271E">
          <w:pPr>
            <w:pStyle w:val="TOC1"/>
            <w:rPr>
              <w:rFonts w:asciiTheme="minorHAnsi" w:eastAsiaTheme="minorEastAsia" w:hAnsiTheme="minorHAnsi" w:cstheme="minorBidi"/>
              <w:sz w:val="22"/>
              <w:szCs w:val="22"/>
              <w:lang w:val="en-US"/>
            </w:rPr>
          </w:pPr>
          <w:hyperlink w:anchor="_Toc101781035" w:history="1">
            <w:r w:rsidRPr="002600A5">
              <w:rPr>
                <w:rStyle w:val="Hyperlink"/>
              </w:rPr>
              <w:t>4.</w:t>
            </w:r>
            <w:r>
              <w:rPr>
                <w:rFonts w:asciiTheme="minorHAnsi" w:eastAsiaTheme="minorEastAsia" w:hAnsiTheme="minorHAnsi" w:cstheme="minorBidi"/>
                <w:sz w:val="22"/>
                <w:szCs w:val="22"/>
                <w:lang w:val="en-US"/>
              </w:rPr>
              <w:tab/>
            </w:r>
            <w:r w:rsidRPr="002600A5">
              <w:rPr>
                <w:rStyle w:val="Hyperlink"/>
              </w:rPr>
              <w:t>RIZICI PORTFOLIJA DUGA FEDERACIJE BiH</w:t>
            </w:r>
            <w:r>
              <w:rPr>
                <w:webHidden/>
              </w:rPr>
              <w:tab/>
            </w:r>
            <w:r>
              <w:rPr>
                <w:webHidden/>
              </w:rPr>
              <w:fldChar w:fldCharType="begin"/>
            </w:r>
            <w:r>
              <w:rPr>
                <w:webHidden/>
              </w:rPr>
              <w:instrText xml:space="preserve"> PAGEREF _Toc101781035 \h </w:instrText>
            </w:r>
            <w:r>
              <w:rPr>
                <w:webHidden/>
              </w:rPr>
            </w:r>
            <w:r>
              <w:rPr>
                <w:webHidden/>
              </w:rPr>
              <w:fldChar w:fldCharType="separate"/>
            </w:r>
            <w:r>
              <w:rPr>
                <w:webHidden/>
              </w:rPr>
              <w:t>5</w:t>
            </w:r>
            <w:r>
              <w:rPr>
                <w:webHidden/>
              </w:rPr>
              <w:fldChar w:fldCharType="end"/>
            </w:r>
          </w:hyperlink>
        </w:p>
        <w:p w14:paraId="552EEB82" w14:textId="77777777" w:rsidR="0031271E" w:rsidRDefault="0031271E">
          <w:pPr>
            <w:pStyle w:val="TOC2"/>
            <w:rPr>
              <w:rFonts w:eastAsiaTheme="minorEastAsia"/>
              <w:noProof/>
              <w:lang w:val="en-US"/>
            </w:rPr>
          </w:pPr>
          <w:hyperlink w:anchor="_Toc101781036" w:history="1">
            <w:r w:rsidRPr="002600A5">
              <w:rPr>
                <w:rStyle w:val="Hyperlink"/>
                <w:rFonts w:ascii="Arial" w:hAnsi="Arial" w:cs="Arial"/>
                <w:noProof/>
              </w:rPr>
              <w:t>4.1.</w:t>
            </w:r>
            <w:r>
              <w:rPr>
                <w:rFonts w:eastAsiaTheme="minorEastAsia"/>
                <w:noProof/>
                <w:lang w:val="en-US"/>
              </w:rPr>
              <w:tab/>
            </w:r>
            <w:r w:rsidRPr="002600A5">
              <w:rPr>
                <w:rStyle w:val="Hyperlink"/>
                <w:rFonts w:ascii="Arial" w:hAnsi="Arial" w:cs="Arial"/>
                <w:noProof/>
              </w:rPr>
              <w:t>Karakteristike troškova i rizika portfolija duga Federacije BiH</w:t>
            </w:r>
            <w:r>
              <w:rPr>
                <w:noProof/>
                <w:webHidden/>
              </w:rPr>
              <w:tab/>
            </w:r>
            <w:r>
              <w:rPr>
                <w:noProof/>
                <w:webHidden/>
              </w:rPr>
              <w:fldChar w:fldCharType="begin"/>
            </w:r>
            <w:r>
              <w:rPr>
                <w:noProof/>
                <w:webHidden/>
              </w:rPr>
              <w:instrText xml:space="preserve"> PAGEREF _Toc101781036 \h </w:instrText>
            </w:r>
            <w:r>
              <w:rPr>
                <w:noProof/>
                <w:webHidden/>
              </w:rPr>
            </w:r>
            <w:r>
              <w:rPr>
                <w:noProof/>
                <w:webHidden/>
              </w:rPr>
              <w:fldChar w:fldCharType="separate"/>
            </w:r>
            <w:r>
              <w:rPr>
                <w:noProof/>
                <w:webHidden/>
              </w:rPr>
              <w:t>5</w:t>
            </w:r>
            <w:r>
              <w:rPr>
                <w:noProof/>
                <w:webHidden/>
              </w:rPr>
              <w:fldChar w:fldCharType="end"/>
            </w:r>
          </w:hyperlink>
        </w:p>
        <w:p w14:paraId="040DAEF9" w14:textId="77777777" w:rsidR="0031271E" w:rsidRDefault="0031271E">
          <w:pPr>
            <w:pStyle w:val="TOC2"/>
            <w:rPr>
              <w:rFonts w:eastAsiaTheme="minorEastAsia"/>
              <w:noProof/>
              <w:lang w:val="en-US"/>
            </w:rPr>
          </w:pPr>
          <w:hyperlink w:anchor="_Toc101781037" w:history="1">
            <w:r w:rsidRPr="002600A5">
              <w:rPr>
                <w:rStyle w:val="Hyperlink"/>
                <w:rFonts w:ascii="Arial" w:hAnsi="Arial" w:cs="Arial"/>
                <w:noProof/>
              </w:rPr>
              <w:t>4.2</w:t>
            </w:r>
            <w:r>
              <w:rPr>
                <w:rFonts w:eastAsiaTheme="minorEastAsia"/>
                <w:noProof/>
                <w:lang w:val="en-US"/>
              </w:rPr>
              <w:tab/>
            </w:r>
            <w:r w:rsidRPr="002600A5">
              <w:rPr>
                <w:rStyle w:val="Hyperlink"/>
                <w:rFonts w:ascii="Arial" w:hAnsi="Arial" w:cs="Arial"/>
                <w:noProof/>
              </w:rPr>
              <w:t>Rizik refinansiranja</w:t>
            </w:r>
            <w:r>
              <w:rPr>
                <w:noProof/>
                <w:webHidden/>
              </w:rPr>
              <w:tab/>
            </w:r>
            <w:r>
              <w:rPr>
                <w:noProof/>
                <w:webHidden/>
              </w:rPr>
              <w:fldChar w:fldCharType="begin"/>
            </w:r>
            <w:r>
              <w:rPr>
                <w:noProof/>
                <w:webHidden/>
              </w:rPr>
              <w:instrText xml:space="preserve"> PAGEREF _Toc101781037 \h </w:instrText>
            </w:r>
            <w:r>
              <w:rPr>
                <w:noProof/>
                <w:webHidden/>
              </w:rPr>
            </w:r>
            <w:r>
              <w:rPr>
                <w:noProof/>
                <w:webHidden/>
              </w:rPr>
              <w:fldChar w:fldCharType="separate"/>
            </w:r>
            <w:r>
              <w:rPr>
                <w:noProof/>
                <w:webHidden/>
              </w:rPr>
              <w:t>6</w:t>
            </w:r>
            <w:r>
              <w:rPr>
                <w:noProof/>
                <w:webHidden/>
              </w:rPr>
              <w:fldChar w:fldCharType="end"/>
            </w:r>
          </w:hyperlink>
        </w:p>
        <w:p w14:paraId="1BFE4AA5" w14:textId="77777777" w:rsidR="0031271E" w:rsidRDefault="0031271E">
          <w:pPr>
            <w:pStyle w:val="TOC2"/>
            <w:rPr>
              <w:rFonts w:eastAsiaTheme="minorEastAsia"/>
              <w:noProof/>
              <w:lang w:val="en-US"/>
            </w:rPr>
          </w:pPr>
          <w:hyperlink w:anchor="_Toc101781038" w:history="1">
            <w:r w:rsidRPr="002600A5">
              <w:rPr>
                <w:rStyle w:val="Hyperlink"/>
                <w:rFonts w:ascii="Arial" w:hAnsi="Arial" w:cs="Arial"/>
                <w:noProof/>
              </w:rPr>
              <w:t>4.3.</w:t>
            </w:r>
            <w:r>
              <w:rPr>
                <w:rFonts w:eastAsiaTheme="minorEastAsia"/>
                <w:noProof/>
                <w:lang w:val="en-US"/>
              </w:rPr>
              <w:tab/>
            </w:r>
            <w:r w:rsidRPr="002600A5">
              <w:rPr>
                <w:rStyle w:val="Hyperlink"/>
                <w:rFonts w:ascii="Arial" w:hAnsi="Arial" w:cs="Arial"/>
                <w:noProof/>
              </w:rPr>
              <w:t>Kamatni rizik</w:t>
            </w:r>
            <w:r>
              <w:rPr>
                <w:noProof/>
                <w:webHidden/>
              </w:rPr>
              <w:tab/>
            </w:r>
            <w:r>
              <w:rPr>
                <w:noProof/>
                <w:webHidden/>
              </w:rPr>
              <w:fldChar w:fldCharType="begin"/>
            </w:r>
            <w:r>
              <w:rPr>
                <w:noProof/>
                <w:webHidden/>
              </w:rPr>
              <w:instrText xml:space="preserve"> PAGEREF _Toc101781038 \h </w:instrText>
            </w:r>
            <w:r>
              <w:rPr>
                <w:noProof/>
                <w:webHidden/>
              </w:rPr>
            </w:r>
            <w:r>
              <w:rPr>
                <w:noProof/>
                <w:webHidden/>
              </w:rPr>
              <w:fldChar w:fldCharType="separate"/>
            </w:r>
            <w:r>
              <w:rPr>
                <w:noProof/>
                <w:webHidden/>
              </w:rPr>
              <w:t>7</w:t>
            </w:r>
            <w:r>
              <w:rPr>
                <w:noProof/>
                <w:webHidden/>
              </w:rPr>
              <w:fldChar w:fldCharType="end"/>
            </w:r>
          </w:hyperlink>
        </w:p>
        <w:p w14:paraId="05825AA9" w14:textId="77777777" w:rsidR="0031271E" w:rsidRDefault="0031271E">
          <w:pPr>
            <w:pStyle w:val="TOC2"/>
            <w:rPr>
              <w:rFonts w:eastAsiaTheme="minorEastAsia"/>
              <w:noProof/>
              <w:lang w:val="en-US"/>
            </w:rPr>
          </w:pPr>
          <w:hyperlink w:anchor="_Toc101781039" w:history="1">
            <w:r w:rsidRPr="002600A5">
              <w:rPr>
                <w:rStyle w:val="Hyperlink"/>
                <w:rFonts w:ascii="Arial" w:hAnsi="Arial" w:cs="Arial"/>
                <w:noProof/>
              </w:rPr>
              <w:t>4.4.</w:t>
            </w:r>
            <w:r>
              <w:rPr>
                <w:rFonts w:eastAsiaTheme="minorEastAsia"/>
                <w:noProof/>
                <w:lang w:val="en-US"/>
              </w:rPr>
              <w:tab/>
            </w:r>
            <w:r w:rsidRPr="002600A5">
              <w:rPr>
                <w:rStyle w:val="Hyperlink"/>
                <w:rFonts w:ascii="Arial" w:hAnsi="Arial" w:cs="Arial"/>
                <w:noProof/>
              </w:rPr>
              <w:t>Valutni rizik portfolija duga Federacije BiH</w:t>
            </w:r>
            <w:r>
              <w:rPr>
                <w:noProof/>
                <w:webHidden/>
              </w:rPr>
              <w:tab/>
            </w:r>
            <w:r>
              <w:rPr>
                <w:noProof/>
                <w:webHidden/>
              </w:rPr>
              <w:fldChar w:fldCharType="begin"/>
            </w:r>
            <w:r>
              <w:rPr>
                <w:noProof/>
                <w:webHidden/>
              </w:rPr>
              <w:instrText xml:space="preserve"> PAGEREF _Toc101781039 \h </w:instrText>
            </w:r>
            <w:r>
              <w:rPr>
                <w:noProof/>
                <w:webHidden/>
              </w:rPr>
            </w:r>
            <w:r>
              <w:rPr>
                <w:noProof/>
                <w:webHidden/>
              </w:rPr>
              <w:fldChar w:fldCharType="separate"/>
            </w:r>
            <w:r>
              <w:rPr>
                <w:noProof/>
                <w:webHidden/>
              </w:rPr>
              <w:t>7</w:t>
            </w:r>
            <w:r>
              <w:rPr>
                <w:noProof/>
                <w:webHidden/>
              </w:rPr>
              <w:fldChar w:fldCharType="end"/>
            </w:r>
          </w:hyperlink>
        </w:p>
        <w:p w14:paraId="74DCBA24" w14:textId="77777777" w:rsidR="0031271E" w:rsidRDefault="0031271E">
          <w:pPr>
            <w:pStyle w:val="TOC2"/>
            <w:rPr>
              <w:rFonts w:eastAsiaTheme="minorEastAsia"/>
              <w:noProof/>
              <w:lang w:val="en-US"/>
            </w:rPr>
          </w:pPr>
          <w:hyperlink w:anchor="_Toc101781040" w:history="1">
            <w:r w:rsidRPr="002600A5">
              <w:rPr>
                <w:rStyle w:val="Hyperlink"/>
                <w:rFonts w:ascii="Arial" w:hAnsi="Arial" w:cs="Arial"/>
                <w:noProof/>
              </w:rPr>
              <w:t>4.5.</w:t>
            </w:r>
            <w:r>
              <w:rPr>
                <w:rFonts w:eastAsiaTheme="minorEastAsia"/>
                <w:noProof/>
                <w:lang w:val="en-US"/>
              </w:rPr>
              <w:tab/>
            </w:r>
            <w:r w:rsidRPr="002600A5">
              <w:rPr>
                <w:rStyle w:val="Hyperlink"/>
                <w:rFonts w:ascii="Arial" w:hAnsi="Arial" w:cs="Arial"/>
                <w:noProof/>
              </w:rPr>
              <w:t>Potencijalne obaveze</w:t>
            </w:r>
            <w:r>
              <w:rPr>
                <w:noProof/>
                <w:webHidden/>
              </w:rPr>
              <w:tab/>
            </w:r>
            <w:r>
              <w:rPr>
                <w:noProof/>
                <w:webHidden/>
              </w:rPr>
              <w:fldChar w:fldCharType="begin"/>
            </w:r>
            <w:r>
              <w:rPr>
                <w:noProof/>
                <w:webHidden/>
              </w:rPr>
              <w:instrText xml:space="preserve"> PAGEREF _Toc101781040 \h </w:instrText>
            </w:r>
            <w:r>
              <w:rPr>
                <w:noProof/>
                <w:webHidden/>
              </w:rPr>
            </w:r>
            <w:r>
              <w:rPr>
                <w:noProof/>
                <w:webHidden/>
              </w:rPr>
              <w:fldChar w:fldCharType="separate"/>
            </w:r>
            <w:r>
              <w:rPr>
                <w:noProof/>
                <w:webHidden/>
              </w:rPr>
              <w:t>8</w:t>
            </w:r>
            <w:r>
              <w:rPr>
                <w:noProof/>
                <w:webHidden/>
              </w:rPr>
              <w:fldChar w:fldCharType="end"/>
            </w:r>
          </w:hyperlink>
        </w:p>
        <w:p w14:paraId="52DDF27C" w14:textId="77777777" w:rsidR="0031271E" w:rsidRDefault="0031271E">
          <w:pPr>
            <w:pStyle w:val="TOC3"/>
            <w:rPr>
              <w:rFonts w:eastAsiaTheme="minorEastAsia"/>
              <w:noProof/>
              <w:lang w:val="en-US"/>
            </w:rPr>
          </w:pPr>
          <w:hyperlink w:anchor="_Toc101781041" w:history="1">
            <w:r w:rsidRPr="002600A5">
              <w:rPr>
                <w:rStyle w:val="Hyperlink"/>
                <w:rFonts w:ascii="Arial" w:hAnsi="Arial" w:cs="Arial"/>
                <w:noProof/>
              </w:rPr>
              <w:t>4.5.1.</w:t>
            </w:r>
            <w:r>
              <w:rPr>
                <w:rFonts w:eastAsiaTheme="minorEastAsia"/>
                <w:noProof/>
                <w:lang w:val="en-US"/>
              </w:rPr>
              <w:tab/>
            </w:r>
            <w:r w:rsidRPr="002600A5">
              <w:rPr>
                <w:rStyle w:val="Hyperlink"/>
                <w:rFonts w:ascii="Arial" w:hAnsi="Arial" w:cs="Arial"/>
                <w:noProof/>
              </w:rPr>
              <w:t>Garancije</w:t>
            </w:r>
            <w:r>
              <w:rPr>
                <w:noProof/>
                <w:webHidden/>
              </w:rPr>
              <w:tab/>
            </w:r>
            <w:r>
              <w:rPr>
                <w:noProof/>
                <w:webHidden/>
              </w:rPr>
              <w:fldChar w:fldCharType="begin"/>
            </w:r>
            <w:r>
              <w:rPr>
                <w:noProof/>
                <w:webHidden/>
              </w:rPr>
              <w:instrText xml:space="preserve"> PAGEREF _Toc101781041 \h </w:instrText>
            </w:r>
            <w:r>
              <w:rPr>
                <w:noProof/>
                <w:webHidden/>
              </w:rPr>
            </w:r>
            <w:r>
              <w:rPr>
                <w:noProof/>
                <w:webHidden/>
              </w:rPr>
              <w:fldChar w:fldCharType="separate"/>
            </w:r>
            <w:r>
              <w:rPr>
                <w:noProof/>
                <w:webHidden/>
              </w:rPr>
              <w:t>8</w:t>
            </w:r>
            <w:r>
              <w:rPr>
                <w:noProof/>
                <w:webHidden/>
              </w:rPr>
              <w:fldChar w:fldCharType="end"/>
            </w:r>
          </w:hyperlink>
        </w:p>
        <w:p w14:paraId="27AC5F2F" w14:textId="77777777" w:rsidR="0031271E" w:rsidRDefault="0031271E">
          <w:pPr>
            <w:pStyle w:val="TOC3"/>
            <w:rPr>
              <w:rFonts w:eastAsiaTheme="minorEastAsia"/>
              <w:noProof/>
              <w:lang w:val="en-US"/>
            </w:rPr>
          </w:pPr>
          <w:hyperlink w:anchor="_Toc101781042" w:history="1">
            <w:r w:rsidRPr="002600A5">
              <w:rPr>
                <w:rStyle w:val="Hyperlink"/>
                <w:rFonts w:ascii="Arial" w:hAnsi="Arial" w:cs="Arial"/>
                <w:noProof/>
              </w:rPr>
              <w:t>4.5.2.</w:t>
            </w:r>
            <w:r>
              <w:rPr>
                <w:rFonts w:eastAsiaTheme="minorEastAsia"/>
                <w:noProof/>
                <w:lang w:val="en-US"/>
              </w:rPr>
              <w:tab/>
            </w:r>
            <w:r w:rsidRPr="002600A5">
              <w:rPr>
                <w:rStyle w:val="Hyperlink"/>
                <w:rFonts w:ascii="Arial" w:hAnsi="Arial" w:cs="Arial"/>
                <w:noProof/>
              </w:rPr>
              <w:t>Preuzimanje obaveza krajnjih korisnika</w:t>
            </w:r>
            <w:r>
              <w:rPr>
                <w:noProof/>
                <w:webHidden/>
              </w:rPr>
              <w:tab/>
            </w:r>
            <w:r>
              <w:rPr>
                <w:noProof/>
                <w:webHidden/>
              </w:rPr>
              <w:fldChar w:fldCharType="begin"/>
            </w:r>
            <w:r>
              <w:rPr>
                <w:noProof/>
                <w:webHidden/>
              </w:rPr>
              <w:instrText xml:space="preserve"> PAGEREF _Toc101781042 \h </w:instrText>
            </w:r>
            <w:r>
              <w:rPr>
                <w:noProof/>
                <w:webHidden/>
              </w:rPr>
            </w:r>
            <w:r>
              <w:rPr>
                <w:noProof/>
                <w:webHidden/>
              </w:rPr>
              <w:fldChar w:fldCharType="separate"/>
            </w:r>
            <w:r>
              <w:rPr>
                <w:noProof/>
                <w:webHidden/>
              </w:rPr>
              <w:t>8</w:t>
            </w:r>
            <w:r>
              <w:rPr>
                <w:noProof/>
                <w:webHidden/>
              </w:rPr>
              <w:fldChar w:fldCharType="end"/>
            </w:r>
          </w:hyperlink>
        </w:p>
        <w:p w14:paraId="1ACC4347" w14:textId="77777777" w:rsidR="0031271E" w:rsidRDefault="0031271E">
          <w:pPr>
            <w:pStyle w:val="TOC1"/>
            <w:rPr>
              <w:rFonts w:asciiTheme="minorHAnsi" w:eastAsiaTheme="minorEastAsia" w:hAnsiTheme="minorHAnsi" w:cstheme="minorBidi"/>
              <w:sz w:val="22"/>
              <w:szCs w:val="22"/>
              <w:lang w:val="en-US"/>
            </w:rPr>
          </w:pPr>
          <w:hyperlink w:anchor="_Toc101781043" w:history="1">
            <w:r w:rsidRPr="002600A5">
              <w:rPr>
                <w:rStyle w:val="Hyperlink"/>
              </w:rPr>
              <w:t>5.</w:t>
            </w:r>
            <w:r>
              <w:rPr>
                <w:rFonts w:asciiTheme="minorHAnsi" w:eastAsiaTheme="minorEastAsia" w:hAnsiTheme="minorHAnsi" w:cstheme="minorBidi"/>
                <w:sz w:val="22"/>
                <w:szCs w:val="22"/>
                <w:lang w:val="en-US"/>
              </w:rPr>
              <w:tab/>
            </w:r>
            <w:r w:rsidRPr="002600A5">
              <w:rPr>
                <w:rStyle w:val="Hyperlink"/>
              </w:rPr>
              <w:t>MAKROEKONOMSKI OKVIR</w:t>
            </w:r>
            <w:r>
              <w:rPr>
                <w:webHidden/>
              </w:rPr>
              <w:tab/>
            </w:r>
            <w:r>
              <w:rPr>
                <w:webHidden/>
              </w:rPr>
              <w:fldChar w:fldCharType="begin"/>
            </w:r>
            <w:r>
              <w:rPr>
                <w:webHidden/>
              </w:rPr>
              <w:instrText xml:space="preserve"> PAGEREF _Toc101781043 \h </w:instrText>
            </w:r>
            <w:r>
              <w:rPr>
                <w:webHidden/>
              </w:rPr>
            </w:r>
            <w:r>
              <w:rPr>
                <w:webHidden/>
              </w:rPr>
              <w:fldChar w:fldCharType="separate"/>
            </w:r>
            <w:r>
              <w:rPr>
                <w:webHidden/>
              </w:rPr>
              <w:t>8</w:t>
            </w:r>
            <w:r>
              <w:rPr>
                <w:webHidden/>
              </w:rPr>
              <w:fldChar w:fldCharType="end"/>
            </w:r>
          </w:hyperlink>
        </w:p>
        <w:p w14:paraId="293DACEC" w14:textId="77777777" w:rsidR="0031271E" w:rsidRDefault="0031271E">
          <w:pPr>
            <w:pStyle w:val="TOC1"/>
            <w:rPr>
              <w:rFonts w:asciiTheme="minorHAnsi" w:eastAsiaTheme="minorEastAsia" w:hAnsiTheme="minorHAnsi" w:cstheme="minorBidi"/>
              <w:sz w:val="22"/>
              <w:szCs w:val="22"/>
              <w:lang w:val="en-US"/>
            </w:rPr>
          </w:pPr>
          <w:hyperlink w:anchor="_Toc101781044" w:history="1">
            <w:r w:rsidRPr="002600A5">
              <w:rPr>
                <w:rStyle w:val="Hyperlink"/>
              </w:rPr>
              <w:t>6.</w:t>
            </w:r>
            <w:r>
              <w:rPr>
                <w:rFonts w:asciiTheme="minorHAnsi" w:eastAsiaTheme="minorEastAsia" w:hAnsiTheme="minorHAnsi" w:cstheme="minorBidi"/>
                <w:sz w:val="22"/>
                <w:szCs w:val="22"/>
                <w:lang w:val="en-US"/>
              </w:rPr>
              <w:tab/>
            </w:r>
            <w:r w:rsidRPr="002600A5">
              <w:rPr>
                <w:rStyle w:val="Hyperlink"/>
              </w:rPr>
              <w:t>IZVORI  FINANSIRANJA</w:t>
            </w:r>
            <w:r>
              <w:rPr>
                <w:webHidden/>
              </w:rPr>
              <w:tab/>
            </w:r>
            <w:r>
              <w:rPr>
                <w:webHidden/>
              </w:rPr>
              <w:fldChar w:fldCharType="begin"/>
            </w:r>
            <w:r>
              <w:rPr>
                <w:webHidden/>
              </w:rPr>
              <w:instrText xml:space="preserve"> PAGEREF _Toc101781044 \h </w:instrText>
            </w:r>
            <w:r>
              <w:rPr>
                <w:webHidden/>
              </w:rPr>
            </w:r>
            <w:r>
              <w:rPr>
                <w:webHidden/>
              </w:rPr>
              <w:fldChar w:fldCharType="separate"/>
            </w:r>
            <w:r>
              <w:rPr>
                <w:webHidden/>
              </w:rPr>
              <w:t>11</w:t>
            </w:r>
            <w:r>
              <w:rPr>
                <w:webHidden/>
              </w:rPr>
              <w:fldChar w:fldCharType="end"/>
            </w:r>
          </w:hyperlink>
        </w:p>
        <w:p w14:paraId="3E1FA111" w14:textId="77777777" w:rsidR="0031271E" w:rsidRDefault="0031271E">
          <w:pPr>
            <w:pStyle w:val="TOC3"/>
            <w:rPr>
              <w:rFonts w:eastAsiaTheme="minorEastAsia"/>
              <w:noProof/>
              <w:lang w:val="en-US"/>
            </w:rPr>
          </w:pPr>
          <w:hyperlink w:anchor="_Toc101781045" w:history="1">
            <w:r w:rsidRPr="002600A5">
              <w:rPr>
                <w:rStyle w:val="Hyperlink"/>
                <w:rFonts w:ascii="Arial" w:hAnsi="Arial" w:cs="Arial"/>
                <w:noProof/>
              </w:rPr>
              <w:t>6.1.</w:t>
            </w:r>
            <w:r>
              <w:rPr>
                <w:rFonts w:eastAsiaTheme="minorEastAsia"/>
                <w:noProof/>
                <w:lang w:val="en-US"/>
              </w:rPr>
              <w:tab/>
            </w:r>
            <w:r w:rsidRPr="002600A5">
              <w:rPr>
                <w:rStyle w:val="Hyperlink"/>
                <w:rFonts w:ascii="Arial" w:hAnsi="Arial" w:cs="Arial"/>
                <w:noProof/>
              </w:rPr>
              <w:t>Vanjski izvori finansiranja</w:t>
            </w:r>
            <w:r>
              <w:rPr>
                <w:noProof/>
                <w:webHidden/>
              </w:rPr>
              <w:tab/>
            </w:r>
            <w:r>
              <w:rPr>
                <w:noProof/>
                <w:webHidden/>
              </w:rPr>
              <w:fldChar w:fldCharType="begin"/>
            </w:r>
            <w:r>
              <w:rPr>
                <w:noProof/>
                <w:webHidden/>
              </w:rPr>
              <w:instrText xml:space="preserve"> PAGEREF _Toc101781045 \h </w:instrText>
            </w:r>
            <w:r>
              <w:rPr>
                <w:noProof/>
                <w:webHidden/>
              </w:rPr>
            </w:r>
            <w:r>
              <w:rPr>
                <w:noProof/>
                <w:webHidden/>
              </w:rPr>
              <w:fldChar w:fldCharType="separate"/>
            </w:r>
            <w:r>
              <w:rPr>
                <w:noProof/>
                <w:webHidden/>
              </w:rPr>
              <w:t>11</w:t>
            </w:r>
            <w:r>
              <w:rPr>
                <w:noProof/>
                <w:webHidden/>
              </w:rPr>
              <w:fldChar w:fldCharType="end"/>
            </w:r>
          </w:hyperlink>
        </w:p>
        <w:p w14:paraId="5E72E004" w14:textId="77777777" w:rsidR="0031271E" w:rsidRDefault="0031271E">
          <w:pPr>
            <w:pStyle w:val="TOC3"/>
            <w:rPr>
              <w:rFonts w:eastAsiaTheme="minorEastAsia"/>
              <w:noProof/>
              <w:lang w:val="en-US"/>
            </w:rPr>
          </w:pPr>
          <w:hyperlink w:anchor="_Toc101781046" w:history="1">
            <w:r w:rsidRPr="002600A5">
              <w:rPr>
                <w:rStyle w:val="Hyperlink"/>
                <w:rFonts w:ascii="Arial" w:hAnsi="Arial" w:cs="Arial"/>
                <w:noProof/>
              </w:rPr>
              <w:t>6.2.</w:t>
            </w:r>
            <w:r>
              <w:rPr>
                <w:rFonts w:eastAsiaTheme="minorEastAsia"/>
                <w:noProof/>
                <w:lang w:val="en-US"/>
              </w:rPr>
              <w:tab/>
            </w:r>
            <w:r w:rsidRPr="002600A5">
              <w:rPr>
                <w:rStyle w:val="Hyperlink"/>
                <w:rFonts w:ascii="Arial" w:hAnsi="Arial" w:cs="Arial"/>
                <w:noProof/>
              </w:rPr>
              <w:t>Domaći izvori finansiranja</w:t>
            </w:r>
            <w:r>
              <w:rPr>
                <w:noProof/>
                <w:webHidden/>
              </w:rPr>
              <w:tab/>
            </w:r>
            <w:r>
              <w:rPr>
                <w:noProof/>
                <w:webHidden/>
              </w:rPr>
              <w:fldChar w:fldCharType="begin"/>
            </w:r>
            <w:r>
              <w:rPr>
                <w:noProof/>
                <w:webHidden/>
              </w:rPr>
              <w:instrText xml:space="preserve"> PAGEREF _Toc101781046 \h </w:instrText>
            </w:r>
            <w:r>
              <w:rPr>
                <w:noProof/>
                <w:webHidden/>
              </w:rPr>
            </w:r>
            <w:r>
              <w:rPr>
                <w:noProof/>
                <w:webHidden/>
              </w:rPr>
              <w:fldChar w:fldCharType="separate"/>
            </w:r>
            <w:r>
              <w:rPr>
                <w:noProof/>
                <w:webHidden/>
              </w:rPr>
              <w:t>12</w:t>
            </w:r>
            <w:r>
              <w:rPr>
                <w:noProof/>
                <w:webHidden/>
              </w:rPr>
              <w:fldChar w:fldCharType="end"/>
            </w:r>
          </w:hyperlink>
        </w:p>
        <w:p w14:paraId="7808E74B" w14:textId="77777777" w:rsidR="0031271E" w:rsidRDefault="0031271E">
          <w:pPr>
            <w:pStyle w:val="TOC1"/>
            <w:rPr>
              <w:rFonts w:asciiTheme="minorHAnsi" w:eastAsiaTheme="minorEastAsia" w:hAnsiTheme="minorHAnsi" w:cstheme="minorBidi"/>
              <w:sz w:val="22"/>
              <w:szCs w:val="22"/>
              <w:lang w:val="en-US"/>
            </w:rPr>
          </w:pPr>
          <w:hyperlink w:anchor="_Toc101781047" w:history="1">
            <w:r w:rsidRPr="002600A5">
              <w:rPr>
                <w:rStyle w:val="Hyperlink"/>
              </w:rPr>
              <w:t>7.</w:t>
            </w:r>
            <w:r>
              <w:rPr>
                <w:rFonts w:asciiTheme="minorHAnsi" w:eastAsiaTheme="minorEastAsia" w:hAnsiTheme="minorHAnsi" w:cstheme="minorBidi"/>
                <w:sz w:val="22"/>
                <w:szCs w:val="22"/>
                <w:lang w:val="en-US"/>
              </w:rPr>
              <w:tab/>
            </w:r>
            <w:r w:rsidRPr="002600A5">
              <w:rPr>
                <w:rStyle w:val="Hyperlink"/>
              </w:rPr>
              <w:t>PRETPOSTAVKE CIJENA I OPISI SCENARIJA ŠOKA</w:t>
            </w:r>
            <w:r>
              <w:rPr>
                <w:webHidden/>
              </w:rPr>
              <w:tab/>
            </w:r>
            <w:r>
              <w:rPr>
                <w:webHidden/>
              </w:rPr>
              <w:fldChar w:fldCharType="begin"/>
            </w:r>
            <w:r>
              <w:rPr>
                <w:webHidden/>
              </w:rPr>
              <w:instrText xml:space="preserve"> PAGEREF _Toc101781047 \h </w:instrText>
            </w:r>
            <w:r>
              <w:rPr>
                <w:webHidden/>
              </w:rPr>
            </w:r>
            <w:r>
              <w:rPr>
                <w:webHidden/>
              </w:rPr>
              <w:fldChar w:fldCharType="separate"/>
            </w:r>
            <w:r>
              <w:rPr>
                <w:webHidden/>
              </w:rPr>
              <w:t>14</w:t>
            </w:r>
            <w:r>
              <w:rPr>
                <w:webHidden/>
              </w:rPr>
              <w:fldChar w:fldCharType="end"/>
            </w:r>
          </w:hyperlink>
        </w:p>
        <w:p w14:paraId="089E3364" w14:textId="77777777" w:rsidR="0031271E" w:rsidRDefault="0031271E">
          <w:pPr>
            <w:pStyle w:val="TOC2"/>
            <w:rPr>
              <w:rFonts w:eastAsiaTheme="minorEastAsia"/>
              <w:noProof/>
              <w:lang w:val="en-US"/>
            </w:rPr>
          </w:pPr>
          <w:hyperlink w:anchor="_Toc101781048" w:history="1">
            <w:r w:rsidRPr="002600A5">
              <w:rPr>
                <w:rStyle w:val="Hyperlink"/>
                <w:rFonts w:ascii="Arial" w:hAnsi="Arial" w:cs="Arial"/>
                <w:noProof/>
              </w:rPr>
              <w:t>7.2.</w:t>
            </w:r>
            <w:r>
              <w:rPr>
                <w:rFonts w:eastAsiaTheme="minorEastAsia"/>
                <w:noProof/>
                <w:lang w:val="en-US"/>
              </w:rPr>
              <w:tab/>
            </w:r>
            <w:r w:rsidRPr="002600A5">
              <w:rPr>
                <w:rStyle w:val="Hyperlink"/>
                <w:rFonts w:ascii="Arial" w:hAnsi="Arial" w:cs="Arial"/>
                <w:noProof/>
              </w:rPr>
              <w:t>Opis alternativnih strategija zaduživanja</w:t>
            </w:r>
            <w:r>
              <w:rPr>
                <w:noProof/>
                <w:webHidden/>
              </w:rPr>
              <w:tab/>
            </w:r>
            <w:r>
              <w:rPr>
                <w:noProof/>
                <w:webHidden/>
              </w:rPr>
              <w:fldChar w:fldCharType="begin"/>
            </w:r>
            <w:r>
              <w:rPr>
                <w:noProof/>
                <w:webHidden/>
              </w:rPr>
              <w:instrText xml:space="preserve"> PAGEREF _Toc101781048 \h </w:instrText>
            </w:r>
            <w:r>
              <w:rPr>
                <w:noProof/>
                <w:webHidden/>
              </w:rPr>
            </w:r>
            <w:r>
              <w:rPr>
                <w:noProof/>
                <w:webHidden/>
              </w:rPr>
              <w:fldChar w:fldCharType="separate"/>
            </w:r>
            <w:r>
              <w:rPr>
                <w:noProof/>
                <w:webHidden/>
              </w:rPr>
              <w:t>18</w:t>
            </w:r>
            <w:r>
              <w:rPr>
                <w:noProof/>
                <w:webHidden/>
              </w:rPr>
              <w:fldChar w:fldCharType="end"/>
            </w:r>
          </w:hyperlink>
        </w:p>
        <w:p w14:paraId="382642A5" w14:textId="77777777" w:rsidR="0031271E" w:rsidRDefault="0031271E">
          <w:pPr>
            <w:pStyle w:val="TOC2"/>
            <w:rPr>
              <w:rFonts w:eastAsiaTheme="minorEastAsia"/>
              <w:noProof/>
              <w:lang w:val="en-US"/>
            </w:rPr>
          </w:pPr>
          <w:hyperlink w:anchor="_Toc101781049" w:history="1">
            <w:r w:rsidRPr="002600A5">
              <w:rPr>
                <w:rStyle w:val="Hyperlink"/>
                <w:rFonts w:ascii="Arial" w:hAnsi="Arial" w:cs="Arial"/>
                <w:noProof/>
              </w:rPr>
              <w:t>7.3.</w:t>
            </w:r>
            <w:r>
              <w:rPr>
                <w:rFonts w:eastAsiaTheme="minorEastAsia"/>
                <w:noProof/>
                <w:lang w:val="en-US"/>
              </w:rPr>
              <w:tab/>
            </w:r>
            <w:r w:rsidRPr="002600A5">
              <w:rPr>
                <w:rStyle w:val="Hyperlink"/>
                <w:rFonts w:ascii="Arial" w:hAnsi="Arial" w:cs="Arial"/>
                <w:noProof/>
              </w:rPr>
              <w:t>Analiza troškova i rizika alternativnih strategija zaduživanja</w:t>
            </w:r>
            <w:r>
              <w:rPr>
                <w:noProof/>
                <w:webHidden/>
              </w:rPr>
              <w:tab/>
            </w:r>
            <w:r>
              <w:rPr>
                <w:noProof/>
                <w:webHidden/>
              </w:rPr>
              <w:fldChar w:fldCharType="begin"/>
            </w:r>
            <w:r>
              <w:rPr>
                <w:noProof/>
                <w:webHidden/>
              </w:rPr>
              <w:instrText xml:space="preserve"> PAGEREF _Toc101781049 \h </w:instrText>
            </w:r>
            <w:r>
              <w:rPr>
                <w:noProof/>
                <w:webHidden/>
              </w:rPr>
            </w:r>
            <w:r>
              <w:rPr>
                <w:noProof/>
                <w:webHidden/>
              </w:rPr>
              <w:fldChar w:fldCharType="separate"/>
            </w:r>
            <w:r>
              <w:rPr>
                <w:noProof/>
                <w:webHidden/>
              </w:rPr>
              <w:t>19</w:t>
            </w:r>
            <w:r>
              <w:rPr>
                <w:noProof/>
                <w:webHidden/>
              </w:rPr>
              <w:fldChar w:fldCharType="end"/>
            </w:r>
          </w:hyperlink>
        </w:p>
        <w:p w14:paraId="2ED77A13" w14:textId="77777777" w:rsidR="0031271E" w:rsidRDefault="0031271E">
          <w:pPr>
            <w:pStyle w:val="TOC2"/>
            <w:rPr>
              <w:rFonts w:eastAsiaTheme="minorEastAsia"/>
              <w:noProof/>
              <w:lang w:val="en-US"/>
            </w:rPr>
          </w:pPr>
          <w:hyperlink w:anchor="_Toc101781050" w:history="1">
            <w:r w:rsidRPr="002600A5">
              <w:rPr>
                <w:rStyle w:val="Hyperlink"/>
                <w:rFonts w:ascii="Arial" w:hAnsi="Arial" w:cs="Arial"/>
                <w:noProof/>
              </w:rPr>
              <w:t>7.4.</w:t>
            </w:r>
            <w:r>
              <w:rPr>
                <w:rFonts w:eastAsiaTheme="minorEastAsia"/>
                <w:noProof/>
                <w:lang w:val="en-US"/>
              </w:rPr>
              <w:tab/>
            </w:r>
            <w:r w:rsidRPr="002600A5">
              <w:rPr>
                <w:rStyle w:val="Hyperlink"/>
                <w:rFonts w:ascii="Arial" w:hAnsi="Arial" w:cs="Arial"/>
                <w:noProof/>
              </w:rPr>
              <w:t>Indikatori rizika alternativnih strategija</w:t>
            </w:r>
            <w:r>
              <w:rPr>
                <w:noProof/>
                <w:webHidden/>
              </w:rPr>
              <w:tab/>
            </w:r>
            <w:r>
              <w:rPr>
                <w:noProof/>
                <w:webHidden/>
              </w:rPr>
              <w:fldChar w:fldCharType="begin"/>
            </w:r>
            <w:r>
              <w:rPr>
                <w:noProof/>
                <w:webHidden/>
              </w:rPr>
              <w:instrText xml:space="preserve"> PAGEREF _Toc101781050 \h </w:instrText>
            </w:r>
            <w:r>
              <w:rPr>
                <w:noProof/>
                <w:webHidden/>
              </w:rPr>
            </w:r>
            <w:r>
              <w:rPr>
                <w:noProof/>
                <w:webHidden/>
              </w:rPr>
              <w:fldChar w:fldCharType="separate"/>
            </w:r>
            <w:r>
              <w:rPr>
                <w:noProof/>
                <w:webHidden/>
              </w:rPr>
              <w:t>20</w:t>
            </w:r>
            <w:r>
              <w:rPr>
                <w:noProof/>
                <w:webHidden/>
              </w:rPr>
              <w:fldChar w:fldCharType="end"/>
            </w:r>
          </w:hyperlink>
        </w:p>
        <w:p w14:paraId="1B730558" w14:textId="77777777" w:rsidR="0031271E" w:rsidRDefault="0031271E">
          <w:pPr>
            <w:pStyle w:val="TOC1"/>
            <w:rPr>
              <w:rFonts w:asciiTheme="minorHAnsi" w:eastAsiaTheme="minorEastAsia" w:hAnsiTheme="minorHAnsi" w:cstheme="minorBidi"/>
              <w:sz w:val="22"/>
              <w:szCs w:val="22"/>
              <w:lang w:val="en-US"/>
            </w:rPr>
          </w:pPr>
          <w:hyperlink w:anchor="_Toc101781051" w:history="1">
            <w:r w:rsidRPr="002600A5">
              <w:rPr>
                <w:rStyle w:val="Hyperlink"/>
              </w:rPr>
              <w:t>8.</w:t>
            </w:r>
            <w:r>
              <w:rPr>
                <w:rFonts w:asciiTheme="minorHAnsi" w:eastAsiaTheme="minorEastAsia" w:hAnsiTheme="minorHAnsi" w:cstheme="minorBidi"/>
                <w:sz w:val="22"/>
                <w:szCs w:val="22"/>
                <w:lang w:val="en-US"/>
              </w:rPr>
              <w:tab/>
            </w:r>
            <w:r w:rsidRPr="002600A5">
              <w:rPr>
                <w:rStyle w:val="Hyperlink"/>
              </w:rPr>
              <w:t>SMJERNICE ZA UPRAVLJANJE DUGOM</w:t>
            </w:r>
            <w:r>
              <w:rPr>
                <w:webHidden/>
              </w:rPr>
              <w:tab/>
            </w:r>
            <w:r>
              <w:rPr>
                <w:webHidden/>
              </w:rPr>
              <w:fldChar w:fldCharType="begin"/>
            </w:r>
            <w:r>
              <w:rPr>
                <w:webHidden/>
              </w:rPr>
              <w:instrText xml:space="preserve"> PAGEREF _Toc101781051 \h </w:instrText>
            </w:r>
            <w:r>
              <w:rPr>
                <w:webHidden/>
              </w:rPr>
            </w:r>
            <w:r>
              <w:rPr>
                <w:webHidden/>
              </w:rPr>
              <w:fldChar w:fldCharType="separate"/>
            </w:r>
            <w:r>
              <w:rPr>
                <w:webHidden/>
              </w:rPr>
              <w:t>21</w:t>
            </w:r>
            <w:r>
              <w:rPr>
                <w:webHidden/>
              </w:rPr>
              <w:fldChar w:fldCharType="end"/>
            </w:r>
          </w:hyperlink>
        </w:p>
        <w:p w14:paraId="26A0BDAA" w14:textId="77777777" w:rsidR="0031271E" w:rsidRDefault="0031271E">
          <w:pPr>
            <w:pStyle w:val="TOC2"/>
            <w:rPr>
              <w:rFonts w:eastAsiaTheme="minorEastAsia"/>
              <w:noProof/>
              <w:lang w:val="en-US"/>
            </w:rPr>
          </w:pPr>
          <w:hyperlink w:anchor="_Toc101781052" w:history="1">
            <w:r w:rsidRPr="002600A5">
              <w:rPr>
                <w:rStyle w:val="Hyperlink"/>
                <w:rFonts w:ascii="Arial" w:hAnsi="Arial" w:cs="Arial"/>
                <w:noProof/>
              </w:rPr>
              <w:t>8.1.</w:t>
            </w:r>
            <w:r>
              <w:rPr>
                <w:rFonts w:eastAsiaTheme="minorEastAsia"/>
                <w:noProof/>
                <w:lang w:val="en-US"/>
              </w:rPr>
              <w:tab/>
            </w:r>
            <w:r w:rsidRPr="002600A5">
              <w:rPr>
                <w:rStyle w:val="Hyperlink"/>
                <w:rFonts w:ascii="Arial" w:hAnsi="Arial" w:cs="Arial"/>
                <w:noProof/>
              </w:rPr>
              <w:t>Sveukupna struktura portfolija duga</w:t>
            </w:r>
            <w:r>
              <w:rPr>
                <w:noProof/>
                <w:webHidden/>
              </w:rPr>
              <w:tab/>
            </w:r>
            <w:r>
              <w:rPr>
                <w:noProof/>
                <w:webHidden/>
              </w:rPr>
              <w:fldChar w:fldCharType="begin"/>
            </w:r>
            <w:r>
              <w:rPr>
                <w:noProof/>
                <w:webHidden/>
              </w:rPr>
              <w:instrText xml:space="preserve"> PAGEREF _Toc101781052 \h </w:instrText>
            </w:r>
            <w:r>
              <w:rPr>
                <w:noProof/>
                <w:webHidden/>
              </w:rPr>
            </w:r>
            <w:r>
              <w:rPr>
                <w:noProof/>
                <w:webHidden/>
              </w:rPr>
              <w:fldChar w:fldCharType="separate"/>
            </w:r>
            <w:r>
              <w:rPr>
                <w:noProof/>
                <w:webHidden/>
              </w:rPr>
              <w:t>21</w:t>
            </w:r>
            <w:r>
              <w:rPr>
                <w:noProof/>
                <w:webHidden/>
              </w:rPr>
              <w:fldChar w:fldCharType="end"/>
            </w:r>
          </w:hyperlink>
        </w:p>
        <w:p w14:paraId="7F98DB2D" w14:textId="77777777" w:rsidR="0031271E" w:rsidRDefault="0031271E">
          <w:pPr>
            <w:pStyle w:val="TOC2"/>
            <w:rPr>
              <w:rFonts w:eastAsiaTheme="minorEastAsia"/>
              <w:noProof/>
              <w:lang w:val="en-US"/>
            </w:rPr>
          </w:pPr>
          <w:hyperlink w:anchor="_Toc101781053" w:history="1">
            <w:r w:rsidRPr="002600A5">
              <w:rPr>
                <w:rStyle w:val="Hyperlink"/>
                <w:rFonts w:ascii="Arial" w:hAnsi="Arial" w:cs="Arial"/>
                <w:noProof/>
              </w:rPr>
              <w:t>8.2.</w:t>
            </w:r>
            <w:r>
              <w:rPr>
                <w:rFonts w:eastAsiaTheme="minorEastAsia"/>
                <w:noProof/>
                <w:lang w:val="en-US"/>
              </w:rPr>
              <w:tab/>
            </w:r>
            <w:r w:rsidRPr="002600A5">
              <w:rPr>
                <w:rStyle w:val="Hyperlink"/>
                <w:rFonts w:ascii="Arial" w:hAnsi="Arial" w:cs="Arial"/>
                <w:noProof/>
              </w:rPr>
              <w:t>Smjernice za zaduživanje</w:t>
            </w:r>
            <w:r>
              <w:rPr>
                <w:noProof/>
                <w:webHidden/>
              </w:rPr>
              <w:tab/>
            </w:r>
            <w:r>
              <w:rPr>
                <w:noProof/>
                <w:webHidden/>
              </w:rPr>
              <w:fldChar w:fldCharType="begin"/>
            </w:r>
            <w:r>
              <w:rPr>
                <w:noProof/>
                <w:webHidden/>
              </w:rPr>
              <w:instrText xml:space="preserve"> PAGEREF _Toc101781053 \h </w:instrText>
            </w:r>
            <w:r>
              <w:rPr>
                <w:noProof/>
                <w:webHidden/>
              </w:rPr>
            </w:r>
            <w:r>
              <w:rPr>
                <w:noProof/>
                <w:webHidden/>
              </w:rPr>
              <w:fldChar w:fldCharType="separate"/>
            </w:r>
            <w:r>
              <w:rPr>
                <w:noProof/>
                <w:webHidden/>
              </w:rPr>
              <w:t>22</w:t>
            </w:r>
            <w:r>
              <w:rPr>
                <w:noProof/>
                <w:webHidden/>
              </w:rPr>
              <w:fldChar w:fldCharType="end"/>
            </w:r>
          </w:hyperlink>
        </w:p>
        <w:p w14:paraId="261D44EF" w14:textId="77777777" w:rsidR="0031271E" w:rsidRDefault="0031271E">
          <w:pPr>
            <w:pStyle w:val="TOC2"/>
            <w:rPr>
              <w:rFonts w:eastAsiaTheme="minorEastAsia"/>
              <w:noProof/>
              <w:lang w:val="en-US"/>
            </w:rPr>
          </w:pPr>
          <w:hyperlink w:anchor="_Toc101781054" w:history="1">
            <w:r w:rsidRPr="002600A5">
              <w:rPr>
                <w:rStyle w:val="Hyperlink"/>
                <w:rFonts w:ascii="Arial" w:hAnsi="Arial" w:cs="Arial"/>
                <w:noProof/>
              </w:rPr>
              <w:t>8.3.</w:t>
            </w:r>
            <w:r>
              <w:rPr>
                <w:rFonts w:eastAsiaTheme="minorEastAsia"/>
                <w:noProof/>
                <w:lang w:val="en-US"/>
              </w:rPr>
              <w:tab/>
            </w:r>
            <w:r w:rsidRPr="002600A5">
              <w:rPr>
                <w:rStyle w:val="Hyperlink"/>
                <w:rFonts w:ascii="Arial" w:hAnsi="Arial" w:cs="Arial"/>
                <w:noProof/>
              </w:rPr>
              <w:t>Kvantitativne strateške mete</w:t>
            </w:r>
            <w:r>
              <w:rPr>
                <w:noProof/>
                <w:webHidden/>
              </w:rPr>
              <w:tab/>
            </w:r>
            <w:r>
              <w:rPr>
                <w:noProof/>
                <w:webHidden/>
              </w:rPr>
              <w:fldChar w:fldCharType="begin"/>
            </w:r>
            <w:r>
              <w:rPr>
                <w:noProof/>
                <w:webHidden/>
              </w:rPr>
              <w:instrText xml:space="preserve"> PAGEREF _Toc101781054 \h </w:instrText>
            </w:r>
            <w:r>
              <w:rPr>
                <w:noProof/>
                <w:webHidden/>
              </w:rPr>
            </w:r>
            <w:r>
              <w:rPr>
                <w:noProof/>
                <w:webHidden/>
              </w:rPr>
              <w:fldChar w:fldCharType="separate"/>
            </w:r>
            <w:r>
              <w:rPr>
                <w:noProof/>
                <w:webHidden/>
              </w:rPr>
              <w:t>22</w:t>
            </w:r>
            <w:r>
              <w:rPr>
                <w:noProof/>
                <w:webHidden/>
              </w:rPr>
              <w:fldChar w:fldCharType="end"/>
            </w:r>
          </w:hyperlink>
        </w:p>
        <w:p w14:paraId="4BEA5AC4" w14:textId="77777777" w:rsidR="0031271E" w:rsidRDefault="0031271E">
          <w:pPr>
            <w:pStyle w:val="TOC1"/>
            <w:rPr>
              <w:rFonts w:asciiTheme="minorHAnsi" w:eastAsiaTheme="minorEastAsia" w:hAnsiTheme="minorHAnsi" w:cstheme="minorBidi"/>
              <w:sz w:val="22"/>
              <w:szCs w:val="22"/>
              <w:lang w:val="en-US"/>
            </w:rPr>
          </w:pPr>
          <w:hyperlink w:anchor="_Toc101781055" w:history="1">
            <w:r w:rsidRPr="002600A5">
              <w:rPr>
                <w:rStyle w:val="Hyperlink"/>
              </w:rPr>
              <w:t>9.</w:t>
            </w:r>
            <w:r>
              <w:rPr>
                <w:rFonts w:asciiTheme="minorHAnsi" w:eastAsiaTheme="minorEastAsia" w:hAnsiTheme="minorHAnsi" w:cstheme="minorBidi"/>
                <w:sz w:val="22"/>
                <w:szCs w:val="22"/>
                <w:lang w:val="en-US"/>
              </w:rPr>
              <w:tab/>
            </w:r>
            <w:r w:rsidRPr="002600A5">
              <w:rPr>
                <w:rStyle w:val="Hyperlink"/>
              </w:rPr>
              <w:t>KOMUNIKACIJA SA TRŽIŠTEM</w:t>
            </w:r>
            <w:r>
              <w:rPr>
                <w:webHidden/>
              </w:rPr>
              <w:tab/>
            </w:r>
            <w:r>
              <w:rPr>
                <w:webHidden/>
              </w:rPr>
              <w:fldChar w:fldCharType="begin"/>
            </w:r>
            <w:r>
              <w:rPr>
                <w:webHidden/>
              </w:rPr>
              <w:instrText xml:space="preserve"> PAGEREF _Toc101781055 \h </w:instrText>
            </w:r>
            <w:r>
              <w:rPr>
                <w:webHidden/>
              </w:rPr>
            </w:r>
            <w:r>
              <w:rPr>
                <w:webHidden/>
              </w:rPr>
              <w:fldChar w:fldCharType="separate"/>
            </w:r>
            <w:r>
              <w:rPr>
                <w:webHidden/>
              </w:rPr>
              <w:t>22</w:t>
            </w:r>
            <w:r>
              <w:rPr>
                <w:webHidden/>
              </w:rPr>
              <w:fldChar w:fldCharType="end"/>
            </w:r>
          </w:hyperlink>
        </w:p>
        <w:p w14:paraId="311621AF" w14:textId="77777777" w:rsidR="000374C5" w:rsidRPr="00BF51BB" w:rsidRDefault="00955DCC" w:rsidP="00955DCC">
          <w:r w:rsidRPr="00BF51BB">
            <w:rPr>
              <w:rFonts w:ascii="Arial" w:hAnsi="Arial" w:cs="Arial"/>
              <w:sz w:val="20"/>
              <w:szCs w:val="20"/>
            </w:rPr>
            <w:fldChar w:fldCharType="end"/>
          </w:r>
        </w:p>
      </w:sdtContent>
    </w:sdt>
    <w:p w14:paraId="500715FF" w14:textId="485C0A7A" w:rsidR="00F038BE" w:rsidRPr="00BF51BB" w:rsidRDefault="00F038BE" w:rsidP="00C6774E">
      <w:pPr>
        <w:spacing w:line="240" w:lineRule="auto"/>
        <w:ind w:left="-426"/>
        <w:jc w:val="center"/>
        <w:rPr>
          <w:rFonts w:ascii="Arial" w:hAnsi="Arial" w:cs="Arial"/>
          <w:sz w:val="24"/>
          <w:szCs w:val="24"/>
        </w:rPr>
      </w:pPr>
      <w:r w:rsidRPr="00BF51BB">
        <w:rPr>
          <w:rFonts w:ascii="Arial" w:hAnsi="Arial" w:cs="Arial"/>
          <w:sz w:val="24"/>
          <w:szCs w:val="24"/>
        </w:rPr>
        <w:br w:type="page"/>
      </w:r>
    </w:p>
    <w:p w14:paraId="3917058D" w14:textId="77777777" w:rsidR="00955DCC" w:rsidRPr="00BF51BB" w:rsidRDefault="00955DCC" w:rsidP="00C6774E">
      <w:pPr>
        <w:spacing w:line="240" w:lineRule="auto"/>
        <w:ind w:left="-426"/>
        <w:jc w:val="center"/>
        <w:rPr>
          <w:rFonts w:ascii="Arial" w:hAnsi="Arial" w:cs="Arial"/>
          <w:sz w:val="24"/>
          <w:szCs w:val="24"/>
        </w:rPr>
      </w:pPr>
      <w:r w:rsidRPr="00BF51BB">
        <w:rPr>
          <w:rFonts w:ascii="Arial" w:hAnsi="Arial" w:cs="Arial"/>
          <w:sz w:val="24"/>
          <w:szCs w:val="24"/>
        </w:rPr>
        <w:lastRenderedPageBreak/>
        <w:t>SKRAĆENICE</w:t>
      </w:r>
    </w:p>
    <w:p w14:paraId="2B49403F" w14:textId="77777777" w:rsidR="00906DA8" w:rsidRPr="00BF51BB" w:rsidRDefault="00906DA8" w:rsidP="00C6774E">
      <w:pPr>
        <w:spacing w:line="240" w:lineRule="auto"/>
        <w:ind w:left="-426"/>
        <w:jc w:val="center"/>
        <w:rPr>
          <w:rFonts w:ascii="Arial" w:hAnsi="Arial" w:cs="Arial"/>
          <w:sz w:val="24"/>
          <w:szCs w:val="24"/>
        </w:rPr>
      </w:pPr>
    </w:p>
    <w:tbl>
      <w:tblPr>
        <w:tblW w:w="10207" w:type="dxa"/>
        <w:tblInd w:w="-426" w:type="dxa"/>
        <w:tblLook w:val="04A0" w:firstRow="1" w:lastRow="0" w:firstColumn="1" w:lastColumn="0" w:noHBand="0" w:noVBand="1"/>
      </w:tblPr>
      <w:tblGrid>
        <w:gridCol w:w="883"/>
        <w:gridCol w:w="290"/>
        <w:gridCol w:w="9034"/>
      </w:tblGrid>
      <w:tr w:rsidR="00A361FA" w:rsidRPr="00BF51BB" w14:paraId="74E95EBB" w14:textId="77777777" w:rsidTr="00741FF9">
        <w:trPr>
          <w:trHeight w:val="567"/>
        </w:trPr>
        <w:tc>
          <w:tcPr>
            <w:tcW w:w="883" w:type="dxa"/>
            <w:shd w:val="clear" w:color="auto" w:fill="auto"/>
            <w:noWrap/>
            <w:hideMark/>
          </w:tcPr>
          <w:p w14:paraId="433CB6EF"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ATM</w:t>
            </w:r>
          </w:p>
        </w:tc>
        <w:tc>
          <w:tcPr>
            <w:tcW w:w="290" w:type="dxa"/>
            <w:shd w:val="clear" w:color="auto" w:fill="auto"/>
            <w:noWrap/>
            <w:hideMark/>
          </w:tcPr>
          <w:p w14:paraId="0B42B7F5"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noWrap/>
            <w:hideMark/>
          </w:tcPr>
          <w:p w14:paraId="1997F046"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Prosječno vrijeme dospijeća (Average Time to Maturity)</w:t>
            </w:r>
          </w:p>
        </w:tc>
      </w:tr>
      <w:tr w:rsidR="00A361FA" w:rsidRPr="00BF51BB" w14:paraId="77E7C84A" w14:textId="77777777" w:rsidTr="00741FF9">
        <w:trPr>
          <w:trHeight w:val="567"/>
        </w:trPr>
        <w:tc>
          <w:tcPr>
            <w:tcW w:w="883" w:type="dxa"/>
            <w:shd w:val="clear" w:color="auto" w:fill="auto"/>
            <w:noWrap/>
            <w:hideMark/>
          </w:tcPr>
          <w:p w14:paraId="37E419B4"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ATR</w:t>
            </w:r>
          </w:p>
        </w:tc>
        <w:tc>
          <w:tcPr>
            <w:tcW w:w="290" w:type="dxa"/>
            <w:shd w:val="clear" w:color="auto" w:fill="auto"/>
            <w:noWrap/>
            <w:hideMark/>
          </w:tcPr>
          <w:p w14:paraId="44BAEC47"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noWrap/>
            <w:hideMark/>
          </w:tcPr>
          <w:p w14:paraId="52072A1F"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Prosječno vrijeme refiksiranja (Average Time to Refixing)</w:t>
            </w:r>
          </w:p>
        </w:tc>
      </w:tr>
      <w:tr w:rsidR="00A361FA" w:rsidRPr="00BF51BB" w14:paraId="3C580222" w14:textId="77777777" w:rsidTr="00741FF9">
        <w:trPr>
          <w:trHeight w:val="567"/>
        </w:trPr>
        <w:tc>
          <w:tcPr>
            <w:tcW w:w="883" w:type="dxa"/>
            <w:shd w:val="clear" w:color="auto" w:fill="auto"/>
            <w:noWrap/>
            <w:hideMark/>
          </w:tcPr>
          <w:p w14:paraId="11FBC7B4"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BDP</w:t>
            </w:r>
          </w:p>
        </w:tc>
        <w:tc>
          <w:tcPr>
            <w:tcW w:w="290" w:type="dxa"/>
            <w:shd w:val="clear" w:color="auto" w:fill="auto"/>
            <w:noWrap/>
            <w:hideMark/>
          </w:tcPr>
          <w:p w14:paraId="032911F2"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noWrap/>
            <w:hideMark/>
          </w:tcPr>
          <w:p w14:paraId="59A22450" w14:textId="13E4AE4C" w:rsidR="00773E7B" w:rsidRPr="00BF51BB" w:rsidRDefault="00773E7B" w:rsidP="004476F9">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Bruto domaći proizvod</w:t>
            </w:r>
            <w:r w:rsidR="0097128C" w:rsidRPr="00BF51BB">
              <w:rPr>
                <w:rFonts w:ascii="Arial" w:eastAsia="Times New Roman" w:hAnsi="Arial" w:cs="Arial"/>
                <w:szCs w:val="24"/>
                <w:lang w:eastAsia="bs-Latn-BA"/>
              </w:rPr>
              <w:t xml:space="preserve">  (</w:t>
            </w:r>
            <w:r w:rsidR="004476F9" w:rsidRPr="00BF51BB">
              <w:rPr>
                <w:rFonts w:ascii="Arial" w:eastAsia="Times New Roman" w:hAnsi="Arial" w:cs="Arial"/>
                <w:szCs w:val="24"/>
                <w:lang w:eastAsia="bs-Latn-BA"/>
              </w:rPr>
              <w:t>Gross</w:t>
            </w:r>
            <w:r w:rsidR="0097128C" w:rsidRPr="00BF51BB">
              <w:rPr>
                <w:rFonts w:ascii="Arial" w:eastAsia="Times New Roman" w:hAnsi="Arial" w:cs="Arial"/>
                <w:szCs w:val="24"/>
                <w:lang w:eastAsia="bs-Latn-BA"/>
              </w:rPr>
              <w:t xml:space="preserve"> Domestic Product)</w:t>
            </w:r>
          </w:p>
        </w:tc>
      </w:tr>
      <w:tr w:rsidR="00A361FA" w:rsidRPr="00BF51BB" w14:paraId="37470100" w14:textId="77777777" w:rsidTr="00741FF9">
        <w:trPr>
          <w:trHeight w:val="567"/>
        </w:trPr>
        <w:tc>
          <w:tcPr>
            <w:tcW w:w="883" w:type="dxa"/>
            <w:shd w:val="clear" w:color="auto" w:fill="auto"/>
            <w:noWrap/>
            <w:hideMark/>
          </w:tcPr>
          <w:p w14:paraId="1756A081"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DOB</w:t>
            </w:r>
          </w:p>
        </w:tc>
        <w:tc>
          <w:tcPr>
            <w:tcW w:w="290" w:type="dxa"/>
            <w:shd w:val="clear" w:color="auto" w:fill="auto"/>
            <w:noWrap/>
            <w:hideMark/>
          </w:tcPr>
          <w:p w14:paraId="715839A5"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noWrap/>
            <w:hideMark/>
          </w:tcPr>
          <w:p w14:paraId="60A86567"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Dokument okvirnog budžeta</w:t>
            </w:r>
          </w:p>
        </w:tc>
      </w:tr>
      <w:tr w:rsidR="00A361FA" w:rsidRPr="00BF51BB" w14:paraId="3DC2E3CA" w14:textId="77777777" w:rsidTr="00741FF9">
        <w:trPr>
          <w:trHeight w:val="567"/>
        </w:trPr>
        <w:tc>
          <w:tcPr>
            <w:tcW w:w="883" w:type="dxa"/>
            <w:shd w:val="clear" w:color="auto" w:fill="auto"/>
            <w:noWrap/>
            <w:hideMark/>
          </w:tcPr>
          <w:p w14:paraId="39FE3C03"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EBRD</w:t>
            </w:r>
          </w:p>
        </w:tc>
        <w:tc>
          <w:tcPr>
            <w:tcW w:w="290" w:type="dxa"/>
            <w:shd w:val="clear" w:color="auto" w:fill="auto"/>
            <w:noWrap/>
            <w:hideMark/>
          </w:tcPr>
          <w:p w14:paraId="6950FEDA"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hideMark/>
          </w:tcPr>
          <w:p w14:paraId="634DE123" w14:textId="3005EDE6" w:rsidR="00773E7B" w:rsidRPr="00BF51BB" w:rsidRDefault="00773E7B" w:rsidP="009C725F">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Evropska banka za obnovu i razvoj (European Bank for Reconstruction and Developm</w:t>
            </w:r>
            <w:r w:rsidR="009C725F" w:rsidRPr="00BF51BB">
              <w:rPr>
                <w:rFonts w:ascii="Arial" w:eastAsia="Times New Roman" w:hAnsi="Arial" w:cs="Arial"/>
                <w:szCs w:val="24"/>
                <w:lang w:eastAsia="bs-Latn-BA"/>
              </w:rPr>
              <w:t>e</w:t>
            </w:r>
            <w:r w:rsidRPr="00BF51BB">
              <w:rPr>
                <w:rFonts w:ascii="Arial" w:eastAsia="Times New Roman" w:hAnsi="Arial" w:cs="Arial"/>
                <w:szCs w:val="24"/>
                <w:lang w:eastAsia="bs-Latn-BA"/>
              </w:rPr>
              <w:t>nt)</w:t>
            </w:r>
          </w:p>
        </w:tc>
      </w:tr>
      <w:tr w:rsidR="00A361FA" w:rsidRPr="00BF51BB" w14:paraId="2473819C" w14:textId="77777777" w:rsidTr="00741FF9">
        <w:trPr>
          <w:trHeight w:val="567"/>
        </w:trPr>
        <w:tc>
          <w:tcPr>
            <w:tcW w:w="883" w:type="dxa"/>
            <w:shd w:val="clear" w:color="auto" w:fill="auto"/>
            <w:noWrap/>
            <w:hideMark/>
          </w:tcPr>
          <w:p w14:paraId="78A9A1AF"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EIB</w:t>
            </w:r>
          </w:p>
        </w:tc>
        <w:tc>
          <w:tcPr>
            <w:tcW w:w="290" w:type="dxa"/>
            <w:shd w:val="clear" w:color="auto" w:fill="auto"/>
            <w:noWrap/>
            <w:hideMark/>
          </w:tcPr>
          <w:p w14:paraId="1EACA698"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noWrap/>
            <w:hideMark/>
          </w:tcPr>
          <w:p w14:paraId="607FDDF9"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Evropska investicijska banka (European Investment Bank)</w:t>
            </w:r>
          </w:p>
        </w:tc>
      </w:tr>
      <w:tr w:rsidR="00A361FA" w:rsidRPr="00BF51BB" w14:paraId="7779B34B" w14:textId="77777777" w:rsidTr="00741FF9">
        <w:trPr>
          <w:trHeight w:val="567"/>
        </w:trPr>
        <w:tc>
          <w:tcPr>
            <w:tcW w:w="883" w:type="dxa"/>
            <w:shd w:val="clear" w:color="auto" w:fill="auto"/>
            <w:noWrap/>
            <w:hideMark/>
          </w:tcPr>
          <w:p w14:paraId="7E400394"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IBRD</w:t>
            </w:r>
          </w:p>
        </w:tc>
        <w:tc>
          <w:tcPr>
            <w:tcW w:w="290" w:type="dxa"/>
            <w:shd w:val="clear" w:color="auto" w:fill="auto"/>
            <w:noWrap/>
            <w:hideMark/>
          </w:tcPr>
          <w:p w14:paraId="78D630A9"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hideMark/>
          </w:tcPr>
          <w:p w14:paraId="4C15B2D0"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Međunarodna  banka za obnovu i razvoj (International Bank For Recontruction and Development)</w:t>
            </w:r>
          </w:p>
        </w:tc>
      </w:tr>
      <w:tr w:rsidR="00A361FA" w:rsidRPr="00BF51BB" w14:paraId="1DD785C2" w14:textId="77777777" w:rsidTr="00741FF9">
        <w:trPr>
          <w:trHeight w:val="567"/>
        </w:trPr>
        <w:tc>
          <w:tcPr>
            <w:tcW w:w="883" w:type="dxa"/>
            <w:shd w:val="clear" w:color="auto" w:fill="auto"/>
            <w:noWrap/>
            <w:hideMark/>
          </w:tcPr>
          <w:p w14:paraId="12E04D5E"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IDA</w:t>
            </w:r>
          </w:p>
        </w:tc>
        <w:tc>
          <w:tcPr>
            <w:tcW w:w="290" w:type="dxa"/>
            <w:shd w:val="clear" w:color="auto" w:fill="auto"/>
            <w:noWrap/>
            <w:hideMark/>
          </w:tcPr>
          <w:p w14:paraId="4204D236"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noWrap/>
            <w:hideMark/>
          </w:tcPr>
          <w:p w14:paraId="4E012AE6"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Međunarodna asocijacija za razvoj (International Development Association)</w:t>
            </w:r>
          </w:p>
        </w:tc>
      </w:tr>
      <w:tr w:rsidR="00A361FA" w:rsidRPr="00BF51BB" w14:paraId="1A6B09F2" w14:textId="77777777" w:rsidTr="00741FF9">
        <w:trPr>
          <w:trHeight w:val="567"/>
        </w:trPr>
        <w:tc>
          <w:tcPr>
            <w:tcW w:w="883" w:type="dxa"/>
            <w:shd w:val="clear" w:color="auto" w:fill="auto"/>
            <w:noWrap/>
            <w:hideMark/>
          </w:tcPr>
          <w:p w14:paraId="703332E6"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KfW</w:t>
            </w:r>
          </w:p>
        </w:tc>
        <w:tc>
          <w:tcPr>
            <w:tcW w:w="290" w:type="dxa"/>
            <w:shd w:val="clear" w:color="auto" w:fill="auto"/>
            <w:noWrap/>
            <w:hideMark/>
          </w:tcPr>
          <w:p w14:paraId="77349012"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noWrap/>
            <w:hideMark/>
          </w:tcPr>
          <w:p w14:paraId="3687FFBF"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Njemačka banka za obnovu i razvoj (KfW Development Bank)</w:t>
            </w:r>
          </w:p>
        </w:tc>
      </w:tr>
      <w:tr w:rsidR="00A361FA" w:rsidRPr="00BF51BB" w14:paraId="0D146A05" w14:textId="77777777" w:rsidTr="00741FF9">
        <w:trPr>
          <w:trHeight w:val="567"/>
        </w:trPr>
        <w:tc>
          <w:tcPr>
            <w:tcW w:w="883" w:type="dxa"/>
            <w:shd w:val="clear" w:color="auto" w:fill="auto"/>
            <w:noWrap/>
            <w:hideMark/>
          </w:tcPr>
          <w:p w14:paraId="17694E4D" w14:textId="77777777" w:rsidR="00773E7B" w:rsidRPr="00BF51BB" w:rsidRDefault="005C5B35"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I</w:t>
            </w:r>
            <w:r w:rsidR="00773E7B" w:rsidRPr="00BF51BB">
              <w:rPr>
                <w:rFonts w:ascii="Arial" w:eastAsia="Times New Roman" w:hAnsi="Arial" w:cs="Arial"/>
                <w:szCs w:val="24"/>
                <w:lang w:eastAsia="bs-Latn-BA"/>
              </w:rPr>
              <w:t>MF</w:t>
            </w:r>
          </w:p>
        </w:tc>
        <w:tc>
          <w:tcPr>
            <w:tcW w:w="290" w:type="dxa"/>
            <w:shd w:val="clear" w:color="auto" w:fill="auto"/>
            <w:noWrap/>
            <w:hideMark/>
          </w:tcPr>
          <w:p w14:paraId="3DED9B17"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noWrap/>
            <w:hideMark/>
          </w:tcPr>
          <w:p w14:paraId="5F63A742"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Međunarodni monetarni fond (International Monetary Fund)</w:t>
            </w:r>
          </w:p>
        </w:tc>
      </w:tr>
      <w:tr w:rsidR="00A361FA" w:rsidRPr="00BF51BB" w14:paraId="08D76E3C" w14:textId="77777777" w:rsidTr="00741FF9">
        <w:trPr>
          <w:trHeight w:val="567"/>
        </w:trPr>
        <w:tc>
          <w:tcPr>
            <w:tcW w:w="883" w:type="dxa"/>
            <w:shd w:val="clear" w:color="auto" w:fill="auto"/>
            <w:noWrap/>
            <w:hideMark/>
          </w:tcPr>
          <w:p w14:paraId="6333E987"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WB</w:t>
            </w:r>
          </w:p>
        </w:tc>
        <w:tc>
          <w:tcPr>
            <w:tcW w:w="290" w:type="dxa"/>
            <w:shd w:val="clear" w:color="auto" w:fill="auto"/>
            <w:noWrap/>
            <w:hideMark/>
          </w:tcPr>
          <w:p w14:paraId="5992C439" w14:textId="77777777" w:rsidR="00773E7B" w:rsidRPr="00BF51BB" w:rsidRDefault="00773E7B"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noWrap/>
            <w:hideMark/>
          </w:tcPr>
          <w:p w14:paraId="6E7E92ED" w14:textId="77777777" w:rsidR="00773E7B" w:rsidRPr="00BF51BB" w:rsidRDefault="00773E7B"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Svjetska banka (World Bank)</w:t>
            </w:r>
          </w:p>
        </w:tc>
      </w:tr>
      <w:tr w:rsidR="00BE5B36" w:rsidRPr="00BF51BB" w14:paraId="2914B4D6" w14:textId="77777777" w:rsidTr="00741FF9">
        <w:trPr>
          <w:trHeight w:val="567"/>
        </w:trPr>
        <w:tc>
          <w:tcPr>
            <w:tcW w:w="883" w:type="dxa"/>
            <w:shd w:val="clear" w:color="auto" w:fill="auto"/>
            <w:noWrap/>
          </w:tcPr>
          <w:p w14:paraId="4BACA912" w14:textId="77777777" w:rsidR="00BE5B36" w:rsidRPr="00BF51BB" w:rsidRDefault="00BE5B36"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EFF</w:t>
            </w:r>
          </w:p>
        </w:tc>
        <w:tc>
          <w:tcPr>
            <w:tcW w:w="290" w:type="dxa"/>
            <w:shd w:val="clear" w:color="auto" w:fill="auto"/>
            <w:noWrap/>
          </w:tcPr>
          <w:p w14:paraId="39DEF700" w14:textId="77777777" w:rsidR="00BE5B36" w:rsidRPr="00BF51BB" w:rsidRDefault="00BE5B36"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w:t>
            </w:r>
          </w:p>
        </w:tc>
        <w:tc>
          <w:tcPr>
            <w:tcW w:w="9034" w:type="dxa"/>
            <w:shd w:val="clear" w:color="auto" w:fill="auto"/>
            <w:noWrap/>
          </w:tcPr>
          <w:p w14:paraId="39B67E36" w14:textId="7E326ADC" w:rsidR="00BE5B36" w:rsidRPr="00BF51BB" w:rsidRDefault="00221B11" w:rsidP="00221B11">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Prošireni aranžman IMF-a (</w:t>
            </w:r>
            <w:r w:rsidR="00CE072B" w:rsidRPr="00BF51BB">
              <w:rPr>
                <w:rFonts w:ascii="Arial" w:eastAsia="Times New Roman" w:hAnsi="Arial" w:cs="Arial"/>
                <w:szCs w:val="24"/>
                <w:lang w:eastAsia="bs-Latn-BA"/>
              </w:rPr>
              <w:t>Extended Fund Facility</w:t>
            </w:r>
            <w:r w:rsidR="00BE5B36" w:rsidRPr="00BF51BB">
              <w:rPr>
                <w:rFonts w:ascii="Arial" w:eastAsia="Times New Roman" w:hAnsi="Arial" w:cs="Arial"/>
                <w:szCs w:val="24"/>
                <w:lang w:eastAsia="bs-Latn-BA"/>
              </w:rPr>
              <w:t xml:space="preserve">) </w:t>
            </w:r>
          </w:p>
        </w:tc>
      </w:tr>
      <w:tr w:rsidR="00641891" w:rsidRPr="00BF51BB" w14:paraId="3502ACE5" w14:textId="77777777" w:rsidTr="00741FF9">
        <w:trPr>
          <w:trHeight w:val="567"/>
        </w:trPr>
        <w:tc>
          <w:tcPr>
            <w:tcW w:w="883" w:type="dxa"/>
            <w:shd w:val="clear" w:color="auto" w:fill="auto"/>
            <w:noWrap/>
          </w:tcPr>
          <w:p w14:paraId="40114256" w14:textId="42AF9593" w:rsidR="00641891" w:rsidRPr="00BF51BB" w:rsidRDefault="00641891" w:rsidP="00BA586C">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RFI</w:t>
            </w:r>
          </w:p>
        </w:tc>
        <w:tc>
          <w:tcPr>
            <w:tcW w:w="290" w:type="dxa"/>
            <w:shd w:val="clear" w:color="auto" w:fill="auto"/>
            <w:noWrap/>
          </w:tcPr>
          <w:p w14:paraId="712AC278" w14:textId="6509EDB6" w:rsidR="00641891" w:rsidRPr="00BF51BB" w:rsidRDefault="00641891" w:rsidP="00BA586C">
            <w:pPr>
              <w:spacing w:after="0" w:line="240" w:lineRule="auto"/>
              <w:rPr>
                <w:rFonts w:ascii="Calibri" w:eastAsia="Times New Roman" w:hAnsi="Calibri" w:cs="Times New Roman"/>
                <w:szCs w:val="24"/>
                <w:lang w:eastAsia="bs-Latn-BA"/>
              </w:rPr>
            </w:pPr>
            <w:r w:rsidRPr="00BF51BB">
              <w:rPr>
                <w:rFonts w:ascii="Calibri" w:eastAsia="Times New Roman" w:hAnsi="Calibri" w:cs="Times New Roman"/>
                <w:szCs w:val="24"/>
                <w:lang w:eastAsia="bs-Latn-BA"/>
              </w:rPr>
              <w:t xml:space="preserve">- </w:t>
            </w:r>
          </w:p>
        </w:tc>
        <w:tc>
          <w:tcPr>
            <w:tcW w:w="9034" w:type="dxa"/>
            <w:shd w:val="clear" w:color="auto" w:fill="auto"/>
            <w:noWrap/>
          </w:tcPr>
          <w:p w14:paraId="10735EA5" w14:textId="5A1CF613" w:rsidR="00641891" w:rsidRPr="00BF51BB" w:rsidRDefault="00221B11" w:rsidP="00A22491">
            <w:pPr>
              <w:spacing w:after="0" w:line="240" w:lineRule="auto"/>
              <w:rPr>
                <w:rFonts w:ascii="Arial" w:eastAsia="Times New Roman" w:hAnsi="Arial" w:cs="Arial"/>
                <w:szCs w:val="24"/>
                <w:lang w:eastAsia="bs-Latn-BA"/>
              </w:rPr>
            </w:pPr>
            <w:r w:rsidRPr="00BF51BB">
              <w:rPr>
                <w:rFonts w:ascii="Arial" w:eastAsia="Times New Roman" w:hAnsi="Arial" w:cs="Arial"/>
                <w:szCs w:val="24"/>
                <w:lang w:eastAsia="bs-Latn-BA"/>
              </w:rPr>
              <w:t>Instrument brzog finansiranja (</w:t>
            </w:r>
            <w:r w:rsidR="00A22491" w:rsidRPr="00BF51BB">
              <w:rPr>
                <w:rFonts w:ascii="Arial" w:eastAsia="Times New Roman" w:hAnsi="Arial" w:cs="Arial"/>
                <w:szCs w:val="24"/>
                <w:lang w:eastAsia="bs-Latn-BA"/>
              </w:rPr>
              <w:t>Rapid Financing Instrument</w:t>
            </w:r>
            <w:r w:rsidR="00641891" w:rsidRPr="00BF51BB">
              <w:rPr>
                <w:rFonts w:ascii="Arial" w:eastAsia="Times New Roman" w:hAnsi="Arial" w:cs="Arial"/>
                <w:szCs w:val="24"/>
                <w:lang w:eastAsia="bs-Latn-BA"/>
              </w:rPr>
              <w:t>)</w:t>
            </w:r>
          </w:p>
        </w:tc>
      </w:tr>
    </w:tbl>
    <w:p w14:paraId="1A6A39B4" w14:textId="77777777" w:rsidR="00955DCC" w:rsidRPr="00BF51BB" w:rsidRDefault="00955DCC" w:rsidP="00955DCC"/>
    <w:p w14:paraId="78347E90" w14:textId="77777777" w:rsidR="00955DCC" w:rsidRPr="00BF51BB" w:rsidRDefault="00955DCC" w:rsidP="00955DCC">
      <w:pPr>
        <w:rPr>
          <w:color w:val="E36C0A" w:themeColor="accent6" w:themeShade="BF"/>
        </w:rPr>
      </w:pPr>
    </w:p>
    <w:p w14:paraId="10E841CB" w14:textId="77777777" w:rsidR="00ED768D" w:rsidRPr="00BF51BB" w:rsidRDefault="00ED768D" w:rsidP="00955DCC">
      <w:pPr>
        <w:rPr>
          <w:color w:val="E36C0A" w:themeColor="accent6" w:themeShade="BF"/>
          <w:sz w:val="20"/>
        </w:rPr>
      </w:pPr>
    </w:p>
    <w:p w14:paraId="3930B661" w14:textId="77777777" w:rsidR="003D5CC1" w:rsidRPr="00BF51BB" w:rsidRDefault="003D5CC1">
      <w:pPr>
        <w:rPr>
          <w:rFonts w:ascii="Arial" w:eastAsiaTheme="majorEastAsia" w:hAnsi="Arial" w:cs="Arial"/>
          <w:bCs/>
          <w:sz w:val="28"/>
          <w:szCs w:val="28"/>
        </w:rPr>
      </w:pPr>
      <w:r w:rsidRPr="00BF51BB">
        <w:rPr>
          <w:rFonts w:ascii="Arial" w:hAnsi="Arial" w:cs="Arial"/>
          <w:b/>
        </w:rPr>
        <w:br w:type="page"/>
      </w:r>
    </w:p>
    <w:p w14:paraId="1EB43E5B" w14:textId="77777777" w:rsidR="00F038BE" w:rsidRPr="00BF51BB" w:rsidRDefault="00F038BE" w:rsidP="00ED768D">
      <w:pPr>
        <w:pStyle w:val="Heading1"/>
        <w:jc w:val="center"/>
        <w:rPr>
          <w:rFonts w:ascii="Arial" w:hAnsi="Arial" w:cs="Arial"/>
          <w:b w:val="0"/>
          <w:color w:val="auto"/>
        </w:rPr>
        <w:sectPr w:rsidR="00F038BE" w:rsidRPr="00BF51BB" w:rsidSect="00626FD0">
          <w:footerReference w:type="default" r:id="rId10"/>
          <w:footerReference w:type="first" r:id="rId11"/>
          <w:pgSz w:w="11906" w:h="16838"/>
          <w:pgMar w:top="1135" w:right="1133" w:bottom="709" w:left="1440" w:header="708" w:footer="708" w:gutter="0"/>
          <w:pgNumType w:start="1" w:chapStyle="1"/>
          <w:cols w:space="708"/>
          <w:titlePg/>
          <w:docGrid w:linePitch="360"/>
        </w:sectPr>
      </w:pPr>
    </w:p>
    <w:p w14:paraId="1CD17278" w14:textId="6061B045" w:rsidR="00ED768D" w:rsidRPr="00BF51BB" w:rsidRDefault="00ED768D" w:rsidP="00ED768D">
      <w:pPr>
        <w:pStyle w:val="Heading1"/>
        <w:jc w:val="center"/>
        <w:rPr>
          <w:rFonts w:ascii="Arial" w:hAnsi="Arial" w:cs="Arial"/>
          <w:b w:val="0"/>
          <w:color w:val="auto"/>
        </w:rPr>
      </w:pPr>
      <w:bookmarkStart w:id="0" w:name="_Toc101781021"/>
      <w:r w:rsidRPr="00BF51BB">
        <w:rPr>
          <w:rFonts w:ascii="Arial" w:hAnsi="Arial" w:cs="Arial"/>
          <w:b w:val="0"/>
          <w:color w:val="auto"/>
        </w:rPr>
        <w:lastRenderedPageBreak/>
        <w:t>SAŽETAK</w:t>
      </w:r>
      <w:bookmarkEnd w:id="0"/>
    </w:p>
    <w:p w14:paraId="2A212728" w14:textId="77777777" w:rsidR="00ED768D" w:rsidRPr="00BF51BB" w:rsidRDefault="00ED768D" w:rsidP="003D6AFA">
      <w:pPr>
        <w:spacing w:after="0"/>
        <w:jc w:val="both"/>
        <w:rPr>
          <w:rFonts w:ascii="Arial" w:hAnsi="Arial" w:cs="Arial"/>
          <w:sz w:val="24"/>
          <w:szCs w:val="24"/>
        </w:rPr>
      </w:pPr>
    </w:p>
    <w:p w14:paraId="54E800E6" w14:textId="3D96B2A2" w:rsidR="002B54AA" w:rsidRPr="00BF51BB" w:rsidRDefault="00ED768D" w:rsidP="00087712">
      <w:pPr>
        <w:spacing w:after="0"/>
        <w:ind w:firstLine="360"/>
        <w:jc w:val="both"/>
        <w:rPr>
          <w:rFonts w:ascii="Arial" w:hAnsi="Arial" w:cs="Arial"/>
          <w:szCs w:val="24"/>
        </w:rPr>
      </w:pPr>
      <w:r w:rsidRPr="00BF51BB">
        <w:rPr>
          <w:rFonts w:ascii="Arial" w:hAnsi="Arial" w:cs="Arial"/>
          <w:szCs w:val="24"/>
        </w:rPr>
        <w:t xml:space="preserve">Strategija upravljanja dugom </w:t>
      </w:r>
      <w:r w:rsidR="002009ED" w:rsidRPr="00BF51BB">
        <w:rPr>
          <w:rFonts w:ascii="Arial" w:hAnsi="Arial" w:cs="Arial"/>
          <w:szCs w:val="24"/>
        </w:rPr>
        <w:t xml:space="preserve">2022 </w:t>
      </w:r>
      <w:r w:rsidR="008E770E" w:rsidRPr="00BF51BB">
        <w:rPr>
          <w:rFonts w:ascii="Arial" w:hAnsi="Arial" w:cs="Arial"/>
          <w:szCs w:val="24"/>
        </w:rPr>
        <w:t xml:space="preserve">– </w:t>
      </w:r>
      <w:r w:rsidR="00112088" w:rsidRPr="00BF51BB">
        <w:rPr>
          <w:rFonts w:ascii="Arial" w:hAnsi="Arial" w:cs="Arial"/>
          <w:szCs w:val="24"/>
        </w:rPr>
        <w:t>2024</w:t>
      </w:r>
      <w:r w:rsidR="008E770E" w:rsidRPr="00BF51BB">
        <w:rPr>
          <w:rFonts w:ascii="Arial" w:hAnsi="Arial" w:cs="Arial"/>
          <w:szCs w:val="24"/>
        </w:rPr>
        <w:t>.</w:t>
      </w:r>
      <w:r w:rsidRPr="00BF51BB">
        <w:rPr>
          <w:rFonts w:ascii="Arial" w:hAnsi="Arial" w:cs="Arial"/>
          <w:szCs w:val="24"/>
        </w:rPr>
        <w:t xml:space="preserve"> (u daljem tekstu: Strategija) predstavlja sažetak glavnih načela i smjernica za politike upravljanja </w:t>
      </w:r>
      <w:r w:rsidR="002B54AA" w:rsidRPr="00BF51BB">
        <w:rPr>
          <w:rFonts w:ascii="Arial" w:hAnsi="Arial" w:cs="Arial"/>
          <w:szCs w:val="24"/>
        </w:rPr>
        <w:t xml:space="preserve">dugom </w:t>
      </w:r>
      <w:r w:rsidR="00CE3C2E" w:rsidRPr="00BF51BB">
        <w:rPr>
          <w:rFonts w:ascii="Arial" w:hAnsi="Arial" w:cs="Arial"/>
          <w:szCs w:val="24"/>
        </w:rPr>
        <w:t xml:space="preserve">Federacije BiH </w:t>
      </w:r>
      <w:r w:rsidR="002B54AA" w:rsidRPr="00BF51BB">
        <w:rPr>
          <w:rFonts w:ascii="Arial" w:hAnsi="Arial" w:cs="Arial"/>
          <w:szCs w:val="24"/>
        </w:rPr>
        <w:t xml:space="preserve">u posmatranom periodu i temelji se na </w:t>
      </w:r>
      <w:r w:rsidRPr="00BF51BB">
        <w:rPr>
          <w:rFonts w:ascii="Arial" w:hAnsi="Arial" w:cs="Arial"/>
          <w:szCs w:val="24"/>
        </w:rPr>
        <w:t>postojeć</w:t>
      </w:r>
      <w:r w:rsidR="00C4018A" w:rsidRPr="00BF51BB">
        <w:rPr>
          <w:rFonts w:ascii="Arial" w:hAnsi="Arial" w:cs="Arial"/>
          <w:szCs w:val="24"/>
        </w:rPr>
        <w:t>em portfoliju</w:t>
      </w:r>
      <w:r w:rsidR="00D666B6" w:rsidRPr="00BF51BB">
        <w:rPr>
          <w:rFonts w:ascii="Arial" w:hAnsi="Arial" w:cs="Arial"/>
          <w:szCs w:val="24"/>
        </w:rPr>
        <w:t xml:space="preserve"> duga</w:t>
      </w:r>
      <w:r w:rsidRPr="00BF51BB">
        <w:rPr>
          <w:rFonts w:ascii="Arial" w:hAnsi="Arial" w:cs="Arial"/>
          <w:szCs w:val="24"/>
        </w:rPr>
        <w:t xml:space="preserve"> </w:t>
      </w:r>
      <w:r w:rsidR="002D19CB" w:rsidRPr="00BF51BB">
        <w:rPr>
          <w:rFonts w:ascii="Arial" w:hAnsi="Arial" w:cs="Arial"/>
          <w:szCs w:val="24"/>
        </w:rPr>
        <w:t>F</w:t>
      </w:r>
      <w:r w:rsidR="00D666B6" w:rsidRPr="00BF51BB">
        <w:rPr>
          <w:rFonts w:ascii="Arial" w:hAnsi="Arial" w:cs="Arial"/>
          <w:szCs w:val="24"/>
        </w:rPr>
        <w:t xml:space="preserve">ederacije </w:t>
      </w:r>
      <w:r w:rsidR="002D19CB" w:rsidRPr="00BF51BB">
        <w:rPr>
          <w:rFonts w:ascii="Arial" w:hAnsi="Arial" w:cs="Arial"/>
          <w:szCs w:val="24"/>
        </w:rPr>
        <w:t>BiH</w:t>
      </w:r>
      <w:r w:rsidRPr="00BF51BB">
        <w:rPr>
          <w:rFonts w:ascii="Arial" w:hAnsi="Arial" w:cs="Arial"/>
          <w:szCs w:val="24"/>
        </w:rPr>
        <w:t>, Programu javnih investicija F</w:t>
      </w:r>
      <w:r w:rsidR="00D666B6" w:rsidRPr="00BF51BB">
        <w:rPr>
          <w:rFonts w:ascii="Arial" w:hAnsi="Arial" w:cs="Arial"/>
          <w:szCs w:val="24"/>
        </w:rPr>
        <w:t xml:space="preserve">ederacije </w:t>
      </w:r>
      <w:r w:rsidRPr="00BF51BB">
        <w:rPr>
          <w:rFonts w:ascii="Arial" w:hAnsi="Arial" w:cs="Arial"/>
          <w:szCs w:val="24"/>
        </w:rPr>
        <w:t xml:space="preserve">BiH </w:t>
      </w:r>
      <w:r w:rsidR="00641891" w:rsidRPr="00BF51BB">
        <w:rPr>
          <w:rFonts w:ascii="Arial" w:hAnsi="Arial" w:cs="Arial"/>
          <w:szCs w:val="24"/>
        </w:rPr>
        <w:t>202</w:t>
      </w:r>
      <w:r w:rsidR="002E7622" w:rsidRPr="00BF51BB">
        <w:rPr>
          <w:rFonts w:ascii="Arial" w:hAnsi="Arial" w:cs="Arial"/>
          <w:szCs w:val="24"/>
        </w:rPr>
        <w:t>2</w:t>
      </w:r>
      <w:r w:rsidR="00641891" w:rsidRPr="00BF51BB">
        <w:rPr>
          <w:rFonts w:ascii="Arial" w:hAnsi="Arial" w:cs="Arial"/>
          <w:szCs w:val="24"/>
        </w:rPr>
        <w:t xml:space="preserve"> – 202</w:t>
      </w:r>
      <w:r w:rsidR="002E7622" w:rsidRPr="00BF51BB">
        <w:rPr>
          <w:rFonts w:ascii="Arial" w:hAnsi="Arial" w:cs="Arial"/>
          <w:szCs w:val="24"/>
        </w:rPr>
        <w:t>4</w:t>
      </w:r>
      <w:r w:rsidR="0079164B" w:rsidRPr="00BF51BB">
        <w:rPr>
          <w:rFonts w:ascii="Arial" w:hAnsi="Arial" w:cs="Arial"/>
          <w:szCs w:val="24"/>
        </w:rPr>
        <w:t>.</w:t>
      </w:r>
      <w:r w:rsidR="008E770E" w:rsidRPr="00BF51BB">
        <w:rPr>
          <w:rFonts w:ascii="Arial" w:hAnsi="Arial" w:cs="Arial"/>
          <w:szCs w:val="24"/>
        </w:rPr>
        <w:t xml:space="preserve"> </w:t>
      </w:r>
      <w:r w:rsidR="006C2D03" w:rsidRPr="00BF51BB">
        <w:rPr>
          <w:rFonts w:ascii="Arial" w:hAnsi="Arial" w:cs="Arial"/>
          <w:szCs w:val="24"/>
        </w:rPr>
        <w:t>godina</w:t>
      </w:r>
      <w:r w:rsidR="00741EF0" w:rsidRPr="00BF51BB">
        <w:rPr>
          <w:rFonts w:ascii="Arial" w:hAnsi="Arial" w:cs="Arial"/>
          <w:szCs w:val="24"/>
        </w:rPr>
        <w:t xml:space="preserve"> (PJI</w:t>
      </w:r>
      <w:r w:rsidR="00CD4194" w:rsidRPr="00BF51BB">
        <w:rPr>
          <w:rFonts w:ascii="Arial" w:hAnsi="Arial" w:cs="Arial"/>
          <w:szCs w:val="24"/>
        </w:rPr>
        <w:t xml:space="preserve"> FBiH</w:t>
      </w:r>
      <w:r w:rsidR="006D28D7" w:rsidRPr="00BF51BB">
        <w:rPr>
          <w:rFonts w:ascii="Arial" w:hAnsi="Arial" w:cs="Arial"/>
          <w:szCs w:val="24"/>
        </w:rPr>
        <w:t xml:space="preserve"> </w:t>
      </w:r>
      <w:r w:rsidR="00641891" w:rsidRPr="00BF51BB">
        <w:rPr>
          <w:rFonts w:ascii="Arial" w:hAnsi="Arial" w:cs="Arial"/>
          <w:szCs w:val="24"/>
        </w:rPr>
        <w:t>202</w:t>
      </w:r>
      <w:r w:rsidR="002E7622" w:rsidRPr="00BF51BB">
        <w:rPr>
          <w:rFonts w:ascii="Arial" w:hAnsi="Arial" w:cs="Arial"/>
          <w:szCs w:val="24"/>
        </w:rPr>
        <w:t>2</w:t>
      </w:r>
      <w:r w:rsidR="00641891" w:rsidRPr="00BF51BB">
        <w:rPr>
          <w:rFonts w:ascii="Arial" w:hAnsi="Arial" w:cs="Arial"/>
          <w:szCs w:val="24"/>
        </w:rPr>
        <w:t xml:space="preserve"> – 202</w:t>
      </w:r>
      <w:r w:rsidR="002E7622" w:rsidRPr="00BF51BB">
        <w:rPr>
          <w:rFonts w:ascii="Arial" w:hAnsi="Arial" w:cs="Arial"/>
          <w:szCs w:val="24"/>
        </w:rPr>
        <w:t>4</w:t>
      </w:r>
      <w:r w:rsidR="0079164B" w:rsidRPr="00BF51BB">
        <w:rPr>
          <w:rFonts w:ascii="Arial" w:hAnsi="Arial" w:cs="Arial"/>
          <w:szCs w:val="24"/>
        </w:rPr>
        <w:t>.</w:t>
      </w:r>
      <w:r w:rsidR="00741EF0" w:rsidRPr="00BF51BB">
        <w:rPr>
          <w:rFonts w:ascii="Arial" w:hAnsi="Arial" w:cs="Arial"/>
          <w:szCs w:val="24"/>
        </w:rPr>
        <w:t>)</w:t>
      </w:r>
      <w:r w:rsidR="00906DA8" w:rsidRPr="00BF51BB">
        <w:rPr>
          <w:rFonts w:ascii="Arial" w:hAnsi="Arial" w:cs="Arial"/>
          <w:szCs w:val="24"/>
        </w:rPr>
        <w:t xml:space="preserve"> i D</w:t>
      </w:r>
      <w:r w:rsidR="00087712" w:rsidRPr="00BF51BB">
        <w:rPr>
          <w:rFonts w:ascii="Arial" w:hAnsi="Arial" w:cs="Arial"/>
          <w:szCs w:val="24"/>
        </w:rPr>
        <w:t>okumentu okvirnog budžeta Federacije BiH 202</w:t>
      </w:r>
      <w:r w:rsidR="00621D01" w:rsidRPr="00BF51BB">
        <w:rPr>
          <w:rFonts w:ascii="Arial" w:hAnsi="Arial" w:cs="Arial"/>
          <w:szCs w:val="24"/>
        </w:rPr>
        <w:t>2</w:t>
      </w:r>
      <w:r w:rsidR="00087712" w:rsidRPr="00BF51BB">
        <w:rPr>
          <w:rFonts w:ascii="Arial" w:hAnsi="Arial" w:cs="Arial"/>
          <w:szCs w:val="24"/>
        </w:rPr>
        <w:t xml:space="preserve"> – 202</w:t>
      </w:r>
      <w:r w:rsidR="00621D01" w:rsidRPr="00BF51BB">
        <w:rPr>
          <w:rFonts w:ascii="Arial" w:hAnsi="Arial" w:cs="Arial"/>
          <w:szCs w:val="24"/>
        </w:rPr>
        <w:t>4</w:t>
      </w:r>
      <w:r w:rsidR="001E36D9">
        <w:rPr>
          <w:rFonts w:ascii="Arial" w:hAnsi="Arial" w:cs="Arial"/>
          <w:szCs w:val="24"/>
        </w:rPr>
        <w:t>.</w:t>
      </w:r>
      <w:r w:rsidR="00087712" w:rsidRPr="00BF51BB">
        <w:rPr>
          <w:rFonts w:ascii="Arial" w:hAnsi="Arial" w:cs="Arial"/>
          <w:szCs w:val="24"/>
        </w:rPr>
        <w:t xml:space="preserve"> godine</w:t>
      </w:r>
      <w:r w:rsidR="006C2D03" w:rsidRPr="00BF51BB">
        <w:rPr>
          <w:rFonts w:ascii="Arial" w:hAnsi="Arial" w:cs="Arial"/>
          <w:szCs w:val="24"/>
        </w:rPr>
        <w:t>.</w:t>
      </w:r>
      <w:r w:rsidR="00E378AE" w:rsidRPr="00BF51BB">
        <w:rPr>
          <w:rFonts w:ascii="Arial" w:hAnsi="Arial" w:cs="Arial"/>
          <w:szCs w:val="24"/>
        </w:rPr>
        <w:t xml:space="preserve"> </w:t>
      </w:r>
      <w:r w:rsidR="002B54AA" w:rsidRPr="00BF51BB">
        <w:rPr>
          <w:rFonts w:ascii="Arial" w:hAnsi="Arial" w:cs="Arial"/>
          <w:szCs w:val="24"/>
        </w:rPr>
        <w:t xml:space="preserve">Strategija </w:t>
      </w:r>
      <w:r w:rsidR="00D666B6" w:rsidRPr="00BF51BB">
        <w:rPr>
          <w:rFonts w:ascii="Arial" w:hAnsi="Arial" w:cs="Arial"/>
          <w:szCs w:val="24"/>
        </w:rPr>
        <w:t xml:space="preserve">sadrži </w:t>
      </w:r>
      <w:r w:rsidR="002B54AA" w:rsidRPr="00BF51BB">
        <w:rPr>
          <w:rFonts w:ascii="Arial" w:hAnsi="Arial" w:cs="Arial"/>
          <w:szCs w:val="24"/>
        </w:rPr>
        <w:t xml:space="preserve">planove finansiranja </w:t>
      </w:r>
      <w:r w:rsidR="00F73BE7" w:rsidRPr="00BF51BB">
        <w:rPr>
          <w:rFonts w:ascii="Arial" w:hAnsi="Arial" w:cs="Arial"/>
          <w:szCs w:val="24"/>
        </w:rPr>
        <w:t>potreba</w:t>
      </w:r>
      <w:r w:rsidR="002B54AA" w:rsidRPr="00BF51BB">
        <w:rPr>
          <w:rFonts w:ascii="Arial" w:hAnsi="Arial" w:cs="Arial"/>
          <w:szCs w:val="24"/>
        </w:rPr>
        <w:t xml:space="preserve"> </w:t>
      </w:r>
      <w:r w:rsidR="003D6783" w:rsidRPr="00BF51BB">
        <w:rPr>
          <w:rFonts w:ascii="Arial" w:hAnsi="Arial" w:cs="Arial"/>
          <w:szCs w:val="24"/>
        </w:rPr>
        <w:t>Vlade F</w:t>
      </w:r>
      <w:r w:rsidR="00F327B1" w:rsidRPr="00BF51BB">
        <w:rPr>
          <w:rFonts w:ascii="Arial" w:hAnsi="Arial" w:cs="Arial"/>
          <w:szCs w:val="24"/>
        </w:rPr>
        <w:t xml:space="preserve">ederacije </w:t>
      </w:r>
      <w:r w:rsidR="003D6783" w:rsidRPr="00BF51BB">
        <w:rPr>
          <w:rFonts w:ascii="Arial" w:hAnsi="Arial" w:cs="Arial"/>
          <w:szCs w:val="24"/>
        </w:rPr>
        <w:t xml:space="preserve">BiH </w:t>
      </w:r>
      <w:r w:rsidR="002B54AA" w:rsidRPr="00BF51BB">
        <w:rPr>
          <w:rFonts w:ascii="Arial" w:hAnsi="Arial" w:cs="Arial"/>
          <w:szCs w:val="24"/>
        </w:rPr>
        <w:t>u naredn</w:t>
      </w:r>
      <w:r w:rsidR="007D7527" w:rsidRPr="00BF51BB">
        <w:rPr>
          <w:rFonts w:ascii="Arial" w:hAnsi="Arial" w:cs="Arial"/>
          <w:szCs w:val="24"/>
        </w:rPr>
        <w:t>e tri</w:t>
      </w:r>
      <w:r w:rsidR="002B54AA" w:rsidRPr="00BF51BB">
        <w:rPr>
          <w:rFonts w:ascii="Arial" w:hAnsi="Arial" w:cs="Arial"/>
          <w:szCs w:val="24"/>
        </w:rPr>
        <w:t xml:space="preserve"> godin</w:t>
      </w:r>
      <w:r w:rsidR="007D7527" w:rsidRPr="00BF51BB">
        <w:rPr>
          <w:rFonts w:ascii="Arial" w:hAnsi="Arial" w:cs="Arial"/>
          <w:szCs w:val="24"/>
        </w:rPr>
        <w:t>e</w:t>
      </w:r>
      <w:r w:rsidR="008E770E" w:rsidRPr="00BF51BB">
        <w:rPr>
          <w:rFonts w:ascii="Arial" w:hAnsi="Arial" w:cs="Arial"/>
          <w:szCs w:val="24"/>
        </w:rPr>
        <w:t xml:space="preserve"> kako na vanjskom tako i na unutrašnjem tržištu</w:t>
      </w:r>
      <w:r w:rsidR="002B54AA" w:rsidRPr="00BF51BB">
        <w:rPr>
          <w:rFonts w:ascii="Arial" w:hAnsi="Arial" w:cs="Arial"/>
          <w:szCs w:val="24"/>
        </w:rPr>
        <w:t xml:space="preserve">, te indikativne mjere i alate </w:t>
      </w:r>
      <w:r w:rsidR="00D666B6" w:rsidRPr="00BF51BB">
        <w:rPr>
          <w:rFonts w:ascii="Arial" w:hAnsi="Arial" w:cs="Arial"/>
          <w:szCs w:val="24"/>
        </w:rPr>
        <w:t>potrebne</w:t>
      </w:r>
      <w:r w:rsidR="002B54AA" w:rsidRPr="00BF51BB">
        <w:rPr>
          <w:rFonts w:ascii="Arial" w:hAnsi="Arial" w:cs="Arial"/>
          <w:szCs w:val="24"/>
        </w:rPr>
        <w:t xml:space="preserve"> za dostizanje usvojenih strateških ciljeva.</w:t>
      </w:r>
    </w:p>
    <w:p w14:paraId="63774973" w14:textId="77777777" w:rsidR="00873E7C" w:rsidRPr="00BF51BB" w:rsidRDefault="00873E7C" w:rsidP="00626FD0">
      <w:pPr>
        <w:spacing w:after="0" w:line="240" w:lineRule="auto"/>
        <w:ind w:firstLine="360"/>
        <w:jc w:val="both"/>
        <w:rPr>
          <w:rFonts w:ascii="Arial" w:hAnsi="Arial" w:cs="Arial"/>
          <w:szCs w:val="24"/>
        </w:rPr>
      </w:pPr>
    </w:p>
    <w:p w14:paraId="7249AF12" w14:textId="77777777" w:rsidR="00ED768D" w:rsidRPr="00BF51BB" w:rsidRDefault="00ED768D" w:rsidP="00626FD0">
      <w:pPr>
        <w:spacing w:after="0" w:line="240" w:lineRule="auto"/>
        <w:jc w:val="both"/>
      </w:pPr>
    </w:p>
    <w:p w14:paraId="0FCE2DC5" w14:textId="77777777" w:rsidR="00ED768D" w:rsidRPr="00BF51BB" w:rsidRDefault="00ED768D" w:rsidP="00626FD0">
      <w:pPr>
        <w:pStyle w:val="Heading1"/>
        <w:numPr>
          <w:ilvl w:val="0"/>
          <w:numId w:val="1"/>
        </w:numPr>
        <w:spacing w:before="0" w:line="240" w:lineRule="auto"/>
        <w:rPr>
          <w:rFonts w:ascii="Arial" w:hAnsi="Arial" w:cs="Arial"/>
          <w:b w:val="0"/>
          <w:color w:val="auto"/>
        </w:rPr>
      </w:pPr>
      <w:bookmarkStart w:id="1" w:name="_Toc101781022"/>
      <w:r w:rsidRPr="00BF51BB">
        <w:rPr>
          <w:rFonts w:ascii="Arial" w:hAnsi="Arial" w:cs="Arial"/>
          <w:b w:val="0"/>
          <w:color w:val="auto"/>
        </w:rPr>
        <w:t>PRAVNI I INSTITUCIONALNI OKVIR</w:t>
      </w:r>
      <w:bookmarkEnd w:id="1"/>
    </w:p>
    <w:p w14:paraId="73BE8527" w14:textId="77777777" w:rsidR="00626FD0" w:rsidRPr="00BF51BB" w:rsidRDefault="00626FD0" w:rsidP="00626FD0">
      <w:pPr>
        <w:spacing w:after="0" w:line="240" w:lineRule="auto"/>
      </w:pPr>
    </w:p>
    <w:p w14:paraId="6F0717E9" w14:textId="77777777" w:rsidR="00626FD0" w:rsidRPr="00BF51BB" w:rsidRDefault="00626FD0" w:rsidP="00626FD0">
      <w:pPr>
        <w:pStyle w:val="Heading2"/>
        <w:numPr>
          <w:ilvl w:val="1"/>
          <w:numId w:val="1"/>
        </w:numPr>
        <w:spacing w:before="0" w:line="240" w:lineRule="auto"/>
      </w:pPr>
      <w:bookmarkStart w:id="2" w:name="_Toc101781023"/>
      <w:r w:rsidRPr="00BF51BB">
        <w:rPr>
          <w:rFonts w:ascii="Arial" w:hAnsi="Arial" w:cs="Arial"/>
          <w:b w:val="0"/>
          <w:color w:val="auto"/>
        </w:rPr>
        <w:t>Pravni okvir</w:t>
      </w:r>
      <w:bookmarkEnd w:id="2"/>
    </w:p>
    <w:p w14:paraId="7E2D3176" w14:textId="77777777" w:rsidR="00626FD0" w:rsidRPr="00BF51BB" w:rsidRDefault="00626FD0" w:rsidP="00626FD0">
      <w:pPr>
        <w:spacing w:after="0" w:line="240" w:lineRule="auto"/>
      </w:pPr>
    </w:p>
    <w:p w14:paraId="26CF8AC2" w14:textId="77777777" w:rsidR="00ED768D" w:rsidRPr="00BF51BB" w:rsidRDefault="00ED768D" w:rsidP="00087712">
      <w:pPr>
        <w:spacing w:after="0"/>
        <w:ind w:firstLine="360"/>
        <w:jc w:val="both"/>
        <w:rPr>
          <w:rFonts w:ascii="Arial" w:hAnsi="Arial" w:cs="Arial"/>
        </w:rPr>
      </w:pPr>
      <w:r w:rsidRPr="00BF51BB">
        <w:rPr>
          <w:rFonts w:ascii="Arial" w:hAnsi="Arial" w:cs="Arial"/>
        </w:rPr>
        <w:t xml:space="preserve">Kompleksnost ustavnog uređenja </w:t>
      </w:r>
      <w:r w:rsidR="00384FB2" w:rsidRPr="00BF51BB">
        <w:rPr>
          <w:rFonts w:ascii="Arial" w:hAnsi="Arial" w:cs="Arial"/>
        </w:rPr>
        <w:t>Bosn</w:t>
      </w:r>
      <w:r w:rsidR="00A64C1D" w:rsidRPr="00BF51BB">
        <w:rPr>
          <w:rFonts w:ascii="Arial" w:hAnsi="Arial" w:cs="Arial"/>
        </w:rPr>
        <w:t>e</w:t>
      </w:r>
      <w:r w:rsidR="00384FB2" w:rsidRPr="00BF51BB">
        <w:rPr>
          <w:rFonts w:ascii="Arial" w:hAnsi="Arial" w:cs="Arial"/>
        </w:rPr>
        <w:t xml:space="preserve"> i Hercegovine </w:t>
      </w:r>
      <w:r w:rsidRPr="00BF51BB">
        <w:rPr>
          <w:rFonts w:ascii="Arial" w:hAnsi="Arial" w:cs="Arial"/>
        </w:rPr>
        <w:t>rezultiral</w:t>
      </w:r>
      <w:r w:rsidR="00A64C1D" w:rsidRPr="00BF51BB">
        <w:rPr>
          <w:rFonts w:ascii="Arial" w:hAnsi="Arial" w:cs="Arial"/>
        </w:rPr>
        <w:t>a</w:t>
      </w:r>
      <w:r w:rsidRPr="00BF51BB">
        <w:rPr>
          <w:rFonts w:ascii="Arial" w:hAnsi="Arial" w:cs="Arial"/>
        </w:rPr>
        <w:t xml:space="preserve"> je uspostavljanjem višestrukog zakonodavnog i institucionalnog okvira za upravljanje dugom </w:t>
      </w:r>
      <w:r w:rsidR="00384FB2" w:rsidRPr="00BF51BB">
        <w:rPr>
          <w:rFonts w:ascii="Arial" w:hAnsi="Arial" w:cs="Arial"/>
        </w:rPr>
        <w:t>na svim nivoima vlasti.</w:t>
      </w:r>
    </w:p>
    <w:p w14:paraId="030AF6F1" w14:textId="4C4868A7" w:rsidR="00ED768D" w:rsidRPr="00BF51BB" w:rsidRDefault="00ED768D" w:rsidP="00087712">
      <w:pPr>
        <w:pStyle w:val="NoSpacing"/>
        <w:numPr>
          <w:ilvl w:val="0"/>
          <w:numId w:val="8"/>
        </w:numPr>
        <w:spacing w:line="276" w:lineRule="auto"/>
        <w:ind w:left="426" w:hanging="426"/>
        <w:jc w:val="both"/>
        <w:rPr>
          <w:rFonts w:ascii="Arial" w:hAnsi="Arial" w:cs="Arial"/>
          <w:lang w:val="hr-HR"/>
        </w:rPr>
      </w:pPr>
      <w:r w:rsidRPr="00BF51BB">
        <w:rPr>
          <w:rFonts w:ascii="Arial" w:hAnsi="Arial" w:cs="Arial"/>
          <w:lang w:val="hr-HR"/>
        </w:rPr>
        <w:t>Procedur</w:t>
      </w:r>
      <w:r w:rsidR="00F327B1" w:rsidRPr="00BF51BB">
        <w:rPr>
          <w:rFonts w:ascii="Arial" w:hAnsi="Arial" w:cs="Arial"/>
          <w:lang w:val="hr-HR"/>
        </w:rPr>
        <w:t>a</w:t>
      </w:r>
      <w:r w:rsidRPr="00BF51BB">
        <w:rPr>
          <w:rFonts w:ascii="Arial" w:hAnsi="Arial" w:cs="Arial"/>
          <w:lang w:val="hr-HR"/>
        </w:rPr>
        <w:t xml:space="preserve"> ugovaranja novih vanjskih državnih zajmova </w:t>
      </w:r>
      <w:r w:rsidR="00F327B1" w:rsidRPr="00BF51BB">
        <w:rPr>
          <w:rFonts w:ascii="Arial" w:hAnsi="Arial" w:cs="Arial"/>
          <w:lang w:val="hr-HR"/>
        </w:rPr>
        <w:t>propisana je</w:t>
      </w:r>
      <w:r w:rsidRPr="00BF51BB">
        <w:rPr>
          <w:rFonts w:ascii="Arial" w:hAnsi="Arial" w:cs="Arial"/>
          <w:lang w:val="hr-HR"/>
        </w:rPr>
        <w:t xml:space="preserve"> član</w:t>
      </w:r>
      <w:r w:rsidR="00F327B1" w:rsidRPr="00BF51BB">
        <w:rPr>
          <w:rFonts w:ascii="Arial" w:hAnsi="Arial" w:cs="Arial"/>
          <w:lang w:val="hr-HR"/>
        </w:rPr>
        <w:t>om</w:t>
      </w:r>
      <w:r w:rsidRPr="00BF51BB">
        <w:rPr>
          <w:rFonts w:ascii="Arial" w:hAnsi="Arial" w:cs="Arial"/>
          <w:lang w:val="hr-HR"/>
        </w:rPr>
        <w:t xml:space="preserve"> 39. Zakona o zaduživanju, dugu i garancijama Bosne i Hercegovine („Službeni glasnik</w:t>
      </w:r>
      <w:r w:rsidR="009847D2" w:rsidRPr="00BF51BB">
        <w:rPr>
          <w:rFonts w:ascii="Arial" w:hAnsi="Arial" w:cs="Arial"/>
          <w:lang w:val="hr-HR"/>
        </w:rPr>
        <w:t xml:space="preserve"> BiH“, br. 52/05, 103/09 i 90/16</w:t>
      </w:r>
      <w:r w:rsidR="001E36D9">
        <w:rPr>
          <w:rFonts w:ascii="Arial" w:hAnsi="Arial" w:cs="Arial"/>
          <w:lang w:val="hr-HR"/>
        </w:rPr>
        <w:t xml:space="preserve">, </w:t>
      </w:r>
      <w:r w:rsidR="0043590E" w:rsidRPr="00BF51BB">
        <w:rPr>
          <w:rFonts w:ascii="Arial" w:hAnsi="Arial" w:cs="Arial"/>
          <w:lang w:val="hr-HR"/>
        </w:rPr>
        <w:t>u daljem te</w:t>
      </w:r>
      <w:r w:rsidR="00F327B1" w:rsidRPr="00BF51BB">
        <w:rPr>
          <w:rFonts w:ascii="Arial" w:hAnsi="Arial" w:cs="Arial"/>
          <w:lang w:val="hr-HR"/>
        </w:rPr>
        <w:t>kstu: Zakon o zaduživanju</w:t>
      </w:r>
      <w:r w:rsidR="004476F9" w:rsidRPr="00BF51BB">
        <w:rPr>
          <w:rFonts w:ascii="Arial" w:hAnsi="Arial" w:cs="Arial"/>
          <w:lang w:val="hr-HR"/>
        </w:rPr>
        <w:t xml:space="preserve"> u BiH</w:t>
      </w:r>
      <w:r w:rsidR="00F327B1" w:rsidRPr="00BF51BB">
        <w:rPr>
          <w:rFonts w:ascii="Arial" w:hAnsi="Arial" w:cs="Arial"/>
          <w:lang w:val="hr-HR"/>
        </w:rPr>
        <w:t>)</w:t>
      </w:r>
      <w:r w:rsidRPr="00BF51BB">
        <w:rPr>
          <w:rFonts w:ascii="Arial" w:hAnsi="Arial" w:cs="Arial"/>
          <w:lang w:val="hr-HR"/>
        </w:rPr>
        <w:t xml:space="preserve">, a </w:t>
      </w:r>
      <w:r w:rsidR="00F327B1" w:rsidRPr="00BF51BB">
        <w:rPr>
          <w:rFonts w:ascii="Arial" w:hAnsi="Arial" w:cs="Arial"/>
          <w:lang w:val="hr-HR"/>
        </w:rPr>
        <w:t xml:space="preserve">alokacija obaveze </w:t>
      </w:r>
      <w:r w:rsidRPr="00BF51BB">
        <w:rPr>
          <w:rFonts w:ascii="Arial" w:hAnsi="Arial" w:cs="Arial"/>
          <w:lang w:val="hr-HR"/>
        </w:rPr>
        <w:t>otplate vanjskog državnog duga član</w:t>
      </w:r>
      <w:r w:rsidR="00F327B1" w:rsidRPr="00BF51BB">
        <w:rPr>
          <w:rFonts w:ascii="Arial" w:hAnsi="Arial" w:cs="Arial"/>
          <w:lang w:val="hr-HR"/>
        </w:rPr>
        <w:t>om</w:t>
      </w:r>
      <w:r w:rsidRPr="00BF51BB">
        <w:rPr>
          <w:rFonts w:ascii="Arial" w:hAnsi="Arial" w:cs="Arial"/>
          <w:lang w:val="hr-HR"/>
        </w:rPr>
        <w:t xml:space="preserve"> 50;</w:t>
      </w:r>
    </w:p>
    <w:p w14:paraId="56B03372" w14:textId="3EF83D07" w:rsidR="00ED768D" w:rsidRPr="00BF51BB" w:rsidRDefault="00ED768D" w:rsidP="00087712">
      <w:pPr>
        <w:pStyle w:val="NoSpacing"/>
        <w:numPr>
          <w:ilvl w:val="0"/>
          <w:numId w:val="8"/>
        </w:numPr>
        <w:spacing w:line="276" w:lineRule="auto"/>
        <w:ind w:left="426" w:hanging="426"/>
        <w:jc w:val="both"/>
        <w:rPr>
          <w:rFonts w:ascii="Arial" w:hAnsi="Arial" w:cs="Arial"/>
          <w:lang w:val="hr-HR"/>
        </w:rPr>
      </w:pPr>
      <w:r w:rsidRPr="00BF51BB">
        <w:rPr>
          <w:rFonts w:ascii="Arial" w:hAnsi="Arial" w:cs="Arial"/>
          <w:lang w:val="hr-HR"/>
        </w:rPr>
        <w:t>Zakon o zaduživanju</w:t>
      </w:r>
      <w:r w:rsidR="00130459" w:rsidRPr="00BF51BB">
        <w:rPr>
          <w:rFonts w:ascii="Arial" w:hAnsi="Arial" w:cs="Arial"/>
          <w:lang w:val="hr-HR"/>
        </w:rPr>
        <w:t xml:space="preserve"> </w:t>
      </w:r>
      <w:r w:rsidR="00A22491" w:rsidRPr="00BF51BB">
        <w:rPr>
          <w:rFonts w:ascii="Arial" w:hAnsi="Arial" w:cs="Arial"/>
          <w:lang w:val="hr-HR"/>
        </w:rPr>
        <w:t xml:space="preserve">u BiH </w:t>
      </w:r>
      <w:r w:rsidR="00130459" w:rsidRPr="00BF51BB">
        <w:rPr>
          <w:rFonts w:ascii="Arial" w:hAnsi="Arial" w:cs="Arial"/>
          <w:lang w:val="hr-HR"/>
        </w:rPr>
        <w:t>također</w:t>
      </w:r>
      <w:r w:rsidRPr="00BF51BB">
        <w:rPr>
          <w:rFonts w:ascii="Arial" w:hAnsi="Arial" w:cs="Arial"/>
          <w:lang w:val="hr-HR"/>
        </w:rPr>
        <w:t xml:space="preserve"> daje ovlaštenja entitetima i </w:t>
      </w:r>
      <w:r w:rsidR="00D666B6" w:rsidRPr="00BF51BB">
        <w:rPr>
          <w:rFonts w:ascii="Arial" w:hAnsi="Arial" w:cs="Arial"/>
          <w:lang w:val="hr-HR"/>
        </w:rPr>
        <w:t xml:space="preserve">Brčko </w:t>
      </w:r>
      <w:r w:rsidRPr="00BF51BB">
        <w:rPr>
          <w:rFonts w:ascii="Arial" w:hAnsi="Arial" w:cs="Arial"/>
          <w:lang w:val="hr-HR"/>
        </w:rPr>
        <w:t>Distriktu da sklapaju ugovore o zaduživanju s vanjskim kreditorima po osnovu direktnog duga</w:t>
      </w:r>
      <w:r w:rsidR="002D19CB" w:rsidRPr="00BF51BB">
        <w:rPr>
          <w:rFonts w:ascii="Arial" w:hAnsi="Arial" w:cs="Arial"/>
          <w:lang w:val="hr-HR"/>
        </w:rPr>
        <w:t>,</w:t>
      </w:r>
      <w:r w:rsidR="00E378AE" w:rsidRPr="00BF51BB">
        <w:rPr>
          <w:rFonts w:ascii="Arial" w:hAnsi="Arial" w:cs="Arial"/>
          <w:lang w:val="hr-HR"/>
        </w:rPr>
        <w:t xml:space="preserve"> što je </w:t>
      </w:r>
      <w:r w:rsidR="002D19CB" w:rsidRPr="00BF51BB">
        <w:rPr>
          <w:rFonts w:ascii="Arial" w:hAnsi="Arial" w:cs="Arial"/>
          <w:lang w:val="hr-HR"/>
        </w:rPr>
        <w:t>predmet</w:t>
      </w:r>
      <w:r w:rsidR="00DB68BD" w:rsidRPr="00BF51BB">
        <w:rPr>
          <w:rFonts w:ascii="Arial" w:hAnsi="Arial" w:cs="Arial"/>
          <w:lang w:val="hr-HR"/>
        </w:rPr>
        <w:t>om</w:t>
      </w:r>
      <w:r w:rsidR="002D19CB" w:rsidRPr="00BF51BB">
        <w:rPr>
          <w:rFonts w:ascii="Arial" w:hAnsi="Arial" w:cs="Arial"/>
          <w:lang w:val="hr-HR"/>
        </w:rPr>
        <w:t xml:space="preserve"> prethodne sag</w:t>
      </w:r>
      <w:r w:rsidR="005537DD" w:rsidRPr="00BF51BB">
        <w:rPr>
          <w:rFonts w:ascii="Arial" w:hAnsi="Arial" w:cs="Arial"/>
          <w:lang w:val="hr-HR"/>
        </w:rPr>
        <w:t>lasnosti Parlamentarne skupštine</w:t>
      </w:r>
      <w:r w:rsidR="002D19CB" w:rsidRPr="00BF51BB">
        <w:rPr>
          <w:rFonts w:ascii="Arial" w:hAnsi="Arial" w:cs="Arial"/>
          <w:lang w:val="hr-HR"/>
        </w:rPr>
        <w:t xml:space="preserve"> BiH</w:t>
      </w:r>
      <w:r w:rsidRPr="00BF51BB">
        <w:rPr>
          <w:rFonts w:ascii="Arial" w:hAnsi="Arial" w:cs="Arial"/>
          <w:lang w:val="hr-HR"/>
        </w:rPr>
        <w:t>;</w:t>
      </w:r>
    </w:p>
    <w:p w14:paraId="40B28996" w14:textId="4BB58D1D" w:rsidR="00384FB2" w:rsidRPr="00BF51BB" w:rsidRDefault="00ED768D" w:rsidP="00087712">
      <w:pPr>
        <w:pStyle w:val="NoSpacing"/>
        <w:numPr>
          <w:ilvl w:val="0"/>
          <w:numId w:val="8"/>
        </w:numPr>
        <w:spacing w:line="276" w:lineRule="auto"/>
        <w:ind w:left="426" w:hanging="426"/>
        <w:jc w:val="both"/>
        <w:rPr>
          <w:rFonts w:ascii="Arial" w:hAnsi="Arial" w:cs="Arial"/>
          <w:lang w:val="hr-HR"/>
        </w:rPr>
      </w:pPr>
      <w:r w:rsidRPr="00BF51BB">
        <w:rPr>
          <w:rFonts w:ascii="Arial" w:hAnsi="Arial" w:cs="Arial"/>
          <w:lang w:val="hr-HR"/>
        </w:rPr>
        <w:t>U skladu sa Zakonom o dugu, zaduživanju i garancijama u Federaciji Bosne i Hercegovine („Službene novine FBiH“, br. 86/07, 24/09, 44/1</w:t>
      </w:r>
      <w:r w:rsidR="009847D2" w:rsidRPr="00BF51BB">
        <w:rPr>
          <w:rFonts w:ascii="Arial" w:hAnsi="Arial" w:cs="Arial"/>
          <w:lang w:val="hr-HR"/>
        </w:rPr>
        <w:t>0 i 30/16</w:t>
      </w:r>
      <w:r w:rsidR="001E36D9">
        <w:rPr>
          <w:rFonts w:ascii="Arial" w:hAnsi="Arial" w:cs="Arial"/>
          <w:lang w:val="hr-HR"/>
        </w:rPr>
        <w:t xml:space="preserve">, </w:t>
      </w:r>
      <w:r w:rsidR="009847D2" w:rsidRPr="00BF51BB">
        <w:rPr>
          <w:rFonts w:ascii="Arial" w:hAnsi="Arial" w:cs="Arial"/>
          <w:lang w:val="hr-HR"/>
        </w:rPr>
        <w:t>u daljem tekstu: Zakon o dugu u FBiH</w:t>
      </w:r>
      <w:r w:rsidRPr="00BF51BB">
        <w:rPr>
          <w:rFonts w:ascii="Arial" w:hAnsi="Arial" w:cs="Arial"/>
          <w:lang w:val="hr-HR"/>
        </w:rPr>
        <w:t>) F</w:t>
      </w:r>
      <w:r w:rsidR="00A0450F" w:rsidRPr="00BF51BB">
        <w:rPr>
          <w:rFonts w:ascii="Arial" w:hAnsi="Arial" w:cs="Arial"/>
          <w:lang w:val="hr-HR"/>
        </w:rPr>
        <w:t>ederacija</w:t>
      </w:r>
      <w:r w:rsidRPr="00BF51BB">
        <w:rPr>
          <w:rFonts w:ascii="Arial" w:hAnsi="Arial" w:cs="Arial"/>
          <w:lang w:val="hr-HR"/>
        </w:rPr>
        <w:t xml:space="preserve"> </w:t>
      </w:r>
      <w:r w:rsidR="00B04DA1" w:rsidRPr="00BF51BB">
        <w:rPr>
          <w:rFonts w:ascii="Arial" w:hAnsi="Arial" w:cs="Arial"/>
          <w:lang w:val="hr-HR"/>
        </w:rPr>
        <w:t xml:space="preserve">BiH </w:t>
      </w:r>
      <w:r w:rsidRPr="00BF51BB">
        <w:rPr>
          <w:rFonts w:ascii="Arial" w:hAnsi="Arial" w:cs="Arial"/>
          <w:lang w:val="hr-HR"/>
        </w:rPr>
        <w:t xml:space="preserve">se može zaduživati u zemlji i u inostranstvu u domaćoj ili stranoj valuti. </w:t>
      </w:r>
      <w:r w:rsidR="004D2214" w:rsidRPr="00BF51BB">
        <w:rPr>
          <w:rFonts w:ascii="Arial" w:hAnsi="Arial" w:cs="Arial"/>
          <w:lang w:val="hr-HR"/>
        </w:rPr>
        <w:t xml:space="preserve">Za </w:t>
      </w:r>
      <w:r w:rsidRPr="00BF51BB">
        <w:rPr>
          <w:rFonts w:ascii="Arial" w:hAnsi="Arial" w:cs="Arial"/>
          <w:lang w:val="hr-HR"/>
        </w:rPr>
        <w:t>provođenje procedure zaduživanja</w:t>
      </w:r>
      <w:r w:rsidR="00F5140A" w:rsidRPr="00BF51BB">
        <w:rPr>
          <w:rFonts w:ascii="Arial" w:hAnsi="Arial" w:cs="Arial"/>
          <w:lang w:val="hr-HR"/>
        </w:rPr>
        <w:t>, izdavanja garancija</w:t>
      </w:r>
      <w:r w:rsidRPr="00BF51BB">
        <w:rPr>
          <w:rFonts w:ascii="Arial" w:hAnsi="Arial" w:cs="Arial"/>
          <w:lang w:val="hr-HR"/>
        </w:rPr>
        <w:t xml:space="preserve"> i upravljanje dugom F</w:t>
      </w:r>
      <w:r w:rsidR="00AF4632" w:rsidRPr="00BF51BB">
        <w:rPr>
          <w:rFonts w:ascii="Arial" w:hAnsi="Arial" w:cs="Arial"/>
          <w:lang w:val="hr-HR"/>
        </w:rPr>
        <w:t xml:space="preserve">ederacije </w:t>
      </w:r>
      <w:r w:rsidR="00B06A96" w:rsidRPr="00BF51BB">
        <w:rPr>
          <w:rFonts w:ascii="Arial" w:hAnsi="Arial" w:cs="Arial"/>
          <w:lang w:val="hr-HR"/>
        </w:rPr>
        <w:t>B</w:t>
      </w:r>
      <w:r w:rsidRPr="00BF51BB">
        <w:rPr>
          <w:rFonts w:ascii="Arial" w:hAnsi="Arial" w:cs="Arial"/>
          <w:lang w:val="hr-HR"/>
        </w:rPr>
        <w:t>iH</w:t>
      </w:r>
      <w:r w:rsidR="004D2214" w:rsidRPr="00BF51BB">
        <w:rPr>
          <w:rFonts w:ascii="Arial" w:hAnsi="Arial" w:cs="Arial"/>
          <w:lang w:val="hr-HR"/>
        </w:rPr>
        <w:t xml:space="preserve"> nadležno je F</w:t>
      </w:r>
      <w:r w:rsidR="00B04DA1" w:rsidRPr="00BF51BB">
        <w:rPr>
          <w:rFonts w:ascii="Arial" w:hAnsi="Arial" w:cs="Arial"/>
          <w:lang w:val="hr-HR"/>
        </w:rPr>
        <w:t>ederalno ministarstvo finansija/financija (u daljem tekstu: Ministarstvo finansija)</w:t>
      </w:r>
      <w:r w:rsidRPr="00BF51BB">
        <w:rPr>
          <w:rFonts w:ascii="Arial" w:hAnsi="Arial" w:cs="Arial"/>
          <w:lang w:val="hr-HR"/>
        </w:rPr>
        <w:t xml:space="preserve">. </w:t>
      </w:r>
    </w:p>
    <w:p w14:paraId="1C5522ED" w14:textId="77777777" w:rsidR="00ED768D" w:rsidRPr="00BF51BB" w:rsidRDefault="00ED768D" w:rsidP="00087712">
      <w:pPr>
        <w:pStyle w:val="NoSpacing"/>
        <w:numPr>
          <w:ilvl w:val="0"/>
          <w:numId w:val="8"/>
        </w:numPr>
        <w:spacing w:line="276" w:lineRule="auto"/>
        <w:ind w:left="426" w:hanging="426"/>
        <w:jc w:val="both"/>
        <w:rPr>
          <w:rFonts w:ascii="Arial" w:hAnsi="Arial" w:cs="Arial"/>
          <w:lang w:val="hr-HR"/>
        </w:rPr>
      </w:pPr>
      <w:r w:rsidRPr="00BF51BB">
        <w:rPr>
          <w:rFonts w:ascii="Arial" w:hAnsi="Arial" w:cs="Arial"/>
          <w:lang w:val="hr-HR"/>
        </w:rPr>
        <w:t xml:space="preserve">Zakonom o dugu u FBiH </w:t>
      </w:r>
      <w:r w:rsidR="00B06A96" w:rsidRPr="00BF51BB">
        <w:rPr>
          <w:rFonts w:ascii="Arial" w:hAnsi="Arial" w:cs="Arial"/>
          <w:lang w:val="hr-HR"/>
        </w:rPr>
        <w:t xml:space="preserve">utvrđeni </w:t>
      </w:r>
      <w:r w:rsidR="00274F03" w:rsidRPr="00BF51BB">
        <w:rPr>
          <w:rFonts w:ascii="Arial" w:hAnsi="Arial" w:cs="Arial"/>
          <w:lang w:val="hr-HR"/>
        </w:rPr>
        <w:t>su</w:t>
      </w:r>
      <w:r w:rsidRPr="00BF51BB">
        <w:rPr>
          <w:rFonts w:ascii="Arial" w:hAnsi="Arial" w:cs="Arial"/>
          <w:lang w:val="hr-HR"/>
        </w:rPr>
        <w:t xml:space="preserve"> limiti zaduživanja F</w:t>
      </w:r>
      <w:r w:rsidR="00AF4632" w:rsidRPr="00BF51BB">
        <w:rPr>
          <w:rFonts w:ascii="Arial" w:hAnsi="Arial" w:cs="Arial"/>
          <w:lang w:val="hr-HR"/>
        </w:rPr>
        <w:t xml:space="preserve">ederacije </w:t>
      </w:r>
      <w:r w:rsidRPr="00BF51BB">
        <w:rPr>
          <w:rFonts w:ascii="Arial" w:hAnsi="Arial" w:cs="Arial"/>
          <w:lang w:val="hr-HR"/>
        </w:rPr>
        <w:t>BiH</w:t>
      </w:r>
      <w:r w:rsidR="00C2494B" w:rsidRPr="00BF51BB">
        <w:rPr>
          <w:rFonts w:ascii="Arial" w:hAnsi="Arial" w:cs="Arial"/>
          <w:lang w:val="hr-HR"/>
        </w:rPr>
        <w:t>, kao i svrhe u  koje se</w:t>
      </w:r>
      <w:r w:rsidRPr="00BF51BB">
        <w:rPr>
          <w:rFonts w:ascii="Arial" w:hAnsi="Arial" w:cs="Arial"/>
          <w:lang w:val="hr-HR"/>
        </w:rPr>
        <w:t xml:space="preserve"> F</w:t>
      </w:r>
      <w:r w:rsidR="00AF4632" w:rsidRPr="00BF51BB">
        <w:rPr>
          <w:rFonts w:ascii="Arial" w:hAnsi="Arial" w:cs="Arial"/>
          <w:lang w:val="hr-HR"/>
        </w:rPr>
        <w:t xml:space="preserve">ederacija </w:t>
      </w:r>
      <w:r w:rsidRPr="00BF51BB">
        <w:rPr>
          <w:rFonts w:ascii="Arial" w:hAnsi="Arial" w:cs="Arial"/>
          <w:lang w:val="hr-HR"/>
        </w:rPr>
        <w:t>BiH može zadužiti na vanjskom ili unutrašnjem tržištu</w:t>
      </w:r>
      <w:r w:rsidR="00C2494B" w:rsidRPr="00BF51BB">
        <w:rPr>
          <w:rFonts w:ascii="Arial" w:hAnsi="Arial" w:cs="Arial"/>
          <w:lang w:val="hr-HR"/>
        </w:rPr>
        <w:t xml:space="preserve">, </w:t>
      </w:r>
      <w:r w:rsidRPr="00BF51BB">
        <w:rPr>
          <w:rFonts w:ascii="Arial" w:hAnsi="Arial" w:cs="Arial"/>
          <w:lang w:val="hr-HR"/>
        </w:rPr>
        <w:t>te izdati garancije</w:t>
      </w:r>
      <w:r w:rsidR="00B13751" w:rsidRPr="00BF51BB">
        <w:rPr>
          <w:rFonts w:ascii="Arial" w:hAnsi="Arial" w:cs="Arial"/>
          <w:lang w:val="hr-HR"/>
        </w:rPr>
        <w:t>.</w:t>
      </w:r>
    </w:p>
    <w:p w14:paraId="09299300" w14:textId="77777777" w:rsidR="00626FD0" w:rsidRPr="00BF51BB" w:rsidRDefault="00626FD0" w:rsidP="00626FD0">
      <w:pPr>
        <w:pStyle w:val="NoSpacing"/>
        <w:ind w:left="426"/>
        <w:jc w:val="both"/>
        <w:rPr>
          <w:rFonts w:ascii="Arial" w:hAnsi="Arial" w:cs="Arial"/>
          <w:sz w:val="24"/>
          <w:szCs w:val="24"/>
          <w:lang w:val="hr-HR"/>
        </w:rPr>
      </w:pPr>
    </w:p>
    <w:p w14:paraId="1AF9239F" w14:textId="77777777" w:rsidR="00626FD0" w:rsidRPr="00BF51BB" w:rsidRDefault="00626FD0" w:rsidP="00626FD0">
      <w:pPr>
        <w:pStyle w:val="Heading2"/>
        <w:numPr>
          <w:ilvl w:val="1"/>
          <w:numId w:val="1"/>
        </w:numPr>
        <w:spacing w:before="0" w:line="240" w:lineRule="auto"/>
        <w:rPr>
          <w:rFonts w:ascii="Arial" w:hAnsi="Arial" w:cs="Arial"/>
          <w:sz w:val="24"/>
          <w:szCs w:val="24"/>
        </w:rPr>
      </w:pPr>
      <w:bookmarkStart w:id="3" w:name="_Toc101781024"/>
      <w:r w:rsidRPr="00BF51BB">
        <w:rPr>
          <w:rFonts w:ascii="Arial" w:hAnsi="Arial" w:cs="Arial"/>
          <w:b w:val="0"/>
          <w:color w:val="auto"/>
        </w:rPr>
        <w:t>Institucionalni okvir</w:t>
      </w:r>
      <w:bookmarkEnd w:id="3"/>
    </w:p>
    <w:p w14:paraId="62D83C36" w14:textId="77777777" w:rsidR="00626FD0" w:rsidRPr="00BF51BB" w:rsidRDefault="00626FD0" w:rsidP="00626FD0">
      <w:pPr>
        <w:pStyle w:val="NoSpacing"/>
        <w:jc w:val="both"/>
        <w:rPr>
          <w:rFonts w:ascii="Arial" w:hAnsi="Arial" w:cs="Arial"/>
          <w:sz w:val="24"/>
          <w:szCs w:val="24"/>
          <w:lang w:val="hr-HR"/>
        </w:rPr>
      </w:pPr>
    </w:p>
    <w:p w14:paraId="2D334F5E" w14:textId="77777777" w:rsidR="00B63D95" w:rsidRPr="00BF51BB" w:rsidRDefault="00626FD0" w:rsidP="00087712">
      <w:pPr>
        <w:spacing w:after="0"/>
        <w:ind w:firstLine="360"/>
        <w:jc w:val="both"/>
        <w:rPr>
          <w:rFonts w:ascii="Arial" w:hAnsi="Arial" w:cs="Arial"/>
          <w:szCs w:val="24"/>
        </w:rPr>
      </w:pPr>
      <w:r w:rsidRPr="00BF51BB">
        <w:rPr>
          <w:rFonts w:ascii="Arial" w:hAnsi="Arial" w:cs="Arial"/>
          <w:szCs w:val="24"/>
        </w:rPr>
        <w:t>Sve transakcije vezane</w:t>
      </w:r>
      <w:r w:rsidR="009847D2" w:rsidRPr="00BF51BB">
        <w:rPr>
          <w:rFonts w:ascii="Arial" w:hAnsi="Arial" w:cs="Arial"/>
          <w:szCs w:val="24"/>
        </w:rPr>
        <w:t xml:space="preserve"> za dug i garancije unutar </w:t>
      </w:r>
      <w:r w:rsidR="00D311D5" w:rsidRPr="00BF51BB">
        <w:rPr>
          <w:rFonts w:ascii="Arial" w:hAnsi="Arial" w:cs="Arial"/>
          <w:szCs w:val="24"/>
        </w:rPr>
        <w:t>Ministarstva finansija</w:t>
      </w:r>
      <w:r w:rsidR="009847D2" w:rsidRPr="00BF51BB">
        <w:rPr>
          <w:rFonts w:ascii="Arial" w:hAnsi="Arial" w:cs="Arial"/>
          <w:szCs w:val="24"/>
        </w:rPr>
        <w:t xml:space="preserve"> </w:t>
      </w:r>
      <w:r w:rsidRPr="00BF51BB">
        <w:rPr>
          <w:rFonts w:ascii="Arial" w:hAnsi="Arial" w:cs="Arial"/>
          <w:szCs w:val="24"/>
        </w:rPr>
        <w:t>provodi Sektor za upravljanje dugom kojim rukovodi pomoćnik ministra</w:t>
      </w:r>
      <w:r w:rsidR="009847D2" w:rsidRPr="00BF51BB">
        <w:rPr>
          <w:rFonts w:ascii="Arial" w:hAnsi="Arial" w:cs="Arial"/>
          <w:szCs w:val="24"/>
        </w:rPr>
        <w:t xml:space="preserve"> i</w:t>
      </w:r>
      <w:r w:rsidRPr="00BF51BB">
        <w:rPr>
          <w:rFonts w:ascii="Arial" w:hAnsi="Arial" w:cs="Arial"/>
          <w:szCs w:val="24"/>
        </w:rPr>
        <w:t xml:space="preserve"> direktno je odgovoran ministru finansija. </w:t>
      </w:r>
    </w:p>
    <w:p w14:paraId="4281DC0C" w14:textId="77777777" w:rsidR="00B63D95" w:rsidRPr="00BF51BB" w:rsidRDefault="00B63D95" w:rsidP="00087712">
      <w:pPr>
        <w:spacing w:after="0"/>
        <w:ind w:firstLine="360"/>
        <w:jc w:val="both"/>
        <w:rPr>
          <w:rFonts w:ascii="Arial" w:hAnsi="Arial" w:cs="Arial"/>
          <w:szCs w:val="24"/>
        </w:rPr>
      </w:pPr>
    </w:p>
    <w:p w14:paraId="1C8ADF54" w14:textId="24789F3E" w:rsidR="00626FD0" w:rsidRPr="00BF51BB" w:rsidRDefault="00626FD0" w:rsidP="00087712">
      <w:pPr>
        <w:spacing w:after="0"/>
        <w:ind w:firstLine="360"/>
        <w:jc w:val="both"/>
        <w:rPr>
          <w:rFonts w:ascii="Arial" w:hAnsi="Arial" w:cs="Arial"/>
          <w:szCs w:val="24"/>
        </w:rPr>
      </w:pPr>
      <w:r w:rsidRPr="00BF51BB">
        <w:rPr>
          <w:rFonts w:ascii="Arial" w:hAnsi="Arial" w:cs="Arial"/>
          <w:szCs w:val="24"/>
        </w:rPr>
        <w:t>Sektor se sastoji iz tri odsjeka:</w:t>
      </w:r>
    </w:p>
    <w:p w14:paraId="0440A552" w14:textId="77777777" w:rsidR="00626FD0" w:rsidRPr="00BF51BB" w:rsidRDefault="00626FD0" w:rsidP="00087712">
      <w:pPr>
        <w:pStyle w:val="NoSpacing"/>
        <w:numPr>
          <w:ilvl w:val="0"/>
          <w:numId w:val="24"/>
        </w:numPr>
        <w:spacing w:line="276" w:lineRule="auto"/>
        <w:jc w:val="both"/>
        <w:rPr>
          <w:rFonts w:ascii="Arial" w:hAnsi="Arial" w:cs="Arial"/>
          <w:szCs w:val="24"/>
          <w:lang w:val="hr-HR"/>
        </w:rPr>
      </w:pPr>
      <w:r w:rsidRPr="00BF51BB">
        <w:rPr>
          <w:rFonts w:ascii="Arial" w:hAnsi="Arial" w:cs="Arial"/>
          <w:szCs w:val="24"/>
          <w:lang w:val="hr-HR"/>
        </w:rPr>
        <w:t>Odsjek za zaduživanje i koordinaciju sredstava za razvoj (eng. Front office)</w:t>
      </w:r>
    </w:p>
    <w:p w14:paraId="3F12F289" w14:textId="77777777" w:rsidR="00626FD0" w:rsidRPr="00BF51BB" w:rsidRDefault="00626FD0" w:rsidP="00087712">
      <w:pPr>
        <w:pStyle w:val="NoSpacing"/>
        <w:numPr>
          <w:ilvl w:val="0"/>
          <w:numId w:val="24"/>
        </w:numPr>
        <w:spacing w:line="276" w:lineRule="auto"/>
        <w:jc w:val="both"/>
        <w:rPr>
          <w:rFonts w:ascii="Arial" w:hAnsi="Arial" w:cs="Arial"/>
          <w:szCs w:val="24"/>
          <w:lang w:val="hr-HR"/>
        </w:rPr>
      </w:pPr>
      <w:r w:rsidRPr="00BF51BB">
        <w:rPr>
          <w:rFonts w:ascii="Arial" w:hAnsi="Arial" w:cs="Arial"/>
          <w:szCs w:val="24"/>
          <w:lang w:val="hr-HR"/>
        </w:rPr>
        <w:t>Odsjek za analizu i izvještavanje (eng. Middle office)</w:t>
      </w:r>
    </w:p>
    <w:p w14:paraId="54EF5101" w14:textId="77777777" w:rsidR="00626FD0" w:rsidRPr="00BF51BB" w:rsidRDefault="00626FD0" w:rsidP="00087712">
      <w:pPr>
        <w:pStyle w:val="NoSpacing"/>
        <w:numPr>
          <w:ilvl w:val="0"/>
          <w:numId w:val="24"/>
        </w:numPr>
        <w:spacing w:line="276" w:lineRule="auto"/>
        <w:jc w:val="both"/>
        <w:rPr>
          <w:rFonts w:ascii="Arial" w:hAnsi="Arial" w:cs="Arial"/>
          <w:szCs w:val="24"/>
          <w:lang w:val="hr-HR"/>
        </w:rPr>
      </w:pPr>
      <w:r w:rsidRPr="00BF51BB">
        <w:rPr>
          <w:rFonts w:ascii="Arial" w:hAnsi="Arial" w:cs="Arial"/>
          <w:szCs w:val="24"/>
          <w:lang w:val="hr-HR"/>
        </w:rPr>
        <w:t xml:space="preserve">Odsjek za izmirenje duga (eng. Back office) </w:t>
      </w:r>
    </w:p>
    <w:p w14:paraId="7C036807" w14:textId="77777777" w:rsidR="00626FD0" w:rsidRPr="00BF51BB" w:rsidRDefault="00626FD0" w:rsidP="00087712">
      <w:pPr>
        <w:pStyle w:val="NoSpacing"/>
        <w:spacing w:line="276" w:lineRule="auto"/>
        <w:jc w:val="both"/>
        <w:rPr>
          <w:rFonts w:ascii="Arial" w:hAnsi="Arial" w:cs="Arial"/>
          <w:szCs w:val="24"/>
          <w:lang w:val="hr-HR"/>
        </w:rPr>
      </w:pPr>
    </w:p>
    <w:p w14:paraId="29BADE7D" w14:textId="77777777" w:rsidR="00626FD0" w:rsidRPr="00BF51BB" w:rsidRDefault="00626FD0" w:rsidP="00087712">
      <w:pPr>
        <w:pStyle w:val="NoSpacing"/>
        <w:spacing w:line="276" w:lineRule="auto"/>
        <w:ind w:firstLine="142"/>
        <w:jc w:val="both"/>
        <w:rPr>
          <w:rFonts w:ascii="Arial" w:hAnsi="Arial" w:cs="Arial"/>
          <w:szCs w:val="24"/>
          <w:lang w:val="hr-HR"/>
        </w:rPr>
      </w:pPr>
      <w:r w:rsidRPr="00BF51BB">
        <w:rPr>
          <w:rFonts w:ascii="Arial" w:hAnsi="Arial" w:cs="Arial"/>
          <w:szCs w:val="24"/>
          <w:lang w:val="hr-HR"/>
        </w:rPr>
        <w:t xml:space="preserve">Ovakvom organizacionom strukturom Sektora za upravljanje dugom osigurano je jasno razdvajanje dužnosti između službenika koji imaju ovlaštenja da pregovaraju i provode transakcije zaduživanja i onih koji su zaduženi za računovodstveno evidentiranje tih transakcija i servisiranje duga, kao i službenika koji su odgovorni za monitoring, odnosno analizu i izvještavanje. </w:t>
      </w:r>
    </w:p>
    <w:p w14:paraId="00F62453" w14:textId="77777777" w:rsidR="00ED768D" w:rsidRPr="00BF51BB" w:rsidRDefault="00ED768D" w:rsidP="00ED768D">
      <w:pPr>
        <w:pStyle w:val="Heading1"/>
        <w:numPr>
          <w:ilvl w:val="0"/>
          <w:numId w:val="1"/>
        </w:numPr>
        <w:spacing w:before="0"/>
        <w:ind w:left="567" w:hanging="425"/>
        <w:jc w:val="both"/>
        <w:rPr>
          <w:rFonts w:ascii="Arial" w:hAnsi="Arial" w:cs="Arial"/>
          <w:b w:val="0"/>
          <w:color w:val="auto"/>
        </w:rPr>
      </w:pPr>
      <w:bookmarkStart w:id="4" w:name="_Toc101781025"/>
      <w:r w:rsidRPr="00BF51BB">
        <w:rPr>
          <w:rFonts w:ascii="Arial" w:hAnsi="Arial" w:cs="Arial"/>
          <w:b w:val="0"/>
          <w:color w:val="auto"/>
        </w:rPr>
        <w:lastRenderedPageBreak/>
        <w:t>CILJEVI I OBUHVAT STRATEGIJE UPRAVLJANJA DUGOM</w:t>
      </w:r>
      <w:bookmarkEnd w:id="4"/>
    </w:p>
    <w:p w14:paraId="7DDC3F7E" w14:textId="77777777" w:rsidR="00BE5B36" w:rsidRPr="00BF51BB" w:rsidRDefault="00BE5B36" w:rsidP="00ED768D">
      <w:pPr>
        <w:pStyle w:val="NoSpacing"/>
        <w:rPr>
          <w:rFonts w:ascii="Arial" w:hAnsi="Arial" w:cs="Arial"/>
          <w:lang w:val="hr-HR"/>
        </w:rPr>
      </w:pPr>
    </w:p>
    <w:p w14:paraId="1B80BE51" w14:textId="77777777" w:rsidR="00087712" w:rsidRPr="00BF51BB" w:rsidRDefault="00087712" w:rsidP="00ED768D">
      <w:pPr>
        <w:pStyle w:val="NoSpacing"/>
        <w:rPr>
          <w:rFonts w:ascii="Arial" w:hAnsi="Arial" w:cs="Arial"/>
          <w:lang w:val="hr-HR"/>
        </w:rPr>
      </w:pPr>
    </w:p>
    <w:p w14:paraId="057CBF96" w14:textId="77777777" w:rsidR="00ED768D" w:rsidRPr="00BF51BB" w:rsidRDefault="00ED768D" w:rsidP="00087712">
      <w:pPr>
        <w:pStyle w:val="Heading2"/>
        <w:numPr>
          <w:ilvl w:val="1"/>
          <w:numId w:val="1"/>
        </w:numPr>
        <w:spacing w:before="0"/>
        <w:rPr>
          <w:rFonts w:ascii="Arial" w:hAnsi="Arial" w:cs="Arial"/>
          <w:b w:val="0"/>
          <w:color w:val="auto"/>
          <w:sz w:val="22"/>
          <w:szCs w:val="22"/>
        </w:rPr>
      </w:pPr>
      <w:bookmarkStart w:id="5" w:name="_Toc101781026"/>
      <w:r w:rsidRPr="00BF51BB">
        <w:rPr>
          <w:rFonts w:ascii="Arial" w:hAnsi="Arial" w:cs="Arial"/>
          <w:b w:val="0"/>
          <w:color w:val="auto"/>
          <w:sz w:val="22"/>
          <w:szCs w:val="22"/>
        </w:rPr>
        <w:t>Ciljevi upravljanja dugom</w:t>
      </w:r>
      <w:bookmarkEnd w:id="5"/>
    </w:p>
    <w:p w14:paraId="1DCE916B" w14:textId="77777777" w:rsidR="00ED768D" w:rsidRPr="00BF51BB" w:rsidRDefault="00ED768D" w:rsidP="00087712">
      <w:pPr>
        <w:spacing w:after="0"/>
        <w:jc w:val="both"/>
      </w:pPr>
    </w:p>
    <w:p w14:paraId="18AD8AFE" w14:textId="77777777" w:rsidR="00ED768D" w:rsidRPr="00BF51BB" w:rsidRDefault="00E378AE" w:rsidP="00087712">
      <w:pPr>
        <w:pStyle w:val="NoSpacing"/>
        <w:spacing w:line="276" w:lineRule="auto"/>
        <w:jc w:val="both"/>
        <w:rPr>
          <w:rFonts w:ascii="Arial" w:hAnsi="Arial" w:cs="Arial"/>
          <w:lang w:val="hr-HR"/>
        </w:rPr>
      </w:pPr>
      <w:r w:rsidRPr="00BF51BB">
        <w:rPr>
          <w:rFonts w:ascii="Arial" w:hAnsi="Arial" w:cs="Arial"/>
          <w:lang w:val="hr-HR"/>
        </w:rPr>
        <w:t>C</w:t>
      </w:r>
      <w:r w:rsidR="00ED768D" w:rsidRPr="00BF51BB">
        <w:rPr>
          <w:rFonts w:ascii="Arial" w:hAnsi="Arial" w:cs="Arial"/>
          <w:lang w:val="hr-HR"/>
        </w:rPr>
        <w:t>iljevi upravljanja dugom Vlade F</w:t>
      </w:r>
      <w:r w:rsidR="00D864A3" w:rsidRPr="00BF51BB">
        <w:rPr>
          <w:rFonts w:ascii="Arial" w:hAnsi="Arial" w:cs="Arial"/>
          <w:lang w:val="hr-HR"/>
        </w:rPr>
        <w:t xml:space="preserve">ederacije </w:t>
      </w:r>
      <w:r w:rsidR="00ED768D" w:rsidRPr="00BF51BB">
        <w:rPr>
          <w:rFonts w:ascii="Arial" w:hAnsi="Arial" w:cs="Arial"/>
          <w:lang w:val="hr-HR"/>
        </w:rPr>
        <w:t>BiH su:</w:t>
      </w:r>
    </w:p>
    <w:p w14:paraId="54B9F2F0" w14:textId="77777777" w:rsidR="00C4523E" w:rsidRPr="00BF51BB" w:rsidRDefault="00C4523E" w:rsidP="00087712">
      <w:pPr>
        <w:pStyle w:val="NoSpacing"/>
        <w:spacing w:line="276" w:lineRule="auto"/>
        <w:jc w:val="both"/>
        <w:rPr>
          <w:rFonts w:ascii="Arial" w:hAnsi="Arial" w:cs="Arial"/>
          <w:lang w:val="hr-HR"/>
        </w:rPr>
      </w:pPr>
    </w:p>
    <w:p w14:paraId="7CA9B1A8" w14:textId="6127A3DE" w:rsidR="00ED768D" w:rsidRPr="00BF51BB" w:rsidRDefault="00ED768D" w:rsidP="00087712">
      <w:pPr>
        <w:pStyle w:val="NoSpacing"/>
        <w:numPr>
          <w:ilvl w:val="0"/>
          <w:numId w:val="2"/>
        </w:numPr>
        <w:spacing w:line="276" w:lineRule="auto"/>
        <w:jc w:val="both"/>
        <w:rPr>
          <w:rFonts w:ascii="Arial" w:hAnsi="Arial" w:cs="Arial"/>
          <w:lang w:val="hr-HR"/>
        </w:rPr>
      </w:pPr>
      <w:r w:rsidRPr="00BF51BB">
        <w:rPr>
          <w:rFonts w:ascii="Arial" w:hAnsi="Arial" w:cs="Arial"/>
          <w:lang w:val="hr-HR"/>
        </w:rPr>
        <w:t xml:space="preserve">osiguranje finansijskih sredstava za finansiranje vladinih potreba uz </w:t>
      </w:r>
      <w:r w:rsidR="009847D2" w:rsidRPr="00BF51BB">
        <w:rPr>
          <w:rFonts w:ascii="Arial" w:hAnsi="Arial" w:cs="Arial"/>
          <w:lang w:val="hr-HR"/>
        </w:rPr>
        <w:t xml:space="preserve">prihvatljive troškove i rizike </w:t>
      </w:r>
      <w:r w:rsidRPr="00BF51BB">
        <w:rPr>
          <w:rFonts w:ascii="Arial" w:hAnsi="Arial" w:cs="Arial"/>
          <w:lang w:val="hr-HR"/>
        </w:rPr>
        <w:t xml:space="preserve">u srednjem i dugom roku; </w:t>
      </w:r>
    </w:p>
    <w:p w14:paraId="15117D62" w14:textId="77777777" w:rsidR="00ED768D" w:rsidRPr="00BF51BB" w:rsidRDefault="00ED768D" w:rsidP="00087712">
      <w:pPr>
        <w:pStyle w:val="NoSpacing"/>
        <w:numPr>
          <w:ilvl w:val="0"/>
          <w:numId w:val="2"/>
        </w:numPr>
        <w:spacing w:line="276" w:lineRule="auto"/>
        <w:jc w:val="both"/>
        <w:rPr>
          <w:rFonts w:ascii="Arial" w:hAnsi="Arial" w:cs="Arial"/>
          <w:lang w:val="hr-HR"/>
        </w:rPr>
      </w:pPr>
      <w:r w:rsidRPr="00BF51BB">
        <w:rPr>
          <w:rFonts w:ascii="Arial" w:hAnsi="Arial" w:cs="Arial"/>
          <w:lang w:val="hr-HR"/>
        </w:rPr>
        <w:t>razvoj domaćeg tržišta vrijednosnih papira.</w:t>
      </w:r>
    </w:p>
    <w:p w14:paraId="5B03DC1C" w14:textId="77777777" w:rsidR="00C4523E" w:rsidRPr="00BF51BB" w:rsidRDefault="00C4523E" w:rsidP="00087712">
      <w:pPr>
        <w:pStyle w:val="NoSpacing"/>
        <w:spacing w:line="276" w:lineRule="auto"/>
        <w:ind w:left="720"/>
        <w:jc w:val="both"/>
        <w:rPr>
          <w:rFonts w:ascii="Arial" w:hAnsi="Arial" w:cs="Arial"/>
          <w:lang w:val="hr-HR"/>
        </w:rPr>
      </w:pPr>
    </w:p>
    <w:p w14:paraId="3E201143" w14:textId="77777777" w:rsidR="00ED768D" w:rsidRPr="00BF51BB" w:rsidRDefault="00ED768D" w:rsidP="00087712">
      <w:pPr>
        <w:pStyle w:val="Heading2"/>
        <w:numPr>
          <w:ilvl w:val="1"/>
          <w:numId w:val="1"/>
        </w:numPr>
        <w:spacing w:before="0"/>
        <w:rPr>
          <w:rFonts w:ascii="Arial" w:hAnsi="Arial" w:cs="Arial"/>
          <w:b w:val="0"/>
          <w:color w:val="auto"/>
          <w:sz w:val="22"/>
          <w:szCs w:val="22"/>
        </w:rPr>
      </w:pPr>
      <w:bookmarkStart w:id="6" w:name="_Toc101781027"/>
      <w:r w:rsidRPr="00BF51BB">
        <w:rPr>
          <w:rFonts w:ascii="Arial" w:hAnsi="Arial" w:cs="Arial"/>
          <w:b w:val="0"/>
          <w:color w:val="auto"/>
          <w:sz w:val="22"/>
          <w:szCs w:val="22"/>
        </w:rPr>
        <w:t>Obuhvat Strategije</w:t>
      </w:r>
      <w:bookmarkEnd w:id="6"/>
    </w:p>
    <w:p w14:paraId="6F43112D" w14:textId="77777777" w:rsidR="009847D2" w:rsidRPr="00BF51BB" w:rsidRDefault="009847D2" w:rsidP="00087712">
      <w:pPr>
        <w:pStyle w:val="NoSpacing"/>
        <w:spacing w:line="276" w:lineRule="auto"/>
        <w:ind w:firstLine="360"/>
        <w:jc w:val="both"/>
        <w:rPr>
          <w:rFonts w:ascii="Arial" w:hAnsi="Arial" w:cs="Arial"/>
          <w:lang w:val="hr-HR"/>
        </w:rPr>
      </w:pPr>
    </w:p>
    <w:p w14:paraId="7AF6E361" w14:textId="2D776406" w:rsidR="001A7F1E" w:rsidRPr="00BF51BB" w:rsidRDefault="00130459" w:rsidP="00087712">
      <w:pPr>
        <w:pStyle w:val="NoSpacing"/>
        <w:spacing w:line="276" w:lineRule="auto"/>
        <w:ind w:firstLine="360"/>
        <w:jc w:val="both"/>
        <w:rPr>
          <w:rFonts w:ascii="Arial" w:hAnsi="Arial" w:cs="Arial"/>
          <w:lang w:val="hr-HR"/>
        </w:rPr>
      </w:pPr>
      <w:r w:rsidRPr="00BF51BB">
        <w:rPr>
          <w:rFonts w:ascii="Arial" w:hAnsi="Arial" w:cs="Arial"/>
          <w:lang w:val="hr-HR"/>
        </w:rPr>
        <w:t>S</w:t>
      </w:r>
      <w:r w:rsidR="00ED768D" w:rsidRPr="00BF51BB">
        <w:rPr>
          <w:rFonts w:ascii="Arial" w:hAnsi="Arial" w:cs="Arial"/>
          <w:lang w:val="hr-HR"/>
        </w:rPr>
        <w:t xml:space="preserve">trategija obuhvata portfolio duga </w:t>
      </w:r>
      <w:r w:rsidR="004476F9" w:rsidRPr="00BF51BB">
        <w:rPr>
          <w:rFonts w:ascii="Arial" w:hAnsi="Arial" w:cs="Arial"/>
          <w:lang w:val="hr-HR"/>
        </w:rPr>
        <w:t>na dan 31.12.</w:t>
      </w:r>
      <w:r w:rsidR="00112088" w:rsidRPr="00BF51BB">
        <w:rPr>
          <w:rFonts w:ascii="Arial" w:hAnsi="Arial" w:cs="Arial"/>
          <w:lang w:val="hr-HR"/>
        </w:rPr>
        <w:t>2021</w:t>
      </w:r>
      <w:r w:rsidR="004476F9" w:rsidRPr="00BF51BB">
        <w:rPr>
          <w:rFonts w:ascii="Arial" w:hAnsi="Arial" w:cs="Arial"/>
          <w:lang w:val="hr-HR"/>
        </w:rPr>
        <w:t xml:space="preserve">. godine </w:t>
      </w:r>
      <w:r w:rsidR="00ED768D" w:rsidRPr="00BF51BB">
        <w:rPr>
          <w:rFonts w:ascii="Arial" w:hAnsi="Arial" w:cs="Arial"/>
          <w:lang w:val="hr-HR"/>
        </w:rPr>
        <w:t xml:space="preserve">kojim upravlja </w:t>
      </w:r>
      <w:r w:rsidR="00AF4632" w:rsidRPr="00BF51BB">
        <w:rPr>
          <w:rFonts w:ascii="Arial" w:hAnsi="Arial" w:cs="Arial"/>
          <w:lang w:val="hr-HR"/>
        </w:rPr>
        <w:t>Vlada Federacije BiH</w:t>
      </w:r>
      <w:r w:rsidR="00771DC5" w:rsidRPr="00BF51BB">
        <w:rPr>
          <w:rFonts w:ascii="Arial" w:hAnsi="Arial" w:cs="Arial"/>
          <w:lang w:val="hr-HR"/>
        </w:rPr>
        <w:t xml:space="preserve"> </w:t>
      </w:r>
      <w:r w:rsidR="000D54BA" w:rsidRPr="00BF51BB">
        <w:rPr>
          <w:rFonts w:ascii="Arial" w:hAnsi="Arial" w:cs="Arial"/>
          <w:lang w:val="hr-HR"/>
        </w:rPr>
        <w:t xml:space="preserve">i </w:t>
      </w:r>
      <w:r w:rsidR="00C2494B" w:rsidRPr="00BF51BB">
        <w:rPr>
          <w:rFonts w:ascii="Arial" w:hAnsi="Arial" w:cs="Arial"/>
          <w:lang w:val="hr-HR"/>
        </w:rPr>
        <w:t>koji je prikazan u narednoj tabeli.</w:t>
      </w:r>
    </w:p>
    <w:p w14:paraId="6C7E0023" w14:textId="77777777" w:rsidR="009847D2" w:rsidRPr="00BF51BB" w:rsidRDefault="009847D2" w:rsidP="009847D2">
      <w:pPr>
        <w:pStyle w:val="NoSpacing"/>
        <w:ind w:firstLine="360"/>
        <w:jc w:val="both"/>
        <w:rPr>
          <w:rFonts w:ascii="Arial" w:hAnsi="Arial" w:cs="Arial"/>
          <w:sz w:val="24"/>
          <w:szCs w:val="24"/>
          <w:lang w:val="hr-HR"/>
        </w:rPr>
      </w:pPr>
    </w:p>
    <w:p w14:paraId="38D84151" w14:textId="58450CF9" w:rsidR="001A7F1E" w:rsidRPr="00BF51BB" w:rsidRDefault="001A7F1E" w:rsidP="00ED768D">
      <w:pPr>
        <w:pStyle w:val="NoSpacing"/>
        <w:spacing w:line="276" w:lineRule="auto"/>
        <w:jc w:val="both"/>
        <w:rPr>
          <w:rFonts w:ascii="Arial" w:hAnsi="Arial" w:cs="Arial"/>
          <w:szCs w:val="24"/>
          <w:lang w:val="hr-HR"/>
        </w:rPr>
      </w:pPr>
      <w:r w:rsidRPr="00BF51BB">
        <w:rPr>
          <w:rFonts w:ascii="Arial" w:hAnsi="Arial" w:cs="Arial"/>
          <w:szCs w:val="24"/>
          <w:lang w:val="hr-HR"/>
        </w:rPr>
        <w:t xml:space="preserve">Tabela 1. </w:t>
      </w:r>
      <w:r w:rsidR="004476F9" w:rsidRPr="00BF51BB">
        <w:rPr>
          <w:rFonts w:ascii="Arial" w:hAnsi="Arial" w:cs="Arial"/>
          <w:szCs w:val="24"/>
          <w:lang w:val="hr-HR"/>
        </w:rPr>
        <w:t>Portfolio d</w:t>
      </w:r>
      <w:r w:rsidR="000D54BA" w:rsidRPr="00BF51BB">
        <w:rPr>
          <w:rFonts w:ascii="Arial" w:hAnsi="Arial" w:cs="Arial"/>
          <w:szCs w:val="24"/>
          <w:lang w:val="hr-HR"/>
        </w:rPr>
        <w:t>ug</w:t>
      </w:r>
      <w:r w:rsidR="004476F9" w:rsidRPr="00BF51BB">
        <w:rPr>
          <w:rFonts w:ascii="Arial" w:hAnsi="Arial" w:cs="Arial"/>
          <w:szCs w:val="24"/>
          <w:lang w:val="hr-HR"/>
        </w:rPr>
        <w:t>a</w:t>
      </w:r>
      <w:r w:rsidR="000D54BA" w:rsidRPr="00BF51BB">
        <w:rPr>
          <w:rFonts w:ascii="Arial" w:hAnsi="Arial" w:cs="Arial"/>
          <w:szCs w:val="24"/>
          <w:lang w:val="hr-HR"/>
        </w:rPr>
        <w:t xml:space="preserve"> </w:t>
      </w:r>
      <w:r w:rsidR="004476F9" w:rsidRPr="00BF51BB">
        <w:rPr>
          <w:rFonts w:ascii="Arial" w:hAnsi="Arial" w:cs="Arial"/>
          <w:szCs w:val="24"/>
          <w:lang w:val="hr-HR"/>
        </w:rPr>
        <w:t>na dan 31.12.</w:t>
      </w:r>
      <w:r w:rsidR="00112088" w:rsidRPr="00BF51BB">
        <w:rPr>
          <w:rFonts w:ascii="Arial" w:hAnsi="Arial" w:cs="Arial"/>
          <w:szCs w:val="24"/>
          <w:lang w:val="hr-HR"/>
        </w:rPr>
        <w:t>2021</w:t>
      </w:r>
      <w:r w:rsidR="004476F9" w:rsidRPr="00BF51BB">
        <w:rPr>
          <w:rFonts w:ascii="Arial" w:hAnsi="Arial" w:cs="Arial"/>
          <w:szCs w:val="24"/>
          <w:lang w:val="hr-HR"/>
        </w:rPr>
        <w:t xml:space="preserve">. godine, </w:t>
      </w:r>
      <w:r w:rsidR="000D54BA" w:rsidRPr="00BF51BB">
        <w:rPr>
          <w:rFonts w:ascii="Arial" w:hAnsi="Arial" w:cs="Arial"/>
          <w:szCs w:val="24"/>
          <w:lang w:val="hr-HR"/>
        </w:rPr>
        <w:t>obuhvaćen Strategijom</w:t>
      </w:r>
      <w:r w:rsidR="004476F9" w:rsidRPr="00BF51BB">
        <w:rPr>
          <w:rFonts w:ascii="Arial" w:hAnsi="Arial" w:cs="Arial"/>
          <w:szCs w:val="24"/>
          <w:lang w:val="hr-HR"/>
        </w:rPr>
        <w:t xml:space="preserve"> </w:t>
      </w:r>
    </w:p>
    <w:p w14:paraId="5F23B38B" w14:textId="77777777" w:rsidR="00AA70C2" w:rsidRPr="00BF51BB" w:rsidRDefault="00AA70C2" w:rsidP="00ED768D">
      <w:pPr>
        <w:pStyle w:val="NoSpacing"/>
        <w:spacing w:line="276" w:lineRule="auto"/>
        <w:jc w:val="both"/>
        <w:rPr>
          <w:rFonts w:ascii="Arial" w:hAnsi="Arial" w:cs="Arial"/>
          <w:szCs w:val="24"/>
          <w:lang w:val="hr-HR"/>
        </w:rPr>
      </w:pPr>
    </w:p>
    <w:tbl>
      <w:tblP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5652"/>
        <w:gridCol w:w="1728"/>
        <w:gridCol w:w="1933"/>
      </w:tblGrid>
      <w:tr w:rsidR="00AA70C2" w:rsidRPr="00BF51BB" w14:paraId="2AB483FA" w14:textId="77777777" w:rsidTr="00BF51BB">
        <w:trPr>
          <w:trHeight w:val="300"/>
        </w:trPr>
        <w:tc>
          <w:tcPr>
            <w:tcW w:w="3034" w:type="pct"/>
            <w:shd w:val="clear" w:color="auto" w:fill="auto"/>
            <w:noWrap/>
            <w:vAlign w:val="center"/>
            <w:hideMark/>
          </w:tcPr>
          <w:p w14:paraId="1A6D2BA3" w14:textId="77777777" w:rsidR="00AA70C2" w:rsidRPr="00BF51BB" w:rsidRDefault="00AA70C2" w:rsidP="00AA70C2">
            <w:pPr>
              <w:spacing w:after="0" w:line="240" w:lineRule="auto"/>
              <w:jc w:val="center"/>
              <w:rPr>
                <w:rFonts w:ascii="Arial" w:eastAsia="Times New Roman" w:hAnsi="Arial" w:cs="Arial"/>
                <w:i/>
                <w:iCs/>
                <w:color w:val="000000"/>
              </w:rPr>
            </w:pPr>
            <w:r w:rsidRPr="00BF51BB">
              <w:rPr>
                <w:rFonts w:ascii="Arial" w:eastAsia="Times New Roman" w:hAnsi="Arial" w:cs="Arial"/>
                <w:i/>
                <w:iCs/>
                <w:color w:val="000000"/>
              </w:rPr>
              <w:t>Vrsta duga</w:t>
            </w:r>
          </w:p>
        </w:tc>
        <w:tc>
          <w:tcPr>
            <w:tcW w:w="928" w:type="pct"/>
            <w:shd w:val="clear" w:color="auto" w:fill="auto"/>
            <w:noWrap/>
            <w:vAlign w:val="center"/>
            <w:hideMark/>
          </w:tcPr>
          <w:p w14:paraId="1AE109F1" w14:textId="77777777" w:rsidR="00AA70C2" w:rsidRPr="00BF51BB" w:rsidRDefault="00AA70C2" w:rsidP="00AA70C2">
            <w:pPr>
              <w:spacing w:after="0" w:line="240" w:lineRule="auto"/>
              <w:jc w:val="center"/>
              <w:rPr>
                <w:rFonts w:ascii="Arial" w:eastAsia="Times New Roman" w:hAnsi="Arial" w:cs="Arial"/>
                <w:i/>
                <w:iCs/>
                <w:color w:val="000000"/>
              </w:rPr>
            </w:pPr>
            <w:r w:rsidRPr="00BF51BB">
              <w:rPr>
                <w:rFonts w:ascii="Arial" w:eastAsia="Times New Roman" w:hAnsi="Arial" w:cs="Arial"/>
                <w:i/>
                <w:iCs/>
                <w:color w:val="000000"/>
              </w:rPr>
              <w:t xml:space="preserve">Uključen (√)/ </w:t>
            </w:r>
          </w:p>
          <w:p w14:paraId="692FC515" w14:textId="464718F3" w:rsidR="00AA70C2" w:rsidRPr="00BF51BB" w:rsidRDefault="00AA70C2" w:rsidP="00AA70C2">
            <w:pPr>
              <w:spacing w:after="0" w:line="240" w:lineRule="auto"/>
              <w:jc w:val="center"/>
              <w:rPr>
                <w:rFonts w:ascii="Arial" w:eastAsia="Times New Roman" w:hAnsi="Arial" w:cs="Arial"/>
                <w:i/>
                <w:iCs/>
                <w:color w:val="000000"/>
              </w:rPr>
            </w:pPr>
            <w:r w:rsidRPr="00BF51BB">
              <w:rPr>
                <w:rFonts w:ascii="Arial" w:eastAsia="Times New Roman" w:hAnsi="Arial" w:cs="Arial"/>
                <w:i/>
                <w:iCs/>
                <w:color w:val="000000"/>
              </w:rPr>
              <w:t>Isključen (x)</w:t>
            </w:r>
          </w:p>
        </w:tc>
        <w:tc>
          <w:tcPr>
            <w:tcW w:w="1038" w:type="pct"/>
            <w:shd w:val="clear" w:color="auto" w:fill="auto"/>
            <w:noWrap/>
            <w:vAlign w:val="center"/>
            <w:hideMark/>
          </w:tcPr>
          <w:p w14:paraId="68A8B1A9" w14:textId="77777777"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Iznos (mil.KM)</w:t>
            </w:r>
          </w:p>
        </w:tc>
      </w:tr>
      <w:tr w:rsidR="00AA70C2" w:rsidRPr="00BF51BB" w14:paraId="7E079BCC" w14:textId="77777777" w:rsidTr="00BF51BB">
        <w:trPr>
          <w:trHeight w:val="300"/>
        </w:trPr>
        <w:tc>
          <w:tcPr>
            <w:tcW w:w="3034" w:type="pct"/>
            <w:shd w:val="clear" w:color="auto" w:fill="auto"/>
            <w:noWrap/>
            <w:vAlign w:val="center"/>
            <w:hideMark/>
          </w:tcPr>
          <w:p w14:paraId="6A37D0A7" w14:textId="77777777" w:rsidR="00AA70C2" w:rsidRPr="00BF51BB" w:rsidRDefault="00AA70C2">
            <w:pPr>
              <w:spacing w:after="0" w:line="240" w:lineRule="auto"/>
              <w:jc w:val="both"/>
              <w:rPr>
                <w:rFonts w:ascii="Arial" w:eastAsia="Times New Roman" w:hAnsi="Arial" w:cs="Arial"/>
                <w:i/>
                <w:iCs/>
                <w:color w:val="000000"/>
              </w:rPr>
            </w:pPr>
            <w:r w:rsidRPr="00BF51BB">
              <w:rPr>
                <w:rFonts w:ascii="Arial" w:eastAsia="Times New Roman" w:hAnsi="Arial" w:cs="Arial"/>
                <w:i/>
                <w:iCs/>
                <w:color w:val="000000"/>
              </w:rPr>
              <w:t>Vanjski dug FBiH, od čega:</w:t>
            </w:r>
          </w:p>
        </w:tc>
        <w:tc>
          <w:tcPr>
            <w:tcW w:w="928" w:type="pct"/>
            <w:shd w:val="clear" w:color="auto" w:fill="auto"/>
            <w:noWrap/>
            <w:vAlign w:val="center"/>
            <w:hideMark/>
          </w:tcPr>
          <w:p w14:paraId="7A4C97C4" w14:textId="77777777" w:rsidR="00AA70C2" w:rsidRPr="00BF51BB" w:rsidRDefault="00AA70C2" w:rsidP="00AA70C2">
            <w:pPr>
              <w:spacing w:after="0" w:line="240" w:lineRule="auto"/>
              <w:jc w:val="both"/>
              <w:rPr>
                <w:rFonts w:ascii="Arial" w:eastAsia="Times New Roman" w:hAnsi="Arial" w:cs="Arial"/>
                <w:i/>
                <w:iCs/>
                <w:color w:val="000000"/>
              </w:rPr>
            </w:pPr>
          </w:p>
        </w:tc>
        <w:tc>
          <w:tcPr>
            <w:tcW w:w="1038" w:type="pct"/>
            <w:shd w:val="clear" w:color="auto" w:fill="auto"/>
            <w:noWrap/>
            <w:vAlign w:val="center"/>
            <w:hideMark/>
          </w:tcPr>
          <w:p w14:paraId="67673921" w14:textId="77777777"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5.402,00</w:t>
            </w:r>
          </w:p>
        </w:tc>
      </w:tr>
      <w:tr w:rsidR="00AA70C2" w:rsidRPr="00BF51BB" w14:paraId="1C857866" w14:textId="77777777" w:rsidTr="00BF51BB">
        <w:trPr>
          <w:trHeight w:val="300"/>
        </w:trPr>
        <w:tc>
          <w:tcPr>
            <w:tcW w:w="3034" w:type="pct"/>
            <w:shd w:val="clear" w:color="auto" w:fill="auto"/>
            <w:noWrap/>
            <w:vAlign w:val="center"/>
            <w:hideMark/>
          </w:tcPr>
          <w:p w14:paraId="04F0E822" w14:textId="6568DDB9" w:rsidR="00AA70C2" w:rsidRPr="00BF51BB" w:rsidRDefault="00AA70C2" w:rsidP="00BF51BB">
            <w:pPr>
              <w:pStyle w:val="ListParagraph"/>
              <w:numPr>
                <w:ilvl w:val="0"/>
                <w:numId w:val="31"/>
              </w:numPr>
              <w:spacing w:after="0" w:line="240" w:lineRule="auto"/>
              <w:rPr>
                <w:rFonts w:ascii="Times New Roman" w:eastAsia="Times New Roman" w:hAnsi="Times New Roman" w:cs="Times New Roman"/>
                <w:color w:val="000000"/>
                <w:sz w:val="14"/>
                <w:szCs w:val="14"/>
              </w:rPr>
            </w:pPr>
            <w:r w:rsidRPr="00BF51BB">
              <w:rPr>
                <w:rFonts w:ascii="Arial" w:eastAsia="Times New Roman" w:hAnsi="Arial" w:cs="Arial"/>
                <w:i/>
                <w:iCs/>
                <w:color w:val="000000"/>
              </w:rPr>
              <w:t>Relevantni vanjski dug FBiH</w:t>
            </w:r>
          </w:p>
        </w:tc>
        <w:tc>
          <w:tcPr>
            <w:tcW w:w="928" w:type="pct"/>
            <w:shd w:val="clear" w:color="auto" w:fill="auto"/>
            <w:noWrap/>
            <w:vAlign w:val="center"/>
            <w:hideMark/>
          </w:tcPr>
          <w:p w14:paraId="2906201E" w14:textId="77777777" w:rsidR="00AA70C2" w:rsidRPr="00BF51BB" w:rsidRDefault="00AA70C2" w:rsidP="00AA70C2">
            <w:pPr>
              <w:spacing w:after="0" w:line="240" w:lineRule="auto"/>
              <w:jc w:val="center"/>
              <w:rPr>
                <w:rFonts w:ascii="Arial" w:eastAsia="Times New Roman" w:hAnsi="Arial" w:cs="Arial"/>
                <w:b/>
                <w:bCs/>
                <w:color w:val="448AD7"/>
              </w:rPr>
            </w:pPr>
            <w:r w:rsidRPr="00BF51BB">
              <w:rPr>
                <w:rFonts w:ascii="Arial" w:eastAsia="Times New Roman" w:hAnsi="Arial" w:cs="Arial"/>
                <w:b/>
                <w:bCs/>
                <w:color w:val="448AD7"/>
              </w:rPr>
              <w:t>√</w:t>
            </w:r>
          </w:p>
        </w:tc>
        <w:tc>
          <w:tcPr>
            <w:tcW w:w="1038" w:type="pct"/>
            <w:shd w:val="clear" w:color="auto" w:fill="auto"/>
            <w:noWrap/>
            <w:vAlign w:val="center"/>
            <w:hideMark/>
          </w:tcPr>
          <w:p w14:paraId="6B0AE87A" w14:textId="77777777"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5.336,83</w:t>
            </w:r>
          </w:p>
        </w:tc>
      </w:tr>
      <w:tr w:rsidR="00AA70C2" w:rsidRPr="00BF51BB" w14:paraId="3742A17C" w14:textId="77777777" w:rsidTr="00BF51BB">
        <w:trPr>
          <w:trHeight w:val="300"/>
        </w:trPr>
        <w:tc>
          <w:tcPr>
            <w:tcW w:w="3034" w:type="pct"/>
            <w:shd w:val="clear" w:color="auto" w:fill="auto"/>
            <w:noWrap/>
            <w:vAlign w:val="center"/>
            <w:hideMark/>
          </w:tcPr>
          <w:p w14:paraId="4768A012" w14:textId="6C678F8B" w:rsidR="00AA70C2" w:rsidRPr="00BF51BB" w:rsidRDefault="00AA70C2" w:rsidP="00BF51BB">
            <w:pPr>
              <w:pStyle w:val="ListParagraph"/>
              <w:numPr>
                <w:ilvl w:val="0"/>
                <w:numId w:val="31"/>
              </w:numPr>
              <w:spacing w:after="0" w:line="240" w:lineRule="auto"/>
              <w:rPr>
                <w:rFonts w:ascii="Arial" w:eastAsia="Times New Roman" w:hAnsi="Arial" w:cs="Arial"/>
                <w:color w:val="000000"/>
              </w:rPr>
            </w:pPr>
            <w:r w:rsidRPr="00BF51BB">
              <w:rPr>
                <w:rFonts w:ascii="Arial" w:eastAsia="Times New Roman" w:hAnsi="Arial" w:cs="Arial"/>
                <w:i/>
                <w:iCs/>
                <w:color w:val="000000"/>
              </w:rPr>
              <w:t>Direktni vanjski dug FBiH</w:t>
            </w:r>
          </w:p>
        </w:tc>
        <w:tc>
          <w:tcPr>
            <w:tcW w:w="928" w:type="pct"/>
            <w:shd w:val="clear" w:color="auto" w:fill="auto"/>
            <w:noWrap/>
            <w:vAlign w:val="center"/>
            <w:hideMark/>
          </w:tcPr>
          <w:p w14:paraId="13D1A32A" w14:textId="77777777" w:rsidR="00AA70C2" w:rsidRPr="00BF51BB" w:rsidRDefault="00AA70C2" w:rsidP="00AA70C2">
            <w:pPr>
              <w:spacing w:after="0" w:line="240" w:lineRule="auto"/>
              <w:jc w:val="center"/>
              <w:rPr>
                <w:rFonts w:ascii="Arial" w:eastAsia="Times New Roman" w:hAnsi="Arial" w:cs="Arial"/>
                <w:b/>
                <w:bCs/>
                <w:color w:val="448AD7"/>
              </w:rPr>
            </w:pPr>
            <w:r w:rsidRPr="00BF51BB">
              <w:rPr>
                <w:rFonts w:ascii="Arial" w:eastAsia="Times New Roman" w:hAnsi="Arial" w:cs="Arial"/>
                <w:b/>
                <w:bCs/>
                <w:color w:val="448AD7"/>
              </w:rPr>
              <w:t>√</w:t>
            </w:r>
          </w:p>
        </w:tc>
        <w:tc>
          <w:tcPr>
            <w:tcW w:w="1038" w:type="pct"/>
            <w:shd w:val="clear" w:color="auto" w:fill="auto"/>
            <w:noWrap/>
            <w:vAlign w:val="center"/>
            <w:hideMark/>
          </w:tcPr>
          <w:p w14:paraId="6C6D46D1" w14:textId="77777777"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65,17</w:t>
            </w:r>
          </w:p>
        </w:tc>
      </w:tr>
      <w:tr w:rsidR="00AA70C2" w:rsidRPr="00BF51BB" w14:paraId="3560FB20" w14:textId="77777777" w:rsidTr="00BF51BB">
        <w:trPr>
          <w:trHeight w:val="300"/>
        </w:trPr>
        <w:tc>
          <w:tcPr>
            <w:tcW w:w="3034" w:type="pct"/>
            <w:shd w:val="clear" w:color="auto" w:fill="auto"/>
            <w:noWrap/>
            <w:vAlign w:val="center"/>
            <w:hideMark/>
          </w:tcPr>
          <w:p w14:paraId="1239D8B5" w14:textId="77777777" w:rsidR="00AA70C2" w:rsidRPr="00BF51BB" w:rsidRDefault="00AA70C2">
            <w:pPr>
              <w:spacing w:after="0" w:line="240" w:lineRule="auto"/>
              <w:rPr>
                <w:rFonts w:ascii="Arial" w:eastAsia="Times New Roman" w:hAnsi="Arial" w:cs="Arial"/>
                <w:i/>
                <w:iCs/>
                <w:color w:val="000000"/>
              </w:rPr>
            </w:pPr>
            <w:r w:rsidRPr="00BF51BB">
              <w:rPr>
                <w:rFonts w:ascii="Arial" w:eastAsia="Times New Roman" w:hAnsi="Arial" w:cs="Arial"/>
                <w:i/>
                <w:iCs/>
                <w:color w:val="000000"/>
              </w:rPr>
              <w:t>Unutrašnji dug FBiH, od čega:</w:t>
            </w:r>
          </w:p>
        </w:tc>
        <w:tc>
          <w:tcPr>
            <w:tcW w:w="928" w:type="pct"/>
            <w:shd w:val="clear" w:color="auto" w:fill="auto"/>
            <w:noWrap/>
            <w:vAlign w:val="center"/>
            <w:hideMark/>
          </w:tcPr>
          <w:p w14:paraId="503B563E" w14:textId="77777777" w:rsidR="00AA70C2" w:rsidRPr="00BF51BB" w:rsidRDefault="00AA70C2" w:rsidP="00AA70C2">
            <w:pPr>
              <w:spacing w:after="0" w:line="240" w:lineRule="auto"/>
              <w:rPr>
                <w:rFonts w:ascii="Arial" w:eastAsia="Times New Roman" w:hAnsi="Arial" w:cs="Arial"/>
                <w:i/>
                <w:iCs/>
                <w:color w:val="000000"/>
              </w:rPr>
            </w:pPr>
          </w:p>
        </w:tc>
        <w:tc>
          <w:tcPr>
            <w:tcW w:w="1038" w:type="pct"/>
            <w:shd w:val="clear" w:color="auto" w:fill="auto"/>
            <w:noWrap/>
            <w:vAlign w:val="center"/>
            <w:hideMark/>
          </w:tcPr>
          <w:p w14:paraId="0F687519" w14:textId="77777777"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754,27</w:t>
            </w:r>
          </w:p>
        </w:tc>
      </w:tr>
      <w:tr w:rsidR="00AA70C2" w:rsidRPr="00BF51BB" w14:paraId="754EA7B6" w14:textId="77777777" w:rsidTr="00BF51BB">
        <w:trPr>
          <w:trHeight w:val="300"/>
        </w:trPr>
        <w:tc>
          <w:tcPr>
            <w:tcW w:w="3034" w:type="pct"/>
            <w:shd w:val="clear" w:color="auto" w:fill="auto"/>
            <w:noWrap/>
            <w:vAlign w:val="center"/>
            <w:hideMark/>
          </w:tcPr>
          <w:p w14:paraId="648ED98F" w14:textId="61A99B3D" w:rsidR="00AA70C2" w:rsidRPr="00BF51BB" w:rsidRDefault="00AA70C2" w:rsidP="00BF51BB">
            <w:pPr>
              <w:pStyle w:val="ListParagraph"/>
              <w:numPr>
                <w:ilvl w:val="0"/>
                <w:numId w:val="31"/>
              </w:numPr>
              <w:spacing w:after="0" w:line="240" w:lineRule="auto"/>
              <w:rPr>
                <w:rFonts w:ascii="Arial" w:eastAsia="Times New Roman" w:hAnsi="Arial" w:cs="Arial"/>
                <w:i/>
                <w:iCs/>
                <w:color w:val="000000"/>
              </w:rPr>
            </w:pPr>
            <w:r w:rsidRPr="00BF51BB">
              <w:rPr>
                <w:rFonts w:ascii="Arial" w:eastAsia="Times New Roman" w:hAnsi="Arial" w:cs="Arial"/>
                <w:i/>
                <w:iCs/>
                <w:color w:val="000000"/>
              </w:rPr>
              <w:t>Trezorski zapisi  FBiH</w:t>
            </w:r>
          </w:p>
        </w:tc>
        <w:tc>
          <w:tcPr>
            <w:tcW w:w="928" w:type="pct"/>
            <w:shd w:val="clear" w:color="auto" w:fill="auto"/>
            <w:noWrap/>
            <w:vAlign w:val="center"/>
            <w:hideMark/>
          </w:tcPr>
          <w:p w14:paraId="573D221B" w14:textId="77777777" w:rsidR="00AA70C2" w:rsidRPr="00BF51BB" w:rsidRDefault="00AA70C2" w:rsidP="00AA70C2">
            <w:pPr>
              <w:spacing w:after="0" w:line="240" w:lineRule="auto"/>
              <w:jc w:val="center"/>
              <w:rPr>
                <w:rFonts w:ascii="Arial" w:eastAsia="Times New Roman" w:hAnsi="Arial" w:cs="Arial"/>
                <w:b/>
                <w:bCs/>
                <w:color w:val="448AD7"/>
              </w:rPr>
            </w:pPr>
            <w:r w:rsidRPr="00BF51BB">
              <w:rPr>
                <w:rFonts w:ascii="Arial" w:eastAsia="Times New Roman" w:hAnsi="Arial" w:cs="Arial"/>
                <w:b/>
                <w:bCs/>
                <w:color w:val="448AD7"/>
              </w:rPr>
              <w:t>√</w:t>
            </w:r>
          </w:p>
        </w:tc>
        <w:tc>
          <w:tcPr>
            <w:tcW w:w="1038" w:type="pct"/>
            <w:shd w:val="clear" w:color="auto" w:fill="auto"/>
            <w:noWrap/>
            <w:vAlign w:val="center"/>
            <w:hideMark/>
          </w:tcPr>
          <w:p w14:paraId="5F5259DF" w14:textId="57F1D4E0"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50</w:t>
            </w:r>
            <w:r w:rsidR="00D91D19" w:rsidRPr="00BF51BB">
              <w:rPr>
                <w:rFonts w:ascii="Arial" w:eastAsia="Times New Roman" w:hAnsi="Arial" w:cs="Arial"/>
                <w:i/>
                <w:iCs/>
                <w:color w:val="000000"/>
              </w:rPr>
              <w:t>,00</w:t>
            </w:r>
          </w:p>
        </w:tc>
      </w:tr>
      <w:tr w:rsidR="00AA70C2" w:rsidRPr="00BF51BB" w14:paraId="5628ACD4" w14:textId="77777777" w:rsidTr="00BF51BB">
        <w:trPr>
          <w:trHeight w:val="300"/>
        </w:trPr>
        <w:tc>
          <w:tcPr>
            <w:tcW w:w="3034" w:type="pct"/>
            <w:shd w:val="clear" w:color="auto" w:fill="auto"/>
            <w:noWrap/>
            <w:vAlign w:val="center"/>
            <w:hideMark/>
          </w:tcPr>
          <w:p w14:paraId="6584D9F1" w14:textId="5EB1DCC0" w:rsidR="00AA70C2" w:rsidRPr="00BF51BB" w:rsidRDefault="00AA70C2" w:rsidP="00BF51BB">
            <w:pPr>
              <w:pStyle w:val="ListParagraph"/>
              <w:numPr>
                <w:ilvl w:val="0"/>
                <w:numId w:val="31"/>
              </w:numPr>
              <w:spacing w:after="0" w:line="240" w:lineRule="auto"/>
              <w:rPr>
                <w:rFonts w:ascii="Arial" w:eastAsia="Times New Roman" w:hAnsi="Arial" w:cs="Arial"/>
                <w:i/>
                <w:iCs/>
                <w:color w:val="000000"/>
              </w:rPr>
            </w:pPr>
            <w:r w:rsidRPr="00BF51BB">
              <w:rPr>
                <w:rFonts w:ascii="Arial" w:eastAsia="Times New Roman" w:hAnsi="Arial" w:cs="Arial"/>
                <w:i/>
                <w:iCs/>
                <w:color w:val="000000"/>
              </w:rPr>
              <w:t>Trezorske obveznice  FBiH</w:t>
            </w:r>
          </w:p>
        </w:tc>
        <w:tc>
          <w:tcPr>
            <w:tcW w:w="928" w:type="pct"/>
            <w:shd w:val="clear" w:color="auto" w:fill="auto"/>
            <w:noWrap/>
            <w:vAlign w:val="center"/>
            <w:hideMark/>
          </w:tcPr>
          <w:p w14:paraId="34A9D0E3" w14:textId="77777777" w:rsidR="00AA70C2" w:rsidRPr="00BF51BB" w:rsidRDefault="00AA70C2" w:rsidP="00AA70C2">
            <w:pPr>
              <w:spacing w:after="0" w:line="240" w:lineRule="auto"/>
              <w:jc w:val="center"/>
              <w:rPr>
                <w:rFonts w:ascii="Arial" w:eastAsia="Times New Roman" w:hAnsi="Arial" w:cs="Arial"/>
                <w:b/>
                <w:bCs/>
                <w:color w:val="448AD7"/>
              </w:rPr>
            </w:pPr>
            <w:r w:rsidRPr="00BF51BB">
              <w:rPr>
                <w:rFonts w:ascii="Arial" w:eastAsia="Times New Roman" w:hAnsi="Arial" w:cs="Arial"/>
                <w:b/>
                <w:bCs/>
                <w:color w:val="448AD7"/>
              </w:rPr>
              <w:t>√</w:t>
            </w:r>
          </w:p>
        </w:tc>
        <w:tc>
          <w:tcPr>
            <w:tcW w:w="1038" w:type="pct"/>
            <w:shd w:val="clear" w:color="auto" w:fill="auto"/>
            <w:noWrap/>
            <w:vAlign w:val="center"/>
            <w:hideMark/>
          </w:tcPr>
          <w:p w14:paraId="71BF623D" w14:textId="7380761B"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630</w:t>
            </w:r>
            <w:r w:rsidR="00D91D19" w:rsidRPr="00BF51BB">
              <w:rPr>
                <w:rFonts w:ascii="Arial" w:eastAsia="Times New Roman" w:hAnsi="Arial" w:cs="Arial"/>
                <w:i/>
                <w:iCs/>
                <w:color w:val="000000"/>
              </w:rPr>
              <w:t>,00</w:t>
            </w:r>
          </w:p>
        </w:tc>
      </w:tr>
      <w:tr w:rsidR="00AA70C2" w:rsidRPr="00BF51BB" w14:paraId="0296977C" w14:textId="77777777" w:rsidTr="00BF51BB">
        <w:trPr>
          <w:trHeight w:val="300"/>
        </w:trPr>
        <w:tc>
          <w:tcPr>
            <w:tcW w:w="3034" w:type="pct"/>
            <w:shd w:val="clear" w:color="auto" w:fill="auto"/>
            <w:noWrap/>
            <w:vAlign w:val="center"/>
            <w:hideMark/>
          </w:tcPr>
          <w:p w14:paraId="717B25CB" w14:textId="62F7736B" w:rsidR="00AA70C2" w:rsidRPr="00BF51BB" w:rsidRDefault="00AA70C2" w:rsidP="00BF51BB">
            <w:pPr>
              <w:pStyle w:val="ListParagraph"/>
              <w:numPr>
                <w:ilvl w:val="0"/>
                <w:numId w:val="31"/>
              </w:numPr>
              <w:spacing w:after="0" w:line="240" w:lineRule="auto"/>
              <w:rPr>
                <w:rFonts w:ascii="Arial" w:eastAsia="Times New Roman" w:hAnsi="Arial" w:cs="Arial"/>
                <w:i/>
                <w:iCs/>
                <w:color w:val="000000"/>
              </w:rPr>
            </w:pPr>
            <w:r w:rsidRPr="00BF51BB">
              <w:rPr>
                <w:rFonts w:ascii="Arial" w:eastAsia="Times New Roman" w:hAnsi="Arial" w:cs="Arial"/>
                <w:i/>
                <w:iCs/>
                <w:color w:val="000000"/>
              </w:rPr>
              <w:t>Obveznice stare devizne štednje (SDŠ)</w:t>
            </w:r>
          </w:p>
        </w:tc>
        <w:tc>
          <w:tcPr>
            <w:tcW w:w="928" w:type="pct"/>
            <w:shd w:val="clear" w:color="auto" w:fill="auto"/>
            <w:noWrap/>
            <w:vAlign w:val="center"/>
            <w:hideMark/>
          </w:tcPr>
          <w:p w14:paraId="1C65C25A" w14:textId="77777777" w:rsidR="00AA70C2" w:rsidRPr="00BF51BB" w:rsidRDefault="00AA70C2" w:rsidP="00AA70C2">
            <w:pPr>
              <w:spacing w:after="0" w:line="240" w:lineRule="auto"/>
              <w:jc w:val="center"/>
              <w:rPr>
                <w:rFonts w:ascii="Arial" w:eastAsia="Times New Roman" w:hAnsi="Arial" w:cs="Arial"/>
                <w:b/>
                <w:bCs/>
                <w:color w:val="448AD7"/>
              </w:rPr>
            </w:pPr>
            <w:r w:rsidRPr="00BF51BB">
              <w:rPr>
                <w:rFonts w:ascii="Arial" w:eastAsia="Times New Roman" w:hAnsi="Arial" w:cs="Arial"/>
                <w:b/>
                <w:bCs/>
                <w:color w:val="448AD7"/>
              </w:rPr>
              <w:t>√</w:t>
            </w:r>
          </w:p>
        </w:tc>
        <w:tc>
          <w:tcPr>
            <w:tcW w:w="1038" w:type="pct"/>
            <w:shd w:val="clear" w:color="auto" w:fill="auto"/>
            <w:noWrap/>
            <w:vAlign w:val="center"/>
            <w:hideMark/>
          </w:tcPr>
          <w:p w14:paraId="06DDB5DD" w14:textId="223FD6C2"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0</w:t>
            </w:r>
            <w:r w:rsidR="00D91D19" w:rsidRPr="00BF51BB">
              <w:rPr>
                <w:rFonts w:ascii="Arial" w:eastAsia="Times New Roman" w:hAnsi="Arial" w:cs="Arial"/>
                <w:i/>
                <w:iCs/>
                <w:color w:val="000000"/>
              </w:rPr>
              <w:t>,00</w:t>
            </w:r>
          </w:p>
        </w:tc>
      </w:tr>
      <w:tr w:rsidR="00AA70C2" w:rsidRPr="00BF51BB" w14:paraId="79360D96" w14:textId="77777777" w:rsidTr="00BF51BB">
        <w:trPr>
          <w:trHeight w:val="300"/>
        </w:trPr>
        <w:tc>
          <w:tcPr>
            <w:tcW w:w="3034" w:type="pct"/>
            <w:shd w:val="clear" w:color="auto" w:fill="auto"/>
            <w:noWrap/>
            <w:vAlign w:val="center"/>
            <w:hideMark/>
          </w:tcPr>
          <w:p w14:paraId="663E2C5D" w14:textId="32869E58" w:rsidR="00AA70C2" w:rsidRPr="00BF51BB" w:rsidRDefault="00AA70C2" w:rsidP="00BF51BB">
            <w:pPr>
              <w:pStyle w:val="ListParagraph"/>
              <w:numPr>
                <w:ilvl w:val="0"/>
                <w:numId w:val="31"/>
              </w:numPr>
              <w:spacing w:after="0" w:line="240" w:lineRule="auto"/>
              <w:rPr>
                <w:rFonts w:ascii="Arial" w:eastAsia="Times New Roman" w:hAnsi="Arial" w:cs="Arial"/>
                <w:i/>
                <w:iCs/>
                <w:color w:val="000000"/>
              </w:rPr>
            </w:pPr>
            <w:r w:rsidRPr="00BF51BB">
              <w:rPr>
                <w:rFonts w:ascii="Arial" w:eastAsia="Times New Roman" w:hAnsi="Arial" w:cs="Arial"/>
                <w:i/>
                <w:iCs/>
                <w:color w:val="000000"/>
              </w:rPr>
              <w:t>Obveznice za ratna potraživanja (RT)</w:t>
            </w:r>
          </w:p>
        </w:tc>
        <w:tc>
          <w:tcPr>
            <w:tcW w:w="928" w:type="pct"/>
            <w:shd w:val="clear" w:color="auto" w:fill="auto"/>
            <w:noWrap/>
            <w:vAlign w:val="center"/>
            <w:hideMark/>
          </w:tcPr>
          <w:p w14:paraId="7A38CE17" w14:textId="77777777" w:rsidR="00AA70C2" w:rsidRPr="00BF51BB" w:rsidRDefault="00AA70C2" w:rsidP="00AA70C2">
            <w:pPr>
              <w:spacing w:after="0" w:line="240" w:lineRule="auto"/>
              <w:jc w:val="center"/>
              <w:rPr>
                <w:rFonts w:ascii="Arial" w:eastAsia="Times New Roman" w:hAnsi="Arial" w:cs="Arial"/>
                <w:b/>
                <w:bCs/>
                <w:color w:val="448AD7"/>
              </w:rPr>
            </w:pPr>
            <w:r w:rsidRPr="00BF51BB">
              <w:rPr>
                <w:rFonts w:ascii="Arial" w:eastAsia="Times New Roman" w:hAnsi="Arial" w:cs="Arial"/>
                <w:b/>
                <w:bCs/>
                <w:color w:val="448AD7"/>
              </w:rPr>
              <w:t>√</w:t>
            </w:r>
          </w:p>
        </w:tc>
        <w:tc>
          <w:tcPr>
            <w:tcW w:w="1038" w:type="pct"/>
            <w:shd w:val="clear" w:color="auto" w:fill="auto"/>
            <w:noWrap/>
            <w:vAlign w:val="center"/>
            <w:hideMark/>
          </w:tcPr>
          <w:p w14:paraId="7047452F" w14:textId="77777777"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74,27</w:t>
            </w:r>
          </w:p>
        </w:tc>
      </w:tr>
      <w:tr w:rsidR="00AA70C2" w:rsidRPr="00BF51BB" w14:paraId="0DAFCB70" w14:textId="77777777" w:rsidTr="00BF51BB">
        <w:trPr>
          <w:trHeight w:val="300"/>
        </w:trPr>
        <w:tc>
          <w:tcPr>
            <w:tcW w:w="3034" w:type="pct"/>
            <w:shd w:val="clear" w:color="auto" w:fill="auto"/>
            <w:noWrap/>
            <w:vAlign w:val="center"/>
            <w:hideMark/>
          </w:tcPr>
          <w:p w14:paraId="29B43AE4" w14:textId="100F0205" w:rsidR="00AA70C2" w:rsidRPr="00BF51BB" w:rsidRDefault="00AA70C2">
            <w:pPr>
              <w:spacing w:after="0" w:line="240" w:lineRule="auto"/>
              <w:rPr>
                <w:rFonts w:ascii="Calibri" w:eastAsia="Times New Roman" w:hAnsi="Calibri" w:cs="Calibri"/>
                <w:color w:val="0563C1"/>
              </w:rPr>
            </w:pPr>
            <w:r w:rsidRPr="00BF51BB">
              <w:rPr>
                <w:rFonts w:ascii="Calibri" w:eastAsia="Times New Roman" w:hAnsi="Calibri" w:cs="Calibri"/>
              </w:rPr>
              <w:footnoteReference w:customMarkFollows="1" w:id="1"/>
              <w:t>G</w:t>
            </w:r>
            <w:r w:rsidR="003415FF" w:rsidRPr="00BF51BB">
              <w:rPr>
                <w:rFonts w:ascii="Calibri" w:eastAsia="Times New Roman" w:hAnsi="Calibri" w:cs="Calibri"/>
              </w:rPr>
              <w:t>ARANCIJE</w:t>
            </w:r>
            <w:r w:rsidR="003415FF" w:rsidRPr="00BF51BB">
              <w:rPr>
                <w:rStyle w:val="FootnoteReference"/>
                <w:rFonts w:ascii="Calibri" w:eastAsia="Times New Roman" w:hAnsi="Calibri" w:cs="Calibri"/>
              </w:rPr>
              <w:footnoteReference w:id="2"/>
            </w:r>
          </w:p>
        </w:tc>
        <w:tc>
          <w:tcPr>
            <w:tcW w:w="928" w:type="pct"/>
            <w:shd w:val="clear" w:color="auto" w:fill="auto"/>
            <w:noWrap/>
            <w:vAlign w:val="center"/>
            <w:hideMark/>
          </w:tcPr>
          <w:p w14:paraId="0243F900" w14:textId="77777777" w:rsidR="00AA70C2" w:rsidRPr="00BF51BB" w:rsidRDefault="00AA70C2" w:rsidP="00AA70C2">
            <w:pPr>
              <w:spacing w:after="0" w:line="240" w:lineRule="auto"/>
              <w:rPr>
                <w:rFonts w:ascii="Calibri" w:eastAsia="Times New Roman" w:hAnsi="Calibri" w:cs="Calibri"/>
                <w:color w:val="0563C1"/>
                <w:u w:val="single"/>
              </w:rPr>
            </w:pPr>
          </w:p>
        </w:tc>
        <w:tc>
          <w:tcPr>
            <w:tcW w:w="1038" w:type="pct"/>
            <w:shd w:val="clear" w:color="auto" w:fill="auto"/>
            <w:noWrap/>
            <w:vAlign w:val="center"/>
            <w:hideMark/>
          </w:tcPr>
          <w:p w14:paraId="04B42303" w14:textId="77777777"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 </w:t>
            </w:r>
          </w:p>
        </w:tc>
      </w:tr>
      <w:tr w:rsidR="00AA70C2" w:rsidRPr="00BF51BB" w14:paraId="0F856335" w14:textId="77777777" w:rsidTr="00BF51BB">
        <w:trPr>
          <w:trHeight w:val="300"/>
        </w:trPr>
        <w:tc>
          <w:tcPr>
            <w:tcW w:w="3034" w:type="pct"/>
            <w:shd w:val="clear" w:color="auto" w:fill="auto"/>
            <w:noWrap/>
            <w:vAlign w:val="center"/>
            <w:hideMark/>
          </w:tcPr>
          <w:p w14:paraId="2C1C4BA4" w14:textId="40E6C02C" w:rsidR="00AA70C2" w:rsidRPr="00BF51BB" w:rsidRDefault="00AA70C2" w:rsidP="00BF51BB">
            <w:pPr>
              <w:pStyle w:val="ListParagraph"/>
              <w:numPr>
                <w:ilvl w:val="0"/>
                <w:numId w:val="31"/>
              </w:numPr>
              <w:spacing w:after="0" w:line="240" w:lineRule="auto"/>
              <w:rPr>
                <w:rFonts w:ascii="Arial" w:eastAsia="Times New Roman" w:hAnsi="Arial" w:cs="Arial"/>
                <w:i/>
                <w:iCs/>
                <w:color w:val="000000"/>
              </w:rPr>
            </w:pPr>
            <w:r w:rsidRPr="00BF51BB">
              <w:rPr>
                <w:rFonts w:ascii="Arial" w:eastAsia="Times New Roman" w:hAnsi="Arial" w:cs="Arial"/>
                <w:i/>
                <w:iCs/>
                <w:color w:val="000000"/>
              </w:rPr>
              <w:t>Garancije JP u vlasništvu F</w:t>
            </w:r>
            <w:r w:rsidR="00AD6396" w:rsidRPr="00BF51BB">
              <w:rPr>
                <w:rFonts w:ascii="Arial" w:eastAsia="Times New Roman" w:hAnsi="Arial" w:cs="Arial"/>
                <w:i/>
                <w:iCs/>
                <w:color w:val="000000"/>
              </w:rPr>
              <w:t>B</w:t>
            </w:r>
            <w:r w:rsidRPr="00BF51BB">
              <w:rPr>
                <w:rFonts w:ascii="Arial" w:eastAsia="Times New Roman" w:hAnsi="Arial" w:cs="Arial"/>
                <w:i/>
                <w:iCs/>
                <w:color w:val="000000"/>
              </w:rPr>
              <w:t>iH</w:t>
            </w:r>
          </w:p>
        </w:tc>
        <w:tc>
          <w:tcPr>
            <w:tcW w:w="928" w:type="pct"/>
            <w:shd w:val="clear" w:color="auto" w:fill="auto"/>
            <w:noWrap/>
            <w:vAlign w:val="center"/>
            <w:hideMark/>
          </w:tcPr>
          <w:p w14:paraId="548E9381" w14:textId="77777777" w:rsidR="00AA70C2" w:rsidRPr="00BF51BB" w:rsidRDefault="00AA70C2" w:rsidP="00AA70C2">
            <w:pPr>
              <w:spacing w:after="0" w:line="240" w:lineRule="auto"/>
              <w:jc w:val="center"/>
              <w:rPr>
                <w:rFonts w:ascii="Arial" w:eastAsia="Times New Roman" w:hAnsi="Arial" w:cs="Arial"/>
                <w:color w:val="448AD7"/>
              </w:rPr>
            </w:pPr>
            <w:r w:rsidRPr="00BF51BB">
              <w:rPr>
                <w:rFonts w:ascii="Arial" w:eastAsia="Times New Roman" w:hAnsi="Arial" w:cs="Arial"/>
                <w:color w:val="448AD7"/>
              </w:rPr>
              <w:t>x</w:t>
            </w:r>
          </w:p>
        </w:tc>
        <w:tc>
          <w:tcPr>
            <w:tcW w:w="1038" w:type="pct"/>
            <w:shd w:val="clear" w:color="auto" w:fill="auto"/>
            <w:noWrap/>
            <w:vAlign w:val="center"/>
            <w:hideMark/>
          </w:tcPr>
          <w:p w14:paraId="7CBD918A" w14:textId="77777777"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1.200,86</w:t>
            </w:r>
          </w:p>
        </w:tc>
      </w:tr>
      <w:tr w:rsidR="00AA70C2" w:rsidRPr="00BF51BB" w14:paraId="51ABCFA7" w14:textId="77777777" w:rsidTr="00BF51BB">
        <w:trPr>
          <w:trHeight w:val="300"/>
        </w:trPr>
        <w:tc>
          <w:tcPr>
            <w:tcW w:w="3034" w:type="pct"/>
            <w:shd w:val="clear" w:color="auto" w:fill="auto"/>
            <w:noWrap/>
            <w:vAlign w:val="center"/>
            <w:hideMark/>
          </w:tcPr>
          <w:p w14:paraId="0B3B9657" w14:textId="69806020" w:rsidR="00AA70C2" w:rsidRPr="00BF51BB" w:rsidRDefault="00AA70C2" w:rsidP="00BF51BB">
            <w:pPr>
              <w:pStyle w:val="ListParagraph"/>
              <w:numPr>
                <w:ilvl w:val="0"/>
                <w:numId w:val="31"/>
              </w:numPr>
              <w:spacing w:after="0" w:line="240" w:lineRule="auto"/>
              <w:rPr>
                <w:rFonts w:ascii="Arial" w:eastAsia="Times New Roman" w:hAnsi="Arial" w:cs="Arial"/>
                <w:i/>
                <w:iCs/>
                <w:color w:val="000000"/>
              </w:rPr>
            </w:pPr>
            <w:r w:rsidRPr="00BF51BB">
              <w:rPr>
                <w:rFonts w:ascii="Arial" w:eastAsia="Times New Roman" w:hAnsi="Arial" w:cs="Arial"/>
                <w:i/>
                <w:iCs/>
                <w:color w:val="000000"/>
              </w:rPr>
              <w:t>Garancijski fond</w:t>
            </w:r>
            <w:r w:rsidR="00FB6FC8" w:rsidRPr="00BF51BB">
              <w:rPr>
                <w:rFonts w:ascii="Arial" w:eastAsia="Times New Roman" w:hAnsi="Arial" w:cs="Arial"/>
                <w:i/>
                <w:iCs/>
                <w:color w:val="000000"/>
              </w:rPr>
              <w:t xml:space="preserve"> FBiH</w:t>
            </w:r>
          </w:p>
        </w:tc>
        <w:tc>
          <w:tcPr>
            <w:tcW w:w="928" w:type="pct"/>
            <w:shd w:val="clear" w:color="auto" w:fill="auto"/>
            <w:noWrap/>
            <w:vAlign w:val="center"/>
            <w:hideMark/>
          </w:tcPr>
          <w:p w14:paraId="08032FEC" w14:textId="77777777" w:rsidR="00AA70C2" w:rsidRPr="00BF51BB" w:rsidRDefault="00AA70C2" w:rsidP="00AA70C2">
            <w:pPr>
              <w:spacing w:after="0" w:line="240" w:lineRule="auto"/>
              <w:jc w:val="center"/>
              <w:rPr>
                <w:rFonts w:ascii="Arial" w:eastAsia="Times New Roman" w:hAnsi="Arial" w:cs="Arial"/>
                <w:color w:val="448AD7"/>
              </w:rPr>
            </w:pPr>
            <w:r w:rsidRPr="00BF51BB">
              <w:rPr>
                <w:rFonts w:ascii="Arial" w:eastAsia="Times New Roman" w:hAnsi="Arial" w:cs="Arial"/>
                <w:color w:val="448AD7"/>
              </w:rPr>
              <w:t>x</w:t>
            </w:r>
          </w:p>
        </w:tc>
        <w:tc>
          <w:tcPr>
            <w:tcW w:w="1038" w:type="pct"/>
            <w:shd w:val="clear" w:color="auto" w:fill="auto"/>
            <w:noWrap/>
            <w:vAlign w:val="center"/>
            <w:hideMark/>
          </w:tcPr>
          <w:p w14:paraId="7D521991" w14:textId="77777777"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100,09</w:t>
            </w:r>
          </w:p>
        </w:tc>
      </w:tr>
      <w:tr w:rsidR="00AA70C2" w:rsidRPr="00BF51BB" w14:paraId="5EFA0648" w14:textId="77777777" w:rsidTr="00BF51BB">
        <w:trPr>
          <w:trHeight w:val="315"/>
        </w:trPr>
        <w:tc>
          <w:tcPr>
            <w:tcW w:w="3034" w:type="pct"/>
            <w:shd w:val="clear" w:color="auto" w:fill="auto"/>
            <w:noWrap/>
            <w:vAlign w:val="center"/>
            <w:hideMark/>
          </w:tcPr>
          <w:p w14:paraId="474A1CCC" w14:textId="77777777" w:rsidR="00AA70C2" w:rsidRPr="00BF51BB" w:rsidRDefault="00AA70C2" w:rsidP="00AA70C2">
            <w:pPr>
              <w:spacing w:after="0" w:line="240" w:lineRule="auto"/>
              <w:rPr>
                <w:rFonts w:ascii="Arial" w:eastAsia="Times New Roman" w:hAnsi="Arial" w:cs="Arial"/>
                <w:i/>
                <w:iCs/>
                <w:color w:val="000000"/>
              </w:rPr>
            </w:pPr>
            <w:r w:rsidRPr="00BF51BB">
              <w:rPr>
                <w:rFonts w:ascii="Arial" w:eastAsia="Times New Roman" w:hAnsi="Arial" w:cs="Arial"/>
                <w:i/>
                <w:iCs/>
                <w:color w:val="000000"/>
              </w:rPr>
              <w:t>UKUPAN dug obuhvaćen strategijom</w:t>
            </w:r>
          </w:p>
        </w:tc>
        <w:tc>
          <w:tcPr>
            <w:tcW w:w="928" w:type="pct"/>
            <w:shd w:val="clear" w:color="auto" w:fill="auto"/>
            <w:noWrap/>
            <w:vAlign w:val="center"/>
            <w:hideMark/>
          </w:tcPr>
          <w:p w14:paraId="013FA3DE" w14:textId="77777777" w:rsidR="00AA70C2" w:rsidRPr="00BF51BB" w:rsidRDefault="00AA70C2" w:rsidP="00AA70C2">
            <w:pPr>
              <w:spacing w:after="0" w:line="240" w:lineRule="auto"/>
              <w:jc w:val="center"/>
              <w:rPr>
                <w:rFonts w:ascii="Arial" w:eastAsia="Times New Roman" w:hAnsi="Arial" w:cs="Arial"/>
                <w:b/>
                <w:bCs/>
                <w:i/>
                <w:iCs/>
                <w:color w:val="31849B"/>
              </w:rPr>
            </w:pPr>
            <w:r w:rsidRPr="00BF51BB">
              <w:rPr>
                <w:rFonts w:ascii="Arial" w:eastAsia="Times New Roman" w:hAnsi="Arial" w:cs="Arial"/>
                <w:b/>
                <w:bCs/>
                <w:i/>
                <w:iCs/>
                <w:color w:val="31849B"/>
              </w:rPr>
              <w:t> </w:t>
            </w:r>
          </w:p>
        </w:tc>
        <w:tc>
          <w:tcPr>
            <w:tcW w:w="1038" w:type="pct"/>
            <w:shd w:val="clear" w:color="auto" w:fill="auto"/>
            <w:noWrap/>
            <w:vAlign w:val="center"/>
            <w:hideMark/>
          </w:tcPr>
          <w:p w14:paraId="017E2264" w14:textId="77777777" w:rsidR="00AA70C2" w:rsidRPr="00BF51BB" w:rsidRDefault="00AA70C2" w:rsidP="00AA70C2">
            <w:pPr>
              <w:spacing w:after="0" w:line="240" w:lineRule="auto"/>
              <w:jc w:val="right"/>
              <w:rPr>
                <w:rFonts w:ascii="Arial" w:eastAsia="Times New Roman" w:hAnsi="Arial" w:cs="Arial"/>
                <w:i/>
                <w:iCs/>
                <w:color w:val="000000"/>
              </w:rPr>
            </w:pPr>
            <w:r w:rsidRPr="00BF51BB">
              <w:rPr>
                <w:rFonts w:ascii="Arial" w:eastAsia="Times New Roman" w:hAnsi="Arial" w:cs="Arial"/>
                <w:i/>
                <w:iCs/>
                <w:color w:val="000000"/>
              </w:rPr>
              <w:t>6.156,28</w:t>
            </w:r>
          </w:p>
        </w:tc>
      </w:tr>
    </w:tbl>
    <w:p w14:paraId="77ABBD20" w14:textId="77777777" w:rsidR="00AA70C2" w:rsidRPr="00BF51BB" w:rsidRDefault="00AA70C2" w:rsidP="00ED768D">
      <w:pPr>
        <w:pStyle w:val="NoSpacing"/>
        <w:spacing w:line="276" w:lineRule="auto"/>
        <w:jc w:val="both"/>
        <w:rPr>
          <w:rFonts w:ascii="Arial" w:hAnsi="Arial" w:cs="Arial"/>
          <w:szCs w:val="24"/>
          <w:lang w:val="hr-HR"/>
        </w:rPr>
      </w:pPr>
    </w:p>
    <w:p w14:paraId="3EA2B894" w14:textId="77777777" w:rsidR="000D54BA" w:rsidRPr="00BF51BB" w:rsidRDefault="000D54BA" w:rsidP="00ED768D">
      <w:pPr>
        <w:pStyle w:val="NoSpacing"/>
        <w:spacing w:line="276" w:lineRule="auto"/>
        <w:jc w:val="both"/>
        <w:rPr>
          <w:rFonts w:ascii="Arial" w:hAnsi="Arial" w:cs="Arial"/>
          <w:sz w:val="16"/>
          <w:szCs w:val="24"/>
          <w:lang w:val="hr-HR"/>
        </w:rPr>
      </w:pPr>
    </w:p>
    <w:p w14:paraId="41897493" w14:textId="77777777" w:rsidR="007E2712" w:rsidRDefault="007E2712" w:rsidP="00C4523E">
      <w:pPr>
        <w:spacing w:after="0" w:line="240" w:lineRule="auto"/>
        <w:jc w:val="both"/>
      </w:pPr>
    </w:p>
    <w:p w14:paraId="5149F7FB" w14:textId="77777777" w:rsidR="007E2712" w:rsidRPr="00BF51BB" w:rsidRDefault="007E2712" w:rsidP="00C4523E">
      <w:pPr>
        <w:spacing w:after="0" w:line="240" w:lineRule="auto"/>
        <w:jc w:val="both"/>
      </w:pPr>
    </w:p>
    <w:p w14:paraId="79D1635C" w14:textId="77777777" w:rsidR="00ED768D" w:rsidRPr="00BF51BB" w:rsidRDefault="00ED768D" w:rsidP="00627D74">
      <w:pPr>
        <w:pStyle w:val="Heading1"/>
        <w:numPr>
          <w:ilvl w:val="0"/>
          <w:numId w:val="2"/>
        </w:numPr>
        <w:spacing w:before="0"/>
        <w:rPr>
          <w:rFonts w:ascii="Arial" w:hAnsi="Arial" w:cs="Arial"/>
          <w:b w:val="0"/>
          <w:color w:val="auto"/>
        </w:rPr>
      </w:pPr>
      <w:bookmarkStart w:id="7" w:name="_Toc101781028"/>
      <w:r w:rsidRPr="00BF51BB">
        <w:rPr>
          <w:rFonts w:ascii="Arial" w:hAnsi="Arial" w:cs="Arial"/>
          <w:b w:val="0"/>
          <w:color w:val="auto"/>
        </w:rPr>
        <w:t xml:space="preserve">PORTFOLIO </w:t>
      </w:r>
      <w:r w:rsidR="009D5680" w:rsidRPr="00BF51BB">
        <w:rPr>
          <w:rFonts w:ascii="Arial" w:hAnsi="Arial" w:cs="Arial"/>
          <w:b w:val="0"/>
          <w:color w:val="auto"/>
        </w:rPr>
        <w:t xml:space="preserve">DUGA </w:t>
      </w:r>
      <w:r w:rsidRPr="00BF51BB">
        <w:rPr>
          <w:rFonts w:ascii="Arial" w:hAnsi="Arial" w:cs="Arial"/>
          <w:b w:val="0"/>
          <w:color w:val="auto"/>
        </w:rPr>
        <w:t>VLAD</w:t>
      </w:r>
      <w:r w:rsidR="009D5680" w:rsidRPr="00BF51BB">
        <w:rPr>
          <w:rFonts w:ascii="Arial" w:hAnsi="Arial" w:cs="Arial"/>
          <w:b w:val="0"/>
          <w:color w:val="auto"/>
        </w:rPr>
        <w:t>E F</w:t>
      </w:r>
      <w:r w:rsidR="00A5324C" w:rsidRPr="00BF51BB">
        <w:rPr>
          <w:rFonts w:ascii="Arial" w:hAnsi="Arial" w:cs="Arial"/>
          <w:b w:val="0"/>
          <w:color w:val="auto"/>
        </w:rPr>
        <w:t xml:space="preserve">EDERACIJE </w:t>
      </w:r>
      <w:r w:rsidR="009D5680" w:rsidRPr="00BF51BB">
        <w:rPr>
          <w:rFonts w:ascii="Arial" w:hAnsi="Arial" w:cs="Arial"/>
          <w:b w:val="0"/>
          <w:color w:val="auto"/>
        </w:rPr>
        <w:t>BIH</w:t>
      </w:r>
      <w:bookmarkEnd w:id="7"/>
    </w:p>
    <w:p w14:paraId="70DDCBA3" w14:textId="77777777" w:rsidR="00ED768D" w:rsidRPr="00BF51BB" w:rsidRDefault="00ED768D" w:rsidP="00ED768D">
      <w:pPr>
        <w:pStyle w:val="NoSpacing"/>
        <w:jc w:val="both"/>
        <w:rPr>
          <w:rFonts w:ascii="Arial" w:hAnsi="Arial" w:cs="Arial"/>
          <w:color w:val="E36C0A" w:themeColor="accent6" w:themeShade="BF"/>
          <w:lang w:val="hr-HR"/>
        </w:rPr>
      </w:pPr>
    </w:p>
    <w:p w14:paraId="3511F242" w14:textId="77777777" w:rsidR="00087712" w:rsidRPr="00BF51BB" w:rsidRDefault="00087712" w:rsidP="00ED768D">
      <w:pPr>
        <w:pStyle w:val="NoSpacing"/>
        <w:jc w:val="both"/>
        <w:rPr>
          <w:rFonts w:ascii="Arial" w:hAnsi="Arial" w:cs="Arial"/>
          <w:color w:val="E36C0A" w:themeColor="accent6" w:themeShade="BF"/>
          <w:lang w:val="hr-HR"/>
        </w:rPr>
      </w:pPr>
    </w:p>
    <w:p w14:paraId="07DA18F1" w14:textId="75ED0D8B" w:rsidR="000F2CF5" w:rsidRPr="00BF51BB" w:rsidRDefault="00087712" w:rsidP="00087712">
      <w:pPr>
        <w:pStyle w:val="ParagraphNumbering"/>
        <w:numPr>
          <w:ilvl w:val="0"/>
          <w:numId w:val="0"/>
        </w:numPr>
        <w:autoSpaceDE w:val="0"/>
        <w:spacing w:after="0" w:line="276" w:lineRule="auto"/>
        <w:ind w:firstLine="360"/>
        <w:jc w:val="both"/>
        <w:rPr>
          <w:rFonts w:ascii="Arial" w:eastAsiaTheme="minorHAnsi" w:hAnsi="Arial" w:cs="Arial"/>
          <w:sz w:val="22"/>
          <w:szCs w:val="22"/>
        </w:rPr>
      </w:pPr>
      <w:r w:rsidRPr="00BF51BB">
        <w:rPr>
          <w:rFonts w:ascii="Arial" w:eastAsiaTheme="minorHAnsi" w:hAnsi="Arial" w:cs="Arial"/>
          <w:sz w:val="22"/>
          <w:szCs w:val="22"/>
        </w:rPr>
        <w:t>P</w:t>
      </w:r>
      <w:r w:rsidR="000F2CF5" w:rsidRPr="00BF51BB">
        <w:rPr>
          <w:rFonts w:ascii="Arial" w:eastAsiaTheme="minorHAnsi" w:hAnsi="Arial" w:cs="Arial"/>
          <w:sz w:val="22"/>
          <w:szCs w:val="22"/>
        </w:rPr>
        <w:t>ortfolio duga za koji je odgovorna i kojim upravlja Vlada F</w:t>
      </w:r>
      <w:r w:rsidR="00AF4632" w:rsidRPr="00BF51BB">
        <w:rPr>
          <w:rFonts w:ascii="Arial" w:eastAsiaTheme="minorHAnsi" w:hAnsi="Arial" w:cs="Arial"/>
          <w:sz w:val="22"/>
          <w:szCs w:val="22"/>
        </w:rPr>
        <w:t xml:space="preserve">ederacije </w:t>
      </w:r>
      <w:r w:rsidRPr="00BF51BB">
        <w:rPr>
          <w:rFonts w:ascii="Arial" w:eastAsiaTheme="minorHAnsi" w:hAnsi="Arial" w:cs="Arial"/>
          <w:sz w:val="22"/>
          <w:szCs w:val="22"/>
        </w:rPr>
        <w:t>BiH na dan 31.12.</w:t>
      </w:r>
      <w:r w:rsidR="008D650F" w:rsidRPr="00BF51BB">
        <w:rPr>
          <w:rFonts w:ascii="Arial" w:eastAsiaTheme="minorHAnsi" w:hAnsi="Arial" w:cs="Arial"/>
          <w:sz w:val="22"/>
          <w:szCs w:val="22"/>
        </w:rPr>
        <w:t>2021</w:t>
      </w:r>
      <w:r w:rsidR="000F2CF5" w:rsidRPr="00BF51BB">
        <w:rPr>
          <w:rFonts w:ascii="Arial" w:eastAsiaTheme="minorHAnsi" w:hAnsi="Arial" w:cs="Arial"/>
          <w:sz w:val="22"/>
          <w:szCs w:val="22"/>
        </w:rPr>
        <w:t xml:space="preserve">. godine </w:t>
      </w:r>
      <w:r w:rsidR="008B5A0B" w:rsidRPr="00BF51BB">
        <w:rPr>
          <w:rFonts w:ascii="Arial" w:eastAsiaTheme="minorHAnsi" w:hAnsi="Arial" w:cs="Arial"/>
          <w:sz w:val="22"/>
          <w:szCs w:val="22"/>
        </w:rPr>
        <w:t>iznos</w:t>
      </w:r>
      <w:r w:rsidR="00C4523E" w:rsidRPr="00BF51BB">
        <w:rPr>
          <w:rFonts w:ascii="Arial" w:eastAsiaTheme="minorHAnsi" w:hAnsi="Arial" w:cs="Arial"/>
          <w:sz w:val="22"/>
          <w:szCs w:val="22"/>
        </w:rPr>
        <w:t>i</w:t>
      </w:r>
      <w:r w:rsidR="000F2CF5" w:rsidRPr="00BF51BB">
        <w:rPr>
          <w:rFonts w:ascii="Arial" w:eastAsiaTheme="minorHAnsi" w:hAnsi="Arial" w:cs="Arial"/>
          <w:sz w:val="22"/>
          <w:szCs w:val="22"/>
        </w:rPr>
        <w:t xml:space="preserve"> </w:t>
      </w:r>
      <w:r w:rsidR="00335615" w:rsidRPr="00BF51BB">
        <w:rPr>
          <w:rFonts w:ascii="Arial" w:eastAsiaTheme="minorHAnsi" w:hAnsi="Arial" w:cs="Arial"/>
          <w:sz w:val="22"/>
          <w:szCs w:val="22"/>
        </w:rPr>
        <w:t>6.156,28</w:t>
      </w:r>
      <w:r w:rsidR="0081777B" w:rsidRPr="00BF51BB">
        <w:rPr>
          <w:rFonts w:ascii="Arial" w:eastAsiaTheme="minorHAnsi" w:hAnsi="Arial" w:cs="Arial"/>
          <w:sz w:val="22"/>
          <w:szCs w:val="22"/>
        </w:rPr>
        <w:t xml:space="preserve"> </w:t>
      </w:r>
      <w:r w:rsidR="00E672EB" w:rsidRPr="00BF51BB">
        <w:rPr>
          <w:rFonts w:ascii="Arial" w:eastAsiaTheme="minorHAnsi" w:hAnsi="Arial" w:cs="Arial"/>
          <w:sz w:val="22"/>
          <w:szCs w:val="22"/>
        </w:rPr>
        <w:t>mil.KM</w:t>
      </w:r>
      <w:r w:rsidR="008F15D0" w:rsidRPr="00BF51BB">
        <w:rPr>
          <w:rStyle w:val="FootnoteReference"/>
          <w:rFonts w:ascii="Arial" w:eastAsiaTheme="minorHAnsi" w:hAnsi="Arial" w:cs="Arial"/>
          <w:sz w:val="22"/>
          <w:szCs w:val="22"/>
        </w:rPr>
        <w:footnoteReference w:id="3"/>
      </w:r>
      <w:r w:rsidR="000F2CF5" w:rsidRPr="00BF51BB">
        <w:rPr>
          <w:rFonts w:ascii="Arial" w:eastAsiaTheme="minorHAnsi" w:hAnsi="Arial" w:cs="Arial"/>
          <w:sz w:val="22"/>
          <w:szCs w:val="22"/>
        </w:rPr>
        <w:t xml:space="preserve"> (</w:t>
      </w:r>
      <w:r w:rsidR="00335615" w:rsidRPr="00BF51BB">
        <w:rPr>
          <w:rFonts w:ascii="Arial" w:eastAsiaTheme="minorHAnsi" w:hAnsi="Arial" w:cs="Arial"/>
          <w:sz w:val="22"/>
          <w:szCs w:val="22"/>
        </w:rPr>
        <w:t>3.567,55</w:t>
      </w:r>
      <w:r w:rsidR="0081777B" w:rsidRPr="00BF51BB">
        <w:rPr>
          <w:rFonts w:ascii="Arial" w:eastAsiaTheme="minorHAnsi" w:hAnsi="Arial" w:cs="Arial"/>
          <w:sz w:val="22"/>
          <w:szCs w:val="22"/>
        </w:rPr>
        <w:t xml:space="preserve"> </w:t>
      </w:r>
      <w:r w:rsidR="00E72547" w:rsidRPr="00BF51BB">
        <w:rPr>
          <w:rFonts w:ascii="Arial" w:eastAsiaTheme="minorHAnsi" w:hAnsi="Arial" w:cs="Arial"/>
          <w:sz w:val="22"/>
          <w:szCs w:val="22"/>
        </w:rPr>
        <w:t>mil.</w:t>
      </w:r>
      <w:r w:rsidR="009847D2" w:rsidRPr="00BF51BB">
        <w:rPr>
          <w:rFonts w:ascii="Arial" w:eastAsiaTheme="minorHAnsi" w:hAnsi="Arial" w:cs="Arial"/>
          <w:sz w:val="22"/>
          <w:szCs w:val="22"/>
        </w:rPr>
        <w:t xml:space="preserve"> </w:t>
      </w:r>
      <w:r w:rsidR="00E72547" w:rsidRPr="00BF51BB">
        <w:rPr>
          <w:rFonts w:ascii="Arial" w:eastAsiaTheme="minorHAnsi" w:hAnsi="Arial" w:cs="Arial"/>
          <w:sz w:val="22"/>
          <w:szCs w:val="22"/>
        </w:rPr>
        <w:t>USD</w:t>
      </w:r>
      <w:r w:rsidR="000F2CF5" w:rsidRPr="00BF51BB">
        <w:rPr>
          <w:rFonts w:ascii="Arial" w:eastAsiaTheme="minorHAnsi" w:hAnsi="Arial" w:cs="Arial"/>
          <w:sz w:val="22"/>
          <w:szCs w:val="22"/>
        </w:rPr>
        <w:t xml:space="preserve"> ili </w:t>
      </w:r>
      <w:r w:rsidR="00066640" w:rsidRPr="00BF51BB">
        <w:rPr>
          <w:rFonts w:ascii="Arial" w:eastAsia="Times New Roman" w:hAnsi="Arial" w:cs="Arial"/>
          <w:bCs/>
          <w:sz w:val="22"/>
          <w:szCs w:val="22"/>
          <w:lang w:eastAsia="zh-CN"/>
        </w:rPr>
        <w:t>26,82</w:t>
      </w:r>
      <w:r w:rsidR="000F2CF5" w:rsidRPr="00BF51BB">
        <w:rPr>
          <w:rFonts w:ascii="Arial" w:eastAsiaTheme="minorHAnsi" w:hAnsi="Arial" w:cs="Arial"/>
          <w:sz w:val="22"/>
          <w:szCs w:val="22"/>
        </w:rPr>
        <w:t>% BDP-a</w:t>
      </w:r>
      <w:r w:rsidR="00B93399" w:rsidRPr="00BF51BB">
        <w:rPr>
          <w:rStyle w:val="FootnoteReference"/>
          <w:rFonts w:ascii="Arial" w:eastAsiaTheme="minorHAnsi" w:hAnsi="Arial" w:cs="Arial"/>
          <w:sz w:val="22"/>
          <w:szCs w:val="22"/>
        </w:rPr>
        <w:footnoteReference w:id="4"/>
      </w:r>
      <w:r w:rsidR="000F2CF5" w:rsidRPr="00BF51BB">
        <w:rPr>
          <w:rFonts w:ascii="Arial" w:eastAsiaTheme="minorHAnsi" w:hAnsi="Arial" w:cs="Arial"/>
          <w:sz w:val="22"/>
          <w:szCs w:val="22"/>
        </w:rPr>
        <w:t xml:space="preserve"> F</w:t>
      </w:r>
      <w:r w:rsidR="00D864A3" w:rsidRPr="00BF51BB">
        <w:rPr>
          <w:rFonts w:ascii="Arial" w:eastAsiaTheme="minorHAnsi" w:hAnsi="Arial" w:cs="Arial"/>
          <w:sz w:val="22"/>
          <w:szCs w:val="22"/>
        </w:rPr>
        <w:t xml:space="preserve">ederacije </w:t>
      </w:r>
      <w:r w:rsidR="000F2CF5" w:rsidRPr="00BF51BB">
        <w:rPr>
          <w:rFonts w:ascii="Arial" w:eastAsiaTheme="minorHAnsi" w:hAnsi="Arial" w:cs="Arial"/>
          <w:sz w:val="22"/>
          <w:szCs w:val="22"/>
        </w:rPr>
        <w:t>BiH</w:t>
      </w:r>
      <w:r w:rsidR="00D666B6" w:rsidRPr="00BF51BB">
        <w:rPr>
          <w:rFonts w:ascii="Arial" w:eastAsiaTheme="minorHAnsi" w:hAnsi="Arial" w:cs="Arial"/>
          <w:sz w:val="22"/>
          <w:szCs w:val="22"/>
        </w:rPr>
        <w:t>), a</w:t>
      </w:r>
      <w:r w:rsidR="000F2CF5" w:rsidRPr="00BF51BB">
        <w:rPr>
          <w:rFonts w:ascii="Arial" w:eastAsiaTheme="minorHAnsi" w:hAnsi="Arial" w:cs="Arial"/>
          <w:sz w:val="22"/>
          <w:szCs w:val="22"/>
        </w:rPr>
        <w:t xml:space="preserve"> </w:t>
      </w:r>
      <w:r w:rsidR="00D666B6" w:rsidRPr="00BF51BB">
        <w:rPr>
          <w:rFonts w:ascii="Arial" w:eastAsiaTheme="minorHAnsi" w:hAnsi="Arial" w:cs="Arial"/>
          <w:sz w:val="22"/>
          <w:szCs w:val="22"/>
        </w:rPr>
        <w:t>s</w:t>
      </w:r>
      <w:r w:rsidR="000F2CF5" w:rsidRPr="00BF51BB">
        <w:rPr>
          <w:rFonts w:ascii="Arial" w:eastAsiaTheme="minorHAnsi" w:hAnsi="Arial" w:cs="Arial"/>
          <w:sz w:val="22"/>
          <w:szCs w:val="22"/>
        </w:rPr>
        <w:t>astoji se od vanjskog duga</w:t>
      </w:r>
      <w:r w:rsidR="00892DCC" w:rsidRPr="00BF51BB">
        <w:rPr>
          <w:rFonts w:ascii="Arial" w:eastAsiaTheme="minorHAnsi" w:hAnsi="Arial" w:cs="Arial"/>
          <w:sz w:val="22"/>
          <w:szCs w:val="22"/>
        </w:rPr>
        <w:t xml:space="preserve"> </w:t>
      </w:r>
      <w:r w:rsidR="0019168F" w:rsidRPr="00BF51BB">
        <w:rPr>
          <w:rFonts w:ascii="Arial" w:eastAsiaTheme="minorHAnsi" w:hAnsi="Arial" w:cs="Arial"/>
          <w:sz w:val="22"/>
          <w:szCs w:val="22"/>
        </w:rPr>
        <w:t>u</w:t>
      </w:r>
      <w:r w:rsidR="00892DCC" w:rsidRPr="00BF51BB">
        <w:rPr>
          <w:rFonts w:ascii="Arial" w:eastAsiaTheme="minorHAnsi" w:hAnsi="Arial" w:cs="Arial"/>
          <w:sz w:val="22"/>
          <w:szCs w:val="22"/>
        </w:rPr>
        <w:t xml:space="preserve"> iznos</w:t>
      </w:r>
      <w:r w:rsidR="0019168F" w:rsidRPr="00BF51BB">
        <w:rPr>
          <w:rFonts w:ascii="Arial" w:eastAsiaTheme="minorHAnsi" w:hAnsi="Arial" w:cs="Arial"/>
          <w:sz w:val="22"/>
          <w:szCs w:val="22"/>
        </w:rPr>
        <w:t>u</w:t>
      </w:r>
      <w:r w:rsidR="000F2CF5" w:rsidRPr="00BF51BB">
        <w:rPr>
          <w:rFonts w:ascii="Arial" w:eastAsiaTheme="minorHAnsi" w:hAnsi="Arial" w:cs="Arial"/>
          <w:sz w:val="22"/>
          <w:szCs w:val="22"/>
        </w:rPr>
        <w:t xml:space="preserve"> od </w:t>
      </w:r>
      <w:r w:rsidR="00335615" w:rsidRPr="00BF51BB">
        <w:rPr>
          <w:rFonts w:ascii="Arial" w:eastAsiaTheme="minorHAnsi" w:hAnsi="Arial" w:cs="Arial"/>
          <w:sz w:val="22"/>
          <w:szCs w:val="22"/>
        </w:rPr>
        <w:t>5.402,01</w:t>
      </w:r>
      <w:r w:rsidR="000F2CF5" w:rsidRPr="00BF51BB">
        <w:rPr>
          <w:rFonts w:ascii="Arial" w:eastAsiaTheme="minorHAnsi" w:hAnsi="Arial" w:cs="Arial"/>
          <w:sz w:val="22"/>
          <w:szCs w:val="22"/>
        </w:rPr>
        <w:t xml:space="preserve"> </w:t>
      </w:r>
      <w:r w:rsidR="00E672EB" w:rsidRPr="00BF51BB">
        <w:rPr>
          <w:rFonts w:ascii="Arial" w:eastAsiaTheme="minorHAnsi" w:hAnsi="Arial" w:cs="Arial"/>
          <w:sz w:val="22"/>
          <w:szCs w:val="22"/>
        </w:rPr>
        <w:t>mil.KM</w:t>
      </w:r>
      <w:r w:rsidR="000F2CF5" w:rsidRPr="00BF51BB">
        <w:rPr>
          <w:rFonts w:ascii="Arial" w:eastAsiaTheme="minorHAnsi" w:hAnsi="Arial" w:cs="Arial"/>
          <w:sz w:val="22"/>
          <w:szCs w:val="22"/>
        </w:rPr>
        <w:t xml:space="preserve"> (</w:t>
      </w:r>
      <w:r w:rsidR="00335615" w:rsidRPr="00BF51BB">
        <w:rPr>
          <w:rFonts w:ascii="Arial" w:eastAsiaTheme="minorHAnsi" w:hAnsi="Arial" w:cs="Arial"/>
          <w:sz w:val="22"/>
          <w:szCs w:val="22"/>
        </w:rPr>
        <w:t>3,130,45</w:t>
      </w:r>
      <w:r w:rsidR="00245A96" w:rsidRPr="00BF51BB">
        <w:rPr>
          <w:rFonts w:ascii="Arial" w:eastAsia="Arial" w:hAnsi="Arial" w:cs="Arial"/>
          <w:sz w:val="22"/>
          <w:szCs w:val="22"/>
        </w:rPr>
        <w:t xml:space="preserve"> </w:t>
      </w:r>
      <w:r w:rsidR="000F2CF5" w:rsidRPr="00BF51BB">
        <w:rPr>
          <w:rFonts w:ascii="Arial" w:eastAsiaTheme="minorHAnsi" w:hAnsi="Arial" w:cs="Arial"/>
          <w:sz w:val="22"/>
          <w:szCs w:val="22"/>
        </w:rPr>
        <w:t>mil.</w:t>
      </w:r>
      <w:r w:rsidR="00D945EA" w:rsidRPr="00BF51BB">
        <w:rPr>
          <w:rFonts w:ascii="Arial" w:eastAsiaTheme="minorHAnsi" w:hAnsi="Arial" w:cs="Arial"/>
          <w:sz w:val="22"/>
          <w:szCs w:val="22"/>
        </w:rPr>
        <w:t xml:space="preserve"> </w:t>
      </w:r>
      <w:r w:rsidR="000F2CF5" w:rsidRPr="00BF51BB">
        <w:rPr>
          <w:rFonts w:ascii="Arial" w:eastAsiaTheme="minorHAnsi" w:hAnsi="Arial" w:cs="Arial"/>
          <w:sz w:val="22"/>
          <w:szCs w:val="22"/>
        </w:rPr>
        <w:t xml:space="preserve">USD ili </w:t>
      </w:r>
      <w:r w:rsidR="008B47E3" w:rsidRPr="00BF51BB">
        <w:rPr>
          <w:rFonts w:ascii="Arial" w:eastAsiaTheme="minorHAnsi" w:hAnsi="Arial" w:cs="Arial"/>
          <w:sz w:val="22"/>
          <w:szCs w:val="22"/>
        </w:rPr>
        <w:t>8</w:t>
      </w:r>
      <w:r w:rsidR="00762FBB" w:rsidRPr="00BF51BB">
        <w:rPr>
          <w:rFonts w:ascii="Arial" w:eastAsiaTheme="minorHAnsi" w:hAnsi="Arial" w:cs="Arial"/>
          <w:sz w:val="22"/>
          <w:szCs w:val="22"/>
        </w:rPr>
        <w:t>7,75</w:t>
      </w:r>
      <w:r w:rsidR="000F2CF5" w:rsidRPr="00BF51BB">
        <w:rPr>
          <w:rFonts w:ascii="Arial" w:eastAsiaTheme="minorHAnsi" w:hAnsi="Arial" w:cs="Arial"/>
          <w:sz w:val="22"/>
          <w:szCs w:val="22"/>
        </w:rPr>
        <w:t>% ukupnog duga</w:t>
      </w:r>
      <w:r w:rsidR="00D666B6" w:rsidRPr="00BF51BB">
        <w:rPr>
          <w:rFonts w:ascii="Arial" w:eastAsiaTheme="minorHAnsi" w:hAnsi="Arial" w:cs="Arial"/>
          <w:sz w:val="22"/>
          <w:szCs w:val="22"/>
        </w:rPr>
        <w:t>)</w:t>
      </w:r>
      <w:r w:rsidR="00A56991" w:rsidRPr="00BF51BB">
        <w:rPr>
          <w:rFonts w:ascii="Arial" w:eastAsiaTheme="minorHAnsi" w:hAnsi="Arial" w:cs="Arial"/>
          <w:sz w:val="22"/>
          <w:szCs w:val="22"/>
        </w:rPr>
        <w:t xml:space="preserve"> </w:t>
      </w:r>
      <w:r w:rsidR="00D666B6" w:rsidRPr="00BF51BB">
        <w:rPr>
          <w:rFonts w:ascii="Arial" w:eastAsiaTheme="minorHAnsi" w:hAnsi="Arial" w:cs="Arial"/>
          <w:sz w:val="22"/>
          <w:szCs w:val="22"/>
        </w:rPr>
        <w:t xml:space="preserve">i </w:t>
      </w:r>
      <w:r w:rsidR="000F2CF5" w:rsidRPr="00BF51BB">
        <w:rPr>
          <w:rFonts w:ascii="Arial" w:eastAsiaTheme="minorHAnsi" w:hAnsi="Arial" w:cs="Arial"/>
          <w:sz w:val="22"/>
          <w:szCs w:val="22"/>
        </w:rPr>
        <w:t>unutrašnj</w:t>
      </w:r>
      <w:r w:rsidR="00D666B6" w:rsidRPr="00BF51BB">
        <w:rPr>
          <w:rFonts w:ascii="Arial" w:eastAsiaTheme="minorHAnsi" w:hAnsi="Arial" w:cs="Arial"/>
          <w:sz w:val="22"/>
          <w:szCs w:val="22"/>
        </w:rPr>
        <w:t>eg</w:t>
      </w:r>
      <w:r w:rsidR="000F2CF5" w:rsidRPr="00BF51BB">
        <w:rPr>
          <w:rFonts w:ascii="Arial" w:eastAsiaTheme="minorHAnsi" w:hAnsi="Arial" w:cs="Arial"/>
          <w:sz w:val="22"/>
          <w:szCs w:val="22"/>
        </w:rPr>
        <w:t xml:space="preserve"> dug</w:t>
      </w:r>
      <w:r w:rsidR="00D666B6" w:rsidRPr="00BF51BB">
        <w:rPr>
          <w:rFonts w:ascii="Arial" w:eastAsiaTheme="minorHAnsi" w:hAnsi="Arial" w:cs="Arial"/>
          <w:sz w:val="22"/>
          <w:szCs w:val="22"/>
        </w:rPr>
        <w:t>a</w:t>
      </w:r>
      <w:r w:rsidR="000F2CF5" w:rsidRPr="00BF51BB">
        <w:rPr>
          <w:rFonts w:ascii="Arial" w:eastAsiaTheme="minorHAnsi" w:hAnsi="Arial" w:cs="Arial"/>
          <w:sz w:val="22"/>
          <w:szCs w:val="22"/>
        </w:rPr>
        <w:t xml:space="preserve"> </w:t>
      </w:r>
      <w:r w:rsidR="00D666B6" w:rsidRPr="00BF51BB">
        <w:rPr>
          <w:rFonts w:ascii="Arial" w:eastAsiaTheme="minorHAnsi" w:hAnsi="Arial" w:cs="Arial"/>
          <w:sz w:val="22"/>
          <w:szCs w:val="22"/>
        </w:rPr>
        <w:t xml:space="preserve">u </w:t>
      </w:r>
      <w:r w:rsidR="000F2CF5" w:rsidRPr="00BF51BB">
        <w:rPr>
          <w:rFonts w:ascii="Arial" w:eastAsiaTheme="minorHAnsi" w:hAnsi="Arial" w:cs="Arial"/>
          <w:sz w:val="22"/>
          <w:szCs w:val="22"/>
        </w:rPr>
        <w:t>iznos</w:t>
      </w:r>
      <w:r w:rsidR="00D666B6" w:rsidRPr="00BF51BB">
        <w:rPr>
          <w:rFonts w:ascii="Arial" w:eastAsiaTheme="minorHAnsi" w:hAnsi="Arial" w:cs="Arial"/>
          <w:sz w:val="22"/>
          <w:szCs w:val="22"/>
        </w:rPr>
        <w:t>u od</w:t>
      </w:r>
      <w:r w:rsidR="000F2CF5" w:rsidRPr="00BF51BB">
        <w:rPr>
          <w:rFonts w:ascii="Arial" w:eastAsiaTheme="minorHAnsi" w:hAnsi="Arial" w:cs="Arial"/>
          <w:sz w:val="22"/>
          <w:szCs w:val="22"/>
        </w:rPr>
        <w:t xml:space="preserve"> </w:t>
      </w:r>
      <w:r w:rsidR="00335615" w:rsidRPr="00BF51BB">
        <w:rPr>
          <w:rFonts w:ascii="Arial" w:eastAsiaTheme="minorHAnsi" w:hAnsi="Arial" w:cs="Arial"/>
          <w:sz w:val="22"/>
          <w:szCs w:val="22"/>
        </w:rPr>
        <w:t>754,27</w:t>
      </w:r>
      <w:r w:rsidR="000F2CF5" w:rsidRPr="00BF51BB">
        <w:rPr>
          <w:rFonts w:ascii="Arial" w:eastAsiaTheme="minorHAnsi" w:hAnsi="Arial" w:cs="Arial"/>
          <w:sz w:val="22"/>
          <w:szCs w:val="22"/>
        </w:rPr>
        <w:t xml:space="preserve"> </w:t>
      </w:r>
      <w:r w:rsidR="00E672EB" w:rsidRPr="00BF51BB">
        <w:rPr>
          <w:rFonts w:ascii="Arial" w:eastAsiaTheme="minorHAnsi" w:hAnsi="Arial" w:cs="Arial"/>
          <w:sz w:val="22"/>
          <w:szCs w:val="22"/>
        </w:rPr>
        <w:t>mil.KM</w:t>
      </w:r>
      <w:r w:rsidR="002F295B" w:rsidRPr="00BF51BB">
        <w:rPr>
          <w:rFonts w:ascii="Arial" w:eastAsiaTheme="minorHAnsi" w:hAnsi="Arial" w:cs="Arial"/>
          <w:sz w:val="22"/>
          <w:szCs w:val="22"/>
        </w:rPr>
        <w:t xml:space="preserve"> (</w:t>
      </w:r>
      <w:r w:rsidR="00335615" w:rsidRPr="00BF51BB">
        <w:rPr>
          <w:rFonts w:ascii="Arial" w:eastAsiaTheme="minorHAnsi" w:hAnsi="Arial" w:cs="Arial"/>
          <w:sz w:val="22"/>
          <w:szCs w:val="22"/>
        </w:rPr>
        <w:t>437,10</w:t>
      </w:r>
      <w:r w:rsidR="000F2CF5" w:rsidRPr="00BF51BB">
        <w:rPr>
          <w:rFonts w:ascii="Arial" w:eastAsiaTheme="minorHAnsi" w:hAnsi="Arial" w:cs="Arial"/>
          <w:sz w:val="22"/>
          <w:szCs w:val="22"/>
        </w:rPr>
        <w:t xml:space="preserve"> </w:t>
      </w:r>
      <w:r w:rsidR="00E72547" w:rsidRPr="00BF51BB">
        <w:rPr>
          <w:rFonts w:ascii="Arial" w:eastAsiaTheme="minorHAnsi" w:hAnsi="Arial" w:cs="Arial"/>
          <w:sz w:val="22"/>
          <w:szCs w:val="22"/>
        </w:rPr>
        <w:t>mil.</w:t>
      </w:r>
      <w:r w:rsidR="00D945EA" w:rsidRPr="00BF51BB">
        <w:rPr>
          <w:rFonts w:ascii="Arial" w:eastAsiaTheme="minorHAnsi" w:hAnsi="Arial" w:cs="Arial"/>
          <w:sz w:val="22"/>
          <w:szCs w:val="22"/>
        </w:rPr>
        <w:t xml:space="preserve"> </w:t>
      </w:r>
      <w:r w:rsidR="00E72547" w:rsidRPr="00BF51BB">
        <w:rPr>
          <w:rFonts w:ascii="Arial" w:eastAsiaTheme="minorHAnsi" w:hAnsi="Arial" w:cs="Arial"/>
          <w:sz w:val="22"/>
          <w:szCs w:val="22"/>
        </w:rPr>
        <w:t>USD</w:t>
      </w:r>
      <w:r w:rsidR="00D666B6" w:rsidRPr="00BF51BB">
        <w:rPr>
          <w:rFonts w:ascii="Arial" w:eastAsiaTheme="minorHAnsi" w:hAnsi="Arial" w:cs="Arial"/>
          <w:sz w:val="22"/>
          <w:szCs w:val="22"/>
        </w:rPr>
        <w:t xml:space="preserve"> ili </w:t>
      </w:r>
      <w:r w:rsidR="008B47E3" w:rsidRPr="00BF51BB">
        <w:rPr>
          <w:rFonts w:ascii="Arial" w:eastAsiaTheme="minorHAnsi" w:hAnsi="Arial" w:cs="Arial"/>
          <w:sz w:val="22"/>
          <w:szCs w:val="22"/>
        </w:rPr>
        <w:t>1</w:t>
      </w:r>
      <w:r w:rsidR="00762FBB" w:rsidRPr="00BF51BB">
        <w:rPr>
          <w:rFonts w:ascii="Arial" w:eastAsiaTheme="minorHAnsi" w:hAnsi="Arial" w:cs="Arial"/>
          <w:sz w:val="22"/>
          <w:szCs w:val="22"/>
        </w:rPr>
        <w:t>2,25</w:t>
      </w:r>
      <w:r w:rsidR="009E320A" w:rsidRPr="00BF51BB">
        <w:rPr>
          <w:rFonts w:ascii="Arial" w:eastAsiaTheme="minorHAnsi" w:hAnsi="Arial" w:cs="Arial"/>
          <w:sz w:val="22"/>
          <w:szCs w:val="22"/>
        </w:rPr>
        <w:t>%</w:t>
      </w:r>
      <w:r w:rsidR="00D666B6" w:rsidRPr="00BF51BB">
        <w:rPr>
          <w:rFonts w:ascii="Arial" w:eastAsiaTheme="minorHAnsi" w:hAnsi="Arial" w:cs="Arial"/>
          <w:sz w:val="22"/>
          <w:szCs w:val="22"/>
        </w:rPr>
        <w:t xml:space="preserve"> ukupnog duga</w:t>
      </w:r>
      <w:r w:rsidR="000F2CF5" w:rsidRPr="00BF51BB">
        <w:rPr>
          <w:rFonts w:ascii="Arial" w:eastAsiaTheme="minorHAnsi" w:hAnsi="Arial" w:cs="Arial"/>
          <w:sz w:val="22"/>
          <w:szCs w:val="22"/>
        </w:rPr>
        <w:t>).</w:t>
      </w:r>
    </w:p>
    <w:p w14:paraId="4E40C02F" w14:textId="649272B3" w:rsidR="00ED768D" w:rsidRPr="00BF51BB" w:rsidRDefault="00ED768D" w:rsidP="00ED768D">
      <w:pPr>
        <w:pStyle w:val="ParagraphNumbering"/>
        <w:numPr>
          <w:ilvl w:val="0"/>
          <w:numId w:val="0"/>
        </w:numPr>
        <w:autoSpaceDE w:val="0"/>
        <w:spacing w:after="0" w:line="240" w:lineRule="auto"/>
        <w:jc w:val="both"/>
        <w:rPr>
          <w:rFonts w:ascii="Arial" w:eastAsiaTheme="minorHAnsi" w:hAnsi="Arial" w:cs="Arial"/>
          <w:sz w:val="22"/>
        </w:rPr>
      </w:pPr>
      <w:r w:rsidRPr="00BF51BB">
        <w:rPr>
          <w:rFonts w:ascii="Arial" w:eastAsiaTheme="minorHAnsi" w:hAnsi="Arial" w:cs="Arial"/>
          <w:sz w:val="22"/>
        </w:rPr>
        <w:lastRenderedPageBreak/>
        <w:t xml:space="preserve">Tabela </w:t>
      </w:r>
      <w:r w:rsidR="001A7F1E" w:rsidRPr="00BF51BB">
        <w:rPr>
          <w:rFonts w:ascii="Arial" w:eastAsiaTheme="minorHAnsi" w:hAnsi="Arial" w:cs="Arial"/>
          <w:sz w:val="22"/>
        </w:rPr>
        <w:t>2</w:t>
      </w:r>
      <w:r w:rsidRPr="00BF51BB">
        <w:rPr>
          <w:rFonts w:ascii="Arial" w:eastAsiaTheme="minorHAnsi" w:hAnsi="Arial" w:cs="Arial"/>
          <w:sz w:val="22"/>
        </w:rPr>
        <w:t xml:space="preserve">. Ukupan dug </w:t>
      </w:r>
      <w:r w:rsidR="005901E5" w:rsidRPr="00BF51BB">
        <w:rPr>
          <w:rFonts w:ascii="Arial" w:eastAsiaTheme="minorHAnsi" w:hAnsi="Arial" w:cs="Arial"/>
          <w:sz w:val="22"/>
        </w:rPr>
        <w:t xml:space="preserve">obuhvaćen Strategijom </w:t>
      </w:r>
      <w:r w:rsidR="00881774" w:rsidRPr="00BF51BB">
        <w:rPr>
          <w:rFonts w:ascii="Arial" w:eastAsiaTheme="minorHAnsi" w:hAnsi="Arial" w:cs="Arial"/>
          <w:sz w:val="22"/>
        </w:rPr>
        <w:t>na dan 31.12.</w:t>
      </w:r>
      <w:r w:rsidR="003027C2" w:rsidRPr="00BF51BB">
        <w:rPr>
          <w:rFonts w:ascii="Arial" w:eastAsiaTheme="minorHAnsi" w:hAnsi="Arial" w:cs="Arial"/>
          <w:sz w:val="22"/>
        </w:rPr>
        <w:t>2021</w:t>
      </w:r>
      <w:r w:rsidRPr="00BF51BB">
        <w:rPr>
          <w:rFonts w:ascii="Arial" w:eastAsiaTheme="minorHAnsi" w:hAnsi="Arial" w:cs="Arial"/>
          <w:sz w:val="22"/>
        </w:rPr>
        <w:t>. godine</w:t>
      </w:r>
    </w:p>
    <w:p w14:paraId="4412EDB6" w14:textId="77777777" w:rsidR="00A70846" w:rsidRPr="00BF51BB" w:rsidRDefault="00A70846" w:rsidP="00ED768D">
      <w:pPr>
        <w:pStyle w:val="ParagraphNumbering"/>
        <w:numPr>
          <w:ilvl w:val="0"/>
          <w:numId w:val="0"/>
        </w:numPr>
        <w:autoSpaceDE w:val="0"/>
        <w:spacing w:after="0" w:line="240" w:lineRule="auto"/>
        <w:jc w:val="both"/>
        <w:rPr>
          <w:rFonts w:ascii="Arial" w:eastAsiaTheme="minorHAnsi" w:hAnsi="Arial" w:cs="Arial"/>
          <w:sz w:val="22"/>
        </w:rPr>
      </w:pPr>
    </w:p>
    <w:tbl>
      <w:tblPr>
        <w:tblW w:w="5000" w:type="pct"/>
        <w:tblLook w:val="04A0" w:firstRow="1" w:lastRow="0" w:firstColumn="1" w:lastColumn="0" w:noHBand="0" w:noVBand="1"/>
      </w:tblPr>
      <w:tblGrid>
        <w:gridCol w:w="2954"/>
        <w:gridCol w:w="2066"/>
        <w:gridCol w:w="2228"/>
        <w:gridCol w:w="2065"/>
      </w:tblGrid>
      <w:tr w:rsidR="00A70846" w:rsidRPr="00BF51BB" w14:paraId="441AC000" w14:textId="77777777" w:rsidTr="00BF51BB">
        <w:trPr>
          <w:trHeight w:val="345"/>
        </w:trPr>
        <w:tc>
          <w:tcPr>
            <w:tcW w:w="1284" w:type="pct"/>
            <w:tcBorders>
              <w:top w:val="single" w:sz="8" w:space="0" w:color="4F81BD"/>
              <w:left w:val="single" w:sz="8" w:space="0" w:color="4F81BD"/>
              <w:bottom w:val="single" w:sz="8" w:space="0" w:color="4F81BD"/>
              <w:right w:val="nil"/>
            </w:tcBorders>
            <w:shd w:val="clear" w:color="auto" w:fill="auto"/>
            <w:noWrap/>
            <w:vAlign w:val="center"/>
            <w:hideMark/>
          </w:tcPr>
          <w:p w14:paraId="59C220A4"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Opis</w:t>
            </w:r>
          </w:p>
        </w:tc>
        <w:tc>
          <w:tcPr>
            <w:tcW w:w="1210" w:type="pct"/>
            <w:tcBorders>
              <w:top w:val="single" w:sz="8" w:space="0" w:color="4F81BD"/>
              <w:left w:val="nil"/>
              <w:bottom w:val="single" w:sz="8" w:space="0" w:color="4F81BD"/>
              <w:right w:val="nil"/>
            </w:tcBorders>
            <w:shd w:val="clear" w:color="auto" w:fill="auto"/>
            <w:noWrap/>
            <w:vAlign w:val="center"/>
            <w:hideMark/>
          </w:tcPr>
          <w:p w14:paraId="076B0AF3"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Vanjski dug</w:t>
            </w:r>
          </w:p>
        </w:tc>
        <w:tc>
          <w:tcPr>
            <w:tcW w:w="1297" w:type="pct"/>
            <w:tcBorders>
              <w:top w:val="single" w:sz="8" w:space="0" w:color="4F81BD"/>
              <w:left w:val="nil"/>
              <w:bottom w:val="single" w:sz="8" w:space="0" w:color="4F81BD"/>
              <w:right w:val="nil"/>
            </w:tcBorders>
            <w:shd w:val="clear" w:color="auto" w:fill="auto"/>
            <w:noWrap/>
            <w:vAlign w:val="center"/>
            <w:hideMark/>
          </w:tcPr>
          <w:p w14:paraId="308FB7D0"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Unutrašnji dug</w:t>
            </w:r>
          </w:p>
        </w:tc>
        <w:tc>
          <w:tcPr>
            <w:tcW w:w="1210" w:type="pct"/>
            <w:tcBorders>
              <w:top w:val="single" w:sz="8" w:space="0" w:color="4F81BD"/>
              <w:left w:val="nil"/>
              <w:bottom w:val="single" w:sz="8" w:space="0" w:color="4F81BD"/>
              <w:right w:val="single" w:sz="8" w:space="0" w:color="4F81BD"/>
            </w:tcBorders>
            <w:shd w:val="clear" w:color="auto" w:fill="auto"/>
            <w:noWrap/>
            <w:vAlign w:val="center"/>
            <w:hideMark/>
          </w:tcPr>
          <w:p w14:paraId="148B6E7F"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Ukupni dug</w:t>
            </w:r>
          </w:p>
        </w:tc>
      </w:tr>
      <w:tr w:rsidR="00A70846" w:rsidRPr="00BF51BB" w14:paraId="66E9DD63" w14:textId="77777777" w:rsidTr="00BF51BB">
        <w:trPr>
          <w:trHeight w:val="330"/>
        </w:trPr>
        <w:tc>
          <w:tcPr>
            <w:tcW w:w="1284" w:type="pct"/>
            <w:tcBorders>
              <w:top w:val="nil"/>
              <w:left w:val="single" w:sz="8" w:space="0" w:color="4F81BD"/>
              <w:bottom w:val="nil"/>
              <w:right w:val="nil"/>
            </w:tcBorders>
            <w:shd w:val="clear" w:color="auto" w:fill="auto"/>
            <w:noWrap/>
            <w:vAlign w:val="center"/>
            <w:hideMark/>
          </w:tcPr>
          <w:p w14:paraId="51448CE0" w14:textId="77777777" w:rsidR="00A70846" w:rsidRPr="00BF51BB" w:rsidRDefault="00A70846" w:rsidP="00A70846">
            <w:pPr>
              <w:spacing w:after="0" w:line="240" w:lineRule="auto"/>
              <w:rPr>
                <w:rFonts w:ascii="Arial Narrow" w:eastAsia="Times New Roman" w:hAnsi="Arial Narrow" w:cs="Calibri"/>
              </w:rPr>
            </w:pPr>
            <w:r w:rsidRPr="00BF51BB">
              <w:rPr>
                <w:rFonts w:ascii="Arial Narrow" w:eastAsia="Times New Roman" w:hAnsi="Arial Narrow" w:cs="Calibri"/>
              </w:rPr>
              <w:t xml:space="preserve">Iznos (u mil. KM) </w:t>
            </w:r>
          </w:p>
        </w:tc>
        <w:tc>
          <w:tcPr>
            <w:tcW w:w="1210" w:type="pct"/>
            <w:tcBorders>
              <w:top w:val="nil"/>
              <w:left w:val="nil"/>
              <w:bottom w:val="nil"/>
              <w:right w:val="nil"/>
            </w:tcBorders>
            <w:shd w:val="clear" w:color="auto" w:fill="auto"/>
            <w:noWrap/>
            <w:vAlign w:val="center"/>
            <w:hideMark/>
          </w:tcPr>
          <w:p w14:paraId="4DDD5526" w14:textId="7360D78A" w:rsidR="00A70846" w:rsidRPr="00BF51BB" w:rsidRDefault="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5.402,0</w:t>
            </w:r>
            <w:r w:rsidR="009C19C2" w:rsidRPr="00BF51BB">
              <w:rPr>
                <w:rFonts w:ascii="Arial Narrow" w:eastAsia="Times New Roman" w:hAnsi="Arial Narrow" w:cs="Calibri"/>
              </w:rPr>
              <w:t>1</w:t>
            </w:r>
          </w:p>
        </w:tc>
        <w:tc>
          <w:tcPr>
            <w:tcW w:w="1297" w:type="pct"/>
            <w:tcBorders>
              <w:top w:val="nil"/>
              <w:left w:val="nil"/>
              <w:bottom w:val="nil"/>
              <w:right w:val="nil"/>
            </w:tcBorders>
            <w:shd w:val="clear" w:color="auto" w:fill="auto"/>
            <w:noWrap/>
            <w:vAlign w:val="center"/>
            <w:hideMark/>
          </w:tcPr>
          <w:p w14:paraId="3F188299" w14:textId="1957A234" w:rsidR="00A70846" w:rsidRPr="00BF51BB" w:rsidRDefault="00A70846">
            <w:pPr>
              <w:spacing w:after="0" w:line="240" w:lineRule="auto"/>
              <w:jc w:val="center"/>
              <w:rPr>
                <w:rFonts w:ascii="Arial Narrow" w:eastAsia="Times New Roman" w:hAnsi="Arial Narrow" w:cs="Calibri"/>
              </w:rPr>
            </w:pPr>
            <w:r w:rsidRPr="00BF51BB">
              <w:rPr>
                <w:rFonts w:ascii="Arial Narrow" w:eastAsia="Times New Roman" w:hAnsi="Arial Narrow" w:cs="Arial"/>
              </w:rPr>
              <w:t>754,27</w:t>
            </w:r>
          </w:p>
        </w:tc>
        <w:tc>
          <w:tcPr>
            <w:tcW w:w="1210" w:type="pct"/>
            <w:tcBorders>
              <w:top w:val="nil"/>
              <w:left w:val="nil"/>
              <w:bottom w:val="nil"/>
              <w:right w:val="single" w:sz="8" w:space="0" w:color="4F81BD"/>
            </w:tcBorders>
            <w:shd w:val="clear" w:color="auto" w:fill="auto"/>
            <w:noWrap/>
            <w:vAlign w:val="center"/>
            <w:hideMark/>
          </w:tcPr>
          <w:p w14:paraId="2A5701B9"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6.156,28</w:t>
            </w:r>
          </w:p>
        </w:tc>
      </w:tr>
      <w:tr w:rsidR="00A70846" w:rsidRPr="00BF51BB" w14:paraId="38EBCC48" w14:textId="77777777" w:rsidTr="00BF51BB">
        <w:trPr>
          <w:trHeight w:val="330"/>
        </w:trPr>
        <w:tc>
          <w:tcPr>
            <w:tcW w:w="1284" w:type="pct"/>
            <w:tcBorders>
              <w:top w:val="nil"/>
              <w:left w:val="single" w:sz="8" w:space="0" w:color="4F81BD"/>
              <w:bottom w:val="nil"/>
              <w:right w:val="nil"/>
            </w:tcBorders>
            <w:shd w:val="clear" w:color="auto" w:fill="auto"/>
            <w:noWrap/>
            <w:vAlign w:val="center"/>
            <w:hideMark/>
          </w:tcPr>
          <w:p w14:paraId="34DF0E3C" w14:textId="77777777" w:rsidR="00A70846" w:rsidRPr="00BF51BB" w:rsidRDefault="00A70846" w:rsidP="00A70846">
            <w:pPr>
              <w:spacing w:after="0" w:line="240" w:lineRule="auto"/>
              <w:rPr>
                <w:rFonts w:ascii="Arial Narrow" w:eastAsia="Times New Roman" w:hAnsi="Arial Narrow" w:cs="Calibri"/>
              </w:rPr>
            </w:pPr>
            <w:r w:rsidRPr="00BF51BB">
              <w:rPr>
                <w:rFonts w:ascii="Arial Narrow" w:eastAsia="Times New Roman" w:hAnsi="Arial Narrow" w:cs="Calibri"/>
              </w:rPr>
              <w:t xml:space="preserve">Iznos (u mil. USD) </w:t>
            </w:r>
          </w:p>
        </w:tc>
        <w:tc>
          <w:tcPr>
            <w:tcW w:w="1210" w:type="pct"/>
            <w:tcBorders>
              <w:top w:val="nil"/>
              <w:left w:val="nil"/>
              <w:bottom w:val="nil"/>
              <w:right w:val="nil"/>
            </w:tcBorders>
            <w:shd w:val="clear" w:color="auto" w:fill="auto"/>
            <w:noWrap/>
            <w:vAlign w:val="center"/>
            <w:hideMark/>
          </w:tcPr>
          <w:p w14:paraId="6C31E385"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3.130,45</w:t>
            </w:r>
          </w:p>
        </w:tc>
        <w:tc>
          <w:tcPr>
            <w:tcW w:w="1297" w:type="pct"/>
            <w:tcBorders>
              <w:top w:val="nil"/>
              <w:left w:val="nil"/>
              <w:bottom w:val="nil"/>
              <w:right w:val="nil"/>
            </w:tcBorders>
            <w:shd w:val="clear" w:color="auto" w:fill="auto"/>
            <w:noWrap/>
            <w:vAlign w:val="center"/>
            <w:hideMark/>
          </w:tcPr>
          <w:p w14:paraId="50F24958"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437,1</w:t>
            </w:r>
          </w:p>
        </w:tc>
        <w:tc>
          <w:tcPr>
            <w:tcW w:w="1210" w:type="pct"/>
            <w:tcBorders>
              <w:top w:val="nil"/>
              <w:left w:val="nil"/>
              <w:bottom w:val="nil"/>
              <w:right w:val="single" w:sz="8" w:space="0" w:color="4F81BD"/>
            </w:tcBorders>
            <w:shd w:val="clear" w:color="auto" w:fill="auto"/>
            <w:noWrap/>
            <w:vAlign w:val="center"/>
            <w:hideMark/>
          </w:tcPr>
          <w:p w14:paraId="79F4A1B0"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3.567,55</w:t>
            </w:r>
          </w:p>
        </w:tc>
      </w:tr>
      <w:tr w:rsidR="00A70846" w:rsidRPr="00BF51BB" w14:paraId="23F9DFFF" w14:textId="77777777" w:rsidTr="00BF51BB">
        <w:trPr>
          <w:trHeight w:val="345"/>
        </w:trPr>
        <w:tc>
          <w:tcPr>
            <w:tcW w:w="1284" w:type="pct"/>
            <w:tcBorders>
              <w:top w:val="nil"/>
              <w:left w:val="single" w:sz="8" w:space="0" w:color="4F81BD"/>
              <w:bottom w:val="single" w:sz="8" w:space="0" w:color="4F81BD"/>
              <w:right w:val="nil"/>
            </w:tcBorders>
            <w:shd w:val="clear" w:color="auto" w:fill="auto"/>
            <w:noWrap/>
            <w:vAlign w:val="center"/>
            <w:hideMark/>
          </w:tcPr>
          <w:p w14:paraId="4908BCFF" w14:textId="77777777" w:rsidR="00A70846" w:rsidRPr="00BF51BB" w:rsidRDefault="00A70846" w:rsidP="00A70846">
            <w:pPr>
              <w:spacing w:after="0" w:line="240" w:lineRule="auto"/>
              <w:rPr>
                <w:rFonts w:ascii="Arial Narrow" w:eastAsia="Times New Roman" w:hAnsi="Arial Narrow" w:cs="Calibri"/>
              </w:rPr>
            </w:pPr>
            <w:r w:rsidRPr="00BF51BB">
              <w:rPr>
                <w:rFonts w:ascii="Arial Narrow" w:eastAsia="Times New Roman" w:hAnsi="Arial Narrow" w:cs="Calibri"/>
              </w:rPr>
              <w:t>Nominalni dug kao % BDP-a FBiH</w:t>
            </w:r>
          </w:p>
        </w:tc>
        <w:tc>
          <w:tcPr>
            <w:tcW w:w="1210" w:type="pct"/>
            <w:tcBorders>
              <w:top w:val="nil"/>
              <w:left w:val="nil"/>
              <w:bottom w:val="single" w:sz="8" w:space="0" w:color="4F81BD"/>
              <w:right w:val="nil"/>
            </w:tcBorders>
            <w:shd w:val="clear" w:color="auto" w:fill="auto"/>
            <w:noWrap/>
            <w:vAlign w:val="center"/>
            <w:hideMark/>
          </w:tcPr>
          <w:p w14:paraId="6F47707B"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23,53%</w:t>
            </w:r>
          </w:p>
        </w:tc>
        <w:tc>
          <w:tcPr>
            <w:tcW w:w="1297" w:type="pct"/>
            <w:tcBorders>
              <w:top w:val="nil"/>
              <w:left w:val="nil"/>
              <w:bottom w:val="single" w:sz="8" w:space="0" w:color="4F81BD"/>
              <w:right w:val="nil"/>
            </w:tcBorders>
            <w:shd w:val="clear" w:color="auto" w:fill="auto"/>
            <w:noWrap/>
            <w:vAlign w:val="center"/>
            <w:hideMark/>
          </w:tcPr>
          <w:p w14:paraId="22B30377"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3,29%</w:t>
            </w:r>
          </w:p>
        </w:tc>
        <w:tc>
          <w:tcPr>
            <w:tcW w:w="1210" w:type="pct"/>
            <w:tcBorders>
              <w:top w:val="nil"/>
              <w:left w:val="nil"/>
              <w:bottom w:val="single" w:sz="8" w:space="0" w:color="4F81BD"/>
              <w:right w:val="single" w:sz="8" w:space="0" w:color="4F81BD"/>
            </w:tcBorders>
            <w:shd w:val="clear" w:color="auto" w:fill="auto"/>
            <w:noWrap/>
            <w:vAlign w:val="center"/>
            <w:hideMark/>
          </w:tcPr>
          <w:p w14:paraId="4898AB8B" w14:textId="77777777" w:rsidR="00A70846" w:rsidRPr="00BF51BB" w:rsidRDefault="00A70846" w:rsidP="00A70846">
            <w:pPr>
              <w:spacing w:after="0" w:line="240" w:lineRule="auto"/>
              <w:jc w:val="center"/>
              <w:rPr>
                <w:rFonts w:ascii="Arial Narrow" w:eastAsia="Times New Roman" w:hAnsi="Arial Narrow" w:cs="Calibri"/>
              </w:rPr>
            </w:pPr>
            <w:r w:rsidRPr="00BF51BB">
              <w:rPr>
                <w:rFonts w:ascii="Arial Narrow" w:eastAsia="Times New Roman" w:hAnsi="Arial Narrow" w:cs="Calibri"/>
              </w:rPr>
              <w:t>26,82%</w:t>
            </w:r>
          </w:p>
        </w:tc>
      </w:tr>
    </w:tbl>
    <w:p w14:paraId="2519A6DD" w14:textId="77777777" w:rsidR="000B344E" w:rsidRPr="00BF51BB" w:rsidRDefault="000B344E" w:rsidP="00ED768D">
      <w:pPr>
        <w:pStyle w:val="ParagraphNumbering"/>
        <w:numPr>
          <w:ilvl w:val="0"/>
          <w:numId w:val="0"/>
        </w:numPr>
        <w:autoSpaceDE w:val="0"/>
        <w:spacing w:after="0" w:line="240" w:lineRule="auto"/>
        <w:jc w:val="both"/>
        <w:rPr>
          <w:rFonts w:ascii="Arial" w:eastAsiaTheme="minorHAnsi" w:hAnsi="Arial" w:cs="Arial"/>
        </w:rPr>
      </w:pPr>
    </w:p>
    <w:p w14:paraId="274D6459" w14:textId="37F21688" w:rsidR="00B8613F" w:rsidRPr="00BF51BB" w:rsidRDefault="00B8613F" w:rsidP="000B344E">
      <w:pPr>
        <w:spacing w:after="0"/>
        <w:rPr>
          <w:sz w:val="20"/>
        </w:rPr>
      </w:pPr>
    </w:p>
    <w:p w14:paraId="6E78FBC9" w14:textId="0355A582" w:rsidR="008A373E" w:rsidRPr="00BF51BB" w:rsidRDefault="00ED768D" w:rsidP="00330FB6">
      <w:pPr>
        <w:pStyle w:val="Heading2"/>
        <w:numPr>
          <w:ilvl w:val="1"/>
          <w:numId w:val="10"/>
        </w:numPr>
        <w:spacing w:before="0" w:line="240" w:lineRule="auto"/>
        <w:rPr>
          <w:rFonts w:ascii="Arial" w:hAnsi="Arial" w:cs="Arial"/>
          <w:b w:val="0"/>
          <w:color w:val="auto"/>
        </w:rPr>
      </w:pPr>
      <w:bookmarkStart w:id="8" w:name="_Toc101781029"/>
      <w:r w:rsidRPr="00BF51BB">
        <w:rPr>
          <w:rFonts w:ascii="Arial" w:hAnsi="Arial" w:cs="Arial"/>
          <w:b w:val="0"/>
          <w:color w:val="auto"/>
          <w:sz w:val="22"/>
        </w:rPr>
        <w:t>Struktura vanjskog duga F</w:t>
      </w:r>
      <w:r w:rsidR="00B664C6" w:rsidRPr="00BF51BB">
        <w:rPr>
          <w:rFonts w:ascii="Arial" w:hAnsi="Arial" w:cs="Arial"/>
          <w:b w:val="0"/>
          <w:color w:val="auto"/>
          <w:sz w:val="22"/>
        </w:rPr>
        <w:t xml:space="preserve">ederacije </w:t>
      </w:r>
      <w:r w:rsidRPr="00BF51BB">
        <w:rPr>
          <w:rFonts w:ascii="Arial" w:hAnsi="Arial" w:cs="Arial"/>
          <w:b w:val="0"/>
          <w:color w:val="auto"/>
          <w:sz w:val="22"/>
        </w:rPr>
        <w:t>BiH</w:t>
      </w:r>
      <w:r w:rsidR="008B5A0B" w:rsidRPr="00BF51BB">
        <w:rPr>
          <w:rFonts w:ascii="Arial" w:hAnsi="Arial" w:cs="Arial"/>
          <w:b w:val="0"/>
          <w:color w:val="auto"/>
          <w:sz w:val="22"/>
        </w:rPr>
        <w:t xml:space="preserve"> na dan 31.12.</w:t>
      </w:r>
      <w:r w:rsidR="003027C2" w:rsidRPr="00BF51BB">
        <w:rPr>
          <w:rFonts w:ascii="Arial" w:hAnsi="Arial" w:cs="Arial"/>
          <w:b w:val="0"/>
          <w:color w:val="auto"/>
          <w:sz w:val="22"/>
        </w:rPr>
        <w:t>2021</w:t>
      </w:r>
      <w:r w:rsidR="001343FD" w:rsidRPr="00BF51BB">
        <w:rPr>
          <w:rFonts w:ascii="Arial" w:hAnsi="Arial" w:cs="Arial"/>
          <w:b w:val="0"/>
          <w:color w:val="auto"/>
          <w:sz w:val="22"/>
        </w:rPr>
        <w:t>. godine</w:t>
      </w:r>
      <w:bookmarkEnd w:id="8"/>
    </w:p>
    <w:p w14:paraId="32604BAD" w14:textId="77777777" w:rsidR="008A373E" w:rsidRPr="00BF51BB" w:rsidRDefault="008A373E" w:rsidP="00330FB6">
      <w:pPr>
        <w:spacing w:after="0" w:line="240" w:lineRule="auto"/>
        <w:rPr>
          <w:sz w:val="18"/>
        </w:rPr>
      </w:pPr>
    </w:p>
    <w:p w14:paraId="3343F6DA" w14:textId="2F582B83" w:rsidR="005F375B" w:rsidRPr="00BF51BB" w:rsidRDefault="00292C76" w:rsidP="00881774">
      <w:pPr>
        <w:pStyle w:val="Heading3"/>
        <w:numPr>
          <w:ilvl w:val="2"/>
          <w:numId w:val="10"/>
        </w:numPr>
        <w:spacing w:before="0"/>
        <w:rPr>
          <w:rFonts w:ascii="Arial" w:hAnsi="Arial" w:cs="Arial"/>
          <w:b w:val="0"/>
        </w:rPr>
      </w:pPr>
      <w:bookmarkStart w:id="9" w:name="_Toc100754192"/>
      <w:bookmarkStart w:id="10" w:name="_Toc100754636"/>
      <w:bookmarkStart w:id="11" w:name="_Toc100755028"/>
      <w:bookmarkStart w:id="12" w:name="_Toc100818759"/>
      <w:bookmarkStart w:id="13" w:name="_Toc100820465"/>
      <w:bookmarkStart w:id="14" w:name="_Toc100822753"/>
      <w:bookmarkStart w:id="15" w:name="_Toc100823292"/>
      <w:bookmarkStart w:id="16" w:name="_Toc100823735"/>
      <w:bookmarkStart w:id="17" w:name="_Toc101781030"/>
      <w:bookmarkEnd w:id="9"/>
      <w:bookmarkEnd w:id="10"/>
      <w:bookmarkEnd w:id="11"/>
      <w:bookmarkEnd w:id="12"/>
      <w:bookmarkEnd w:id="13"/>
      <w:bookmarkEnd w:id="14"/>
      <w:bookmarkEnd w:id="15"/>
      <w:bookmarkEnd w:id="16"/>
      <w:r w:rsidRPr="00BF51BB">
        <w:rPr>
          <w:rFonts w:ascii="Arial" w:hAnsi="Arial" w:cs="Arial"/>
          <w:b w:val="0"/>
          <w:color w:val="auto"/>
        </w:rPr>
        <w:t>Strukt</w:t>
      </w:r>
      <w:r w:rsidR="005F375B" w:rsidRPr="00BF51BB">
        <w:rPr>
          <w:rFonts w:ascii="Arial" w:hAnsi="Arial" w:cs="Arial"/>
          <w:b w:val="0"/>
          <w:color w:val="auto"/>
        </w:rPr>
        <w:t xml:space="preserve">ura vanjskog duga </w:t>
      </w:r>
      <w:r w:rsidR="001343FD" w:rsidRPr="00BF51BB">
        <w:rPr>
          <w:rFonts w:ascii="Arial" w:hAnsi="Arial" w:cs="Arial"/>
          <w:b w:val="0"/>
          <w:color w:val="auto"/>
        </w:rPr>
        <w:t>F</w:t>
      </w:r>
      <w:r w:rsidR="00AF4632" w:rsidRPr="00BF51BB">
        <w:rPr>
          <w:rFonts w:ascii="Arial" w:hAnsi="Arial" w:cs="Arial"/>
          <w:b w:val="0"/>
          <w:color w:val="auto"/>
        </w:rPr>
        <w:t xml:space="preserve">ederacije </w:t>
      </w:r>
      <w:r w:rsidR="001343FD" w:rsidRPr="00BF51BB">
        <w:rPr>
          <w:rFonts w:ascii="Arial" w:hAnsi="Arial" w:cs="Arial"/>
          <w:b w:val="0"/>
          <w:color w:val="auto"/>
        </w:rPr>
        <w:t xml:space="preserve">BiH </w:t>
      </w:r>
      <w:r w:rsidR="005F375B" w:rsidRPr="00BF51BB">
        <w:rPr>
          <w:rFonts w:ascii="Arial" w:hAnsi="Arial" w:cs="Arial"/>
          <w:b w:val="0"/>
          <w:color w:val="auto"/>
        </w:rPr>
        <w:t>po kreditorima</w:t>
      </w:r>
      <w:bookmarkEnd w:id="17"/>
      <w:r w:rsidR="005F375B" w:rsidRPr="00BF51BB">
        <w:rPr>
          <w:rFonts w:ascii="Arial" w:hAnsi="Arial" w:cs="Arial"/>
          <w:b w:val="0"/>
          <w:color w:val="auto"/>
        </w:rPr>
        <w:t xml:space="preserve"> </w:t>
      </w:r>
    </w:p>
    <w:p w14:paraId="5161DC37" w14:textId="2BB2BF19" w:rsidR="005F375B" w:rsidRPr="00BF51BB" w:rsidRDefault="005F375B" w:rsidP="00881774">
      <w:pPr>
        <w:pStyle w:val="ListParagraph"/>
        <w:spacing w:after="0"/>
        <w:ind w:left="1288"/>
        <w:jc w:val="both"/>
        <w:rPr>
          <w:rFonts w:ascii="Arial" w:hAnsi="Arial" w:cs="Arial"/>
          <w:sz w:val="20"/>
        </w:rPr>
      </w:pPr>
    </w:p>
    <w:p w14:paraId="324A0DB6" w14:textId="0782BEDE" w:rsidR="00BF3CBB" w:rsidRPr="00BF51BB" w:rsidRDefault="002979DB" w:rsidP="00881774">
      <w:pPr>
        <w:spacing w:after="0"/>
        <w:ind w:firstLine="284"/>
        <w:jc w:val="both"/>
        <w:rPr>
          <w:rFonts w:ascii="Arial" w:hAnsi="Arial" w:cs="Arial"/>
        </w:rPr>
      </w:pPr>
      <w:r w:rsidRPr="00BF51BB">
        <w:rPr>
          <w:rFonts w:ascii="Arial" w:hAnsi="Arial" w:cs="Arial"/>
        </w:rPr>
        <w:t>V</w:t>
      </w:r>
      <w:r w:rsidR="00BF3CBB" w:rsidRPr="00BF51BB">
        <w:rPr>
          <w:rFonts w:ascii="Arial" w:hAnsi="Arial" w:cs="Arial"/>
        </w:rPr>
        <w:t>anjski dug je</w:t>
      </w:r>
      <w:r w:rsidRPr="00BF51BB">
        <w:rPr>
          <w:rFonts w:ascii="Arial" w:hAnsi="Arial" w:cs="Arial"/>
        </w:rPr>
        <w:t>,</w:t>
      </w:r>
      <w:r w:rsidR="00837CF8" w:rsidRPr="00BF51BB">
        <w:rPr>
          <w:rFonts w:ascii="Arial" w:hAnsi="Arial" w:cs="Arial"/>
        </w:rPr>
        <w:t xml:space="preserve"> </w:t>
      </w:r>
      <w:r w:rsidR="004476F9" w:rsidRPr="00BF51BB">
        <w:rPr>
          <w:rFonts w:ascii="Arial" w:hAnsi="Arial" w:cs="Arial"/>
        </w:rPr>
        <w:t>zbog povoljnijih kreditnih uslova i koncesionalnih kamatnih stopa, najvećim dijelom</w:t>
      </w:r>
      <w:r w:rsidRPr="00BF51BB">
        <w:rPr>
          <w:rFonts w:ascii="Arial" w:hAnsi="Arial" w:cs="Arial"/>
        </w:rPr>
        <w:t xml:space="preserve"> </w:t>
      </w:r>
      <w:r w:rsidR="00BF3CBB" w:rsidRPr="00BF51BB">
        <w:rPr>
          <w:rFonts w:ascii="Arial" w:hAnsi="Arial" w:cs="Arial"/>
        </w:rPr>
        <w:t xml:space="preserve">ugovoren sa međunarodnim finansijskim institucijama </w:t>
      </w:r>
      <w:r w:rsidRPr="00BF51BB">
        <w:rPr>
          <w:rFonts w:ascii="Arial" w:hAnsi="Arial" w:cs="Arial"/>
        </w:rPr>
        <w:t xml:space="preserve">i </w:t>
      </w:r>
      <w:r w:rsidR="00BF3CBB" w:rsidRPr="00BF51BB">
        <w:rPr>
          <w:rFonts w:ascii="Arial" w:hAnsi="Arial" w:cs="Arial"/>
        </w:rPr>
        <w:t>bilateralnim kreditorima</w:t>
      </w:r>
      <w:r w:rsidRPr="00BF51BB">
        <w:rPr>
          <w:rFonts w:ascii="Arial" w:hAnsi="Arial" w:cs="Arial"/>
        </w:rPr>
        <w:t>.</w:t>
      </w:r>
    </w:p>
    <w:p w14:paraId="5DFCCFE3" w14:textId="77777777" w:rsidR="00813B46" w:rsidRPr="00BF51BB" w:rsidRDefault="00813B46" w:rsidP="00881774">
      <w:pPr>
        <w:spacing w:after="0"/>
        <w:ind w:firstLine="284"/>
        <w:jc w:val="both"/>
        <w:rPr>
          <w:rFonts w:ascii="Arial" w:hAnsi="Arial" w:cs="Arial"/>
        </w:rPr>
      </w:pPr>
    </w:p>
    <w:p w14:paraId="46C03053" w14:textId="7C6E37A1" w:rsidR="005A20CB" w:rsidRPr="00BF51BB" w:rsidRDefault="005A20CB" w:rsidP="00881774">
      <w:pPr>
        <w:spacing w:after="0"/>
        <w:jc w:val="both"/>
        <w:rPr>
          <w:rFonts w:ascii="Arial" w:eastAsia="Times New Roman" w:hAnsi="Arial" w:cs="Arial"/>
          <w:iCs/>
          <w:color w:val="000000"/>
          <w:szCs w:val="24"/>
          <w:lang w:eastAsia="bs-Latn-BA"/>
        </w:rPr>
      </w:pPr>
      <w:r w:rsidRPr="00BF51BB">
        <w:rPr>
          <w:rFonts w:ascii="Arial" w:eastAsia="Times New Roman" w:hAnsi="Arial" w:cs="Arial"/>
          <w:iCs/>
          <w:color w:val="000000"/>
          <w:szCs w:val="24"/>
          <w:lang w:eastAsia="bs-Latn-BA"/>
        </w:rPr>
        <w:t>Tabela 3. Pregled vanjskog duga F</w:t>
      </w:r>
      <w:r w:rsidR="00AF4632" w:rsidRPr="00BF51BB">
        <w:rPr>
          <w:rFonts w:ascii="Arial" w:eastAsia="Times New Roman" w:hAnsi="Arial" w:cs="Arial"/>
          <w:iCs/>
          <w:color w:val="000000"/>
          <w:szCs w:val="24"/>
          <w:lang w:eastAsia="bs-Latn-BA"/>
        </w:rPr>
        <w:t xml:space="preserve">ederacije </w:t>
      </w:r>
      <w:r w:rsidRPr="00BF51BB">
        <w:rPr>
          <w:rFonts w:ascii="Arial" w:eastAsia="Times New Roman" w:hAnsi="Arial" w:cs="Arial"/>
          <w:iCs/>
          <w:color w:val="000000"/>
          <w:szCs w:val="24"/>
          <w:lang w:eastAsia="bs-Latn-BA"/>
        </w:rPr>
        <w:t>BiH po kreditorima</w:t>
      </w:r>
    </w:p>
    <w:p w14:paraId="68688581" w14:textId="495D577D" w:rsidR="00667EFF" w:rsidRPr="00BF51BB" w:rsidRDefault="00667EFF" w:rsidP="00881774">
      <w:pPr>
        <w:spacing w:after="0"/>
        <w:jc w:val="both"/>
        <w:rPr>
          <w:rFonts w:ascii="Arial" w:hAnsi="Arial" w:cs="Arial"/>
        </w:rPr>
      </w:pPr>
    </w:p>
    <w:tbl>
      <w:tblPr>
        <w:tblpPr w:leftFromText="180" w:rightFromText="180" w:vertAnchor="text" w:tblpXSpec="center" w:tblpY="1"/>
        <w:tblOverlap w:val="never"/>
        <w:tblW w:w="0" w:type="auto"/>
        <w:tblLook w:val="04A0" w:firstRow="1" w:lastRow="0" w:firstColumn="1" w:lastColumn="0" w:noHBand="0" w:noVBand="1"/>
      </w:tblPr>
      <w:tblGrid>
        <w:gridCol w:w="2523"/>
        <w:gridCol w:w="1370"/>
        <w:gridCol w:w="1370"/>
      </w:tblGrid>
      <w:tr w:rsidR="003027C2" w:rsidRPr="00BF51BB" w14:paraId="70919EEE" w14:textId="77777777" w:rsidTr="00BF51BB">
        <w:trPr>
          <w:trHeight w:val="312"/>
        </w:trPr>
        <w:tc>
          <w:tcPr>
            <w:tcW w:w="0" w:type="auto"/>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61BDA8A1" w14:textId="2946EB19" w:rsidR="003027C2" w:rsidRPr="00BF51BB" w:rsidRDefault="003027C2" w:rsidP="00AB2E53">
            <w:pPr>
              <w:spacing w:after="0" w:line="240" w:lineRule="auto"/>
              <w:jc w:val="center"/>
              <w:rPr>
                <w:rFonts w:ascii="Arial Narrow" w:eastAsia="Times New Roman" w:hAnsi="Arial Narrow" w:cs="Times New Roman"/>
                <w:i/>
                <w:iCs/>
                <w:color w:val="000000"/>
                <w:lang w:eastAsia="bs-Latn-BA"/>
              </w:rPr>
            </w:pPr>
            <w:r w:rsidRPr="00BF51BB">
              <w:rPr>
                <w:rFonts w:ascii="Arial Narrow" w:hAnsi="Arial Narrow"/>
              </w:rPr>
              <w:t>Kreditor</w:t>
            </w:r>
          </w:p>
        </w:tc>
        <w:tc>
          <w:tcPr>
            <w:tcW w:w="0" w:type="auto"/>
            <w:tcBorders>
              <w:top w:val="single" w:sz="8" w:space="0" w:color="95B3D7"/>
              <w:left w:val="nil"/>
              <w:bottom w:val="single" w:sz="8" w:space="0" w:color="95B3D7"/>
              <w:right w:val="single" w:sz="8" w:space="0" w:color="95B3D7"/>
            </w:tcBorders>
            <w:shd w:val="clear" w:color="auto" w:fill="auto"/>
            <w:noWrap/>
            <w:vAlign w:val="center"/>
            <w:hideMark/>
          </w:tcPr>
          <w:p w14:paraId="43FB198E" w14:textId="20B5D3F5" w:rsidR="003027C2" w:rsidRPr="00BF51BB" w:rsidRDefault="003027C2" w:rsidP="00AB2E53">
            <w:pPr>
              <w:spacing w:after="0" w:line="240" w:lineRule="auto"/>
              <w:jc w:val="center"/>
              <w:rPr>
                <w:rFonts w:ascii="Arial Narrow" w:eastAsia="Times New Roman" w:hAnsi="Arial Narrow" w:cs="Times New Roman"/>
                <w:i/>
                <w:iCs/>
                <w:color w:val="000000"/>
                <w:lang w:eastAsia="bs-Latn-BA"/>
              </w:rPr>
            </w:pPr>
            <w:r w:rsidRPr="00BF51BB">
              <w:rPr>
                <w:rFonts w:ascii="Arial Narrow" w:hAnsi="Arial Narrow"/>
              </w:rPr>
              <w:t>u USD</w:t>
            </w:r>
          </w:p>
        </w:tc>
        <w:tc>
          <w:tcPr>
            <w:tcW w:w="0" w:type="auto"/>
            <w:tcBorders>
              <w:top w:val="single" w:sz="8" w:space="0" w:color="95B3D7"/>
              <w:left w:val="nil"/>
              <w:bottom w:val="single" w:sz="8" w:space="0" w:color="95B3D7"/>
              <w:right w:val="single" w:sz="8" w:space="0" w:color="95B3D7"/>
            </w:tcBorders>
            <w:shd w:val="clear" w:color="auto" w:fill="auto"/>
            <w:noWrap/>
            <w:vAlign w:val="center"/>
            <w:hideMark/>
          </w:tcPr>
          <w:p w14:paraId="13103A19" w14:textId="7A91287B" w:rsidR="003027C2" w:rsidRPr="00BF51BB" w:rsidRDefault="003027C2" w:rsidP="00AB2E53">
            <w:pPr>
              <w:spacing w:after="0" w:line="240" w:lineRule="auto"/>
              <w:jc w:val="center"/>
              <w:rPr>
                <w:rFonts w:ascii="Arial Narrow" w:eastAsia="Times New Roman" w:hAnsi="Arial Narrow" w:cs="Times New Roman"/>
                <w:i/>
                <w:iCs/>
                <w:color w:val="000000"/>
                <w:lang w:eastAsia="bs-Latn-BA"/>
              </w:rPr>
            </w:pPr>
            <w:r w:rsidRPr="00BF51BB">
              <w:rPr>
                <w:rFonts w:ascii="Arial Narrow" w:hAnsi="Arial Narrow"/>
              </w:rPr>
              <w:t>u KM</w:t>
            </w:r>
          </w:p>
        </w:tc>
      </w:tr>
      <w:tr w:rsidR="003027C2" w:rsidRPr="00BF51BB" w14:paraId="4E8C0643" w14:textId="77777777" w:rsidTr="00BF51BB">
        <w:trPr>
          <w:trHeight w:val="312"/>
        </w:trPr>
        <w:tc>
          <w:tcPr>
            <w:tcW w:w="0" w:type="auto"/>
            <w:tcBorders>
              <w:top w:val="nil"/>
              <w:left w:val="single" w:sz="8" w:space="0" w:color="95B3D7"/>
              <w:bottom w:val="single" w:sz="8" w:space="0" w:color="95B3D7"/>
              <w:right w:val="single" w:sz="8" w:space="0" w:color="95B3D7"/>
            </w:tcBorders>
            <w:shd w:val="clear" w:color="auto" w:fill="DBE5F1" w:themeFill="accent1" w:themeFillTint="33"/>
            <w:noWrap/>
            <w:hideMark/>
          </w:tcPr>
          <w:p w14:paraId="1D8B061A" w14:textId="2DCAE5A7" w:rsidR="003027C2" w:rsidRPr="00BF51BB" w:rsidRDefault="003027C2" w:rsidP="00AB2E53">
            <w:pPr>
              <w:spacing w:after="0" w:line="240" w:lineRule="auto"/>
              <w:rPr>
                <w:rFonts w:ascii="Arial Narrow" w:eastAsia="Times New Roman" w:hAnsi="Arial Narrow" w:cs="Times New Roman"/>
                <w:i/>
                <w:iCs/>
                <w:color w:val="000000"/>
                <w:lang w:eastAsia="bs-Latn-BA"/>
              </w:rPr>
            </w:pPr>
            <w:r w:rsidRPr="00BF51BB">
              <w:rPr>
                <w:rFonts w:ascii="Arial Narrow" w:hAnsi="Arial Narrow"/>
              </w:rPr>
              <w:t>Svjetska banka  (WB IDA)</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7975CDD0" w14:textId="5BD911F5"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564.923.897</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37659182" w14:textId="3192B920"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974.850.189</w:t>
            </w:r>
          </w:p>
        </w:tc>
      </w:tr>
      <w:tr w:rsidR="003027C2" w:rsidRPr="00BF51BB" w14:paraId="6B48D21C" w14:textId="77777777" w:rsidTr="00BF51BB">
        <w:trPr>
          <w:trHeight w:val="312"/>
        </w:trPr>
        <w:tc>
          <w:tcPr>
            <w:tcW w:w="0" w:type="auto"/>
            <w:tcBorders>
              <w:top w:val="nil"/>
              <w:left w:val="single" w:sz="8" w:space="0" w:color="95B3D7"/>
              <w:bottom w:val="single" w:sz="8" w:space="0" w:color="95B3D7"/>
              <w:right w:val="single" w:sz="8" w:space="0" w:color="95B3D7"/>
            </w:tcBorders>
            <w:shd w:val="clear" w:color="auto" w:fill="auto"/>
            <w:noWrap/>
            <w:hideMark/>
          </w:tcPr>
          <w:p w14:paraId="6CD9109A" w14:textId="512CE1A1" w:rsidR="003027C2" w:rsidRPr="00BF51BB" w:rsidRDefault="003027C2" w:rsidP="0016093C">
            <w:pPr>
              <w:spacing w:after="0" w:line="240" w:lineRule="auto"/>
              <w:rPr>
                <w:rFonts w:ascii="Arial Narrow" w:eastAsia="Times New Roman" w:hAnsi="Arial Narrow" w:cs="Times New Roman"/>
                <w:i/>
                <w:iCs/>
                <w:color w:val="000000"/>
                <w:lang w:eastAsia="bs-Latn-BA"/>
              </w:rPr>
            </w:pPr>
            <w:r w:rsidRPr="00BF51BB">
              <w:rPr>
                <w:rFonts w:ascii="Arial Narrow" w:hAnsi="Arial Narrow"/>
              </w:rPr>
              <w:t>E</w:t>
            </w:r>
            <w:r w:rsidR="0016093C">
              <w:rPr>
                <w:rFonts w:ascii="Arial Narrow" w:hAnsi="Arial Narrow"/>
              </w:rPr>
              <w:t>v</w:t>
            </w:r>
            <w:r w:rsidRPr="00BF51BB">
              <w:rPr>
                <w:rFonts w:ascii="Arial Narrow" w:hAnsi="Arial Narrow"/>
              </w:rPr>
              <w:t xml:space="preserve">ropska </w:t>
            </w:r>
            <w:r w:rsidR="0016093C">
              <w:rPr>
                <w:rFonts w:ascii="Arial Narrow" w:hAnsi="Arial Narrow"/>
              </w:rPr>
              <w:t>i</w:t>
            </w:r>
            <w:r w:rsidRPr="00BF51BB">
              <w:rPr>
                <w:rFonts w:ascii="Arial Narrow" w:hAnsi="Arial Narrow"/>
              </w:rPr>
              <w:t>nvesticijska banka</w:t>
            </w:r>
          </w:p>
        </w:tc>
        <w:tc>
          <w:tcPr>
            <w:tcW w:w="0" w:type="auto"/>
            <w:tcBorders>
              <w:top w:val="nil"/>
              <w:left w:val="nil"/>
              <w:bottom w:val="single" w:sz="8" w:space="0" w:color="95B3D7"/>
              <w:right w:val="single" w:sz="8" w:space="0" w:color="95B3D7"/>
            </w:tcBorders>
            <w:shd w:val="clear" w:color="auto" w:fill="auto"/>
            <w:noWrap/>
            <w:hideMark/>
          </w:tcPr>
          <w:p w14:paraId="5E5EE319" w14:textId="5108045B"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619.964.324</w:t>
            </w:r>
          </w:p>
        </w:tc>
        <w:tc>
          <w:tcPr>
            <w:tcW w:w="0" w:type="auto"/>
            <w:tcBorders>
              <w:top w:val="nil"/>
              <w:left w:val="nil"/>
              <w:bottom w:val="single" w:sz="8" w:space="0" w:color="95B3D7"/>
              <w:right w:val="single" w:sz="8" w:space="0" w:color="95B3D7"/>
            </w:tcBorders>
            <w:shd w:val="clear" w:color="auto" w:fill="auto"/>
            <w:noWrap/>
            <w:hideMark/>
          </w:tcPr>
          <w:p w14:paraId="793B195C" w14:textId="3B9BF40C"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1.069.829.657</w:t>
            </w:r>
          </w:p>
        </w:tc>
      </w:tr>
      <w:tr w:rsidR="003027C2" w:rsidRPr="00BF51BB" w14:paraId="47BE5A97" w14:textId="77777777" w:rsidTr="00BF51BB">
        <w:trPr>
          <w:trHeight w:val="312"/>
        </w:trPr>
        <w:tc>
          <w:tcPr>
            <w:tcW w:w="0" w:type="auto"/>
            <w:tcBorders>
              <w:top w:val="nil"/>
              <w:left w:val="single" w:sz="8" w:space="0" w:color="95B3D7"/>
              <w:bottom w:val="single" w:sz="8" w:space="0" w:color="95B3D7"/>
              <w:right w:val="single" w:sz="8" w:space="0" w:color="95B3D7"/>
            </w:tcBorders>
            <w:shd w:val="clear" w:color="auto" w:fill="DBE5F1" w:themeFill="accent1" w:themeFillTint="33"/>
            <w:noWrap/>
            <w:hideMark/>
          </w:tcPr>
          <w:p w14:paraId="63B16764" w14:textId="68EE33CB" w:rsidR="003027C2" w:rsidRPr="00BF51BB" w:rsidRDefault="003027C2" w:rsidP="00AB2E53">
            <w:pPr>
              <w:spacing w:after="0" w:line="240" w:lineRule="auto"/>
              <w:rPr>
                <w:rFonts w:ascii="Arial Narrow" w:eastAsia="Times New Roman" w:hAnsi="Arial Narrow" w:cs="Times New Roman"/>
                <w:i/>
                <w:iCs/>
                <w:color w:val="000000"/>
                <w:lang w:eastAsia="bs-Latn-BA"/>
              </w:rPr>
            </w:pPr>
            <w:r w:rsidRPr="00BF51BB">
              <w:rPr>
                <w:rFonts w:ascii="Arial Narrow" w:hAnsi="Arial Narrow"/>
              </w:rPr>
              <w:t>Međunarodni monetarni fond</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27D864D6" w14:textId="1545DEDF"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337.458.973</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33A122BC" w14:textId="3483C89C"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582.329.665</w:t>
            </w:r>
          </w:p>
        </w:tc>
      </w:tr>
      <w:tr w:rsidR="003027C2" w:rsidRPr="00BF51BB" w14:paraId="3ED37ED6" w14:textId="77777777" w:rsidTr="00BF51BB">
        <w:trPr>
          <w:trHeight w:val="312"/>
        </w:trPr>
        <w:tc>
          <w:tcPr>
            <w:tcW w:w="0" w:type="auto"/>
            <w:tcBorders>
              <w:top w:val="nil"/>
              <w:left w:val="single" w:sz="8" w:space="0" w:color="95B3D7"/>
              <w:bottom w:val="single" w:sz="8" w:space="0" w:color="95B3D7"/>
              <w:right w:val="single" w:sz="8" w:space="0" w:color="95B3D7"/>
            </w:tcBorders>
            <w:shd w:val="clear" w:color="auto" w:fill="auto"/>
            <w:noWrap/>
            <w:hideMark/>
          </w:tcPr>
          <w:p w14:paraId="6CA639F4" w14:textId="3EB3D9F8" w:rsidR="003027C2" w:rsidRPr="00BF51BB" w:rsidRDefault="003027C2" w:rsidP="00AB2E53">
            <w:pPr>
              <w:spacing w:after="0" w:line="240" w:lineRule="auto"/>
              <w:rPr>
                <w:rFonts w:ascii="Arial Narrow" w:eastAsia="Times New Roman" w:hAnsi="Arial Narrow" w:cs="Times New Roman"/>
                <w:i/>
                <w:iCs/>
                <w:color w:val="000000"/>
                <w:lang w:eastAsia="bs-Latn-BA"/>
              </w:rPr>
            </w:pPr>
            <w:r w:rsidRPr="00BF51BB">
              <w:rPr>
                <w:rFonts w:ascii="Arial Narrow" w:hAnsi="Arial Narrow"/>
              </w:rPr>
              <w:t>EBRD</w:t>
            </w:r>
          </w:p>
        </w:tc>
        <w:tc>
          <w:tcPr>
            <w:tcW w:w="0" w:type="auto"/>
            <w:tcBorders>
              <w:top w:val="nil"/>
              <w:left w:val="nil"/>
              <w:bottom w:val="single" w:sz="8" w:space="0" w:color="95B3D7"/>
              <w:right w:val="single" w:sz="8" w:space="0" w:color="95B3D7"/>
            </w:tcBorders>
            <w:shd w:val="clear" w:color="auto" w:fill="auto"/>
            <w:noWrap/>
            <w:hideMark/>
          </w:tcPr>
          <w:p w14:paraId="400A4372" w14:textId="14BDDC02"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354.611.397</w:t>
            </w:r>
          </w:p>
        </w:tc>
        <w:tc>
          <w:tcPr>
            <w:tcW w:w="0" w:type="auto"/>
            <w:tcBorders>
              <w:top w:val="nil"/>
              <w:left w:val="nil"/>
              <w:bottom w:val="single" w:sz="8" w:space="0" w:color="95B3D7"/>
              <w:right w:val="single" w:sz="8" w:space="0" w:color="95B3D7"/>
            </w:tcBorders>
            <w:shd w:val="clear" w:color="auto" w:fill="auto"/>
            <w:noWrap/>
            <w:hideMark/>
          </w:tcPr>
          <w:p w14:paraId="64CA455A" w14:textId="52ADF531"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611.928.420</w:t>
            </w:r>
          </w:p>
        </w:tc>
      </w:tr>
      <w:tr w:rsidR="003027C2" w:rsidRPr="00BF51BB" w14:paraId="1499984E" w14:textId="77777777" w:rsidTr="00BF51BB">
        <w:trPr>
          <w:trHeight w:val="312"/>
        </w:trPr>
        <w:tc>
          <w:tcPr>
            <w:tcW w:w="0" w:type="auto"/>
            <w:tcBorders>
              <w:top w:val="nil"/>
              <w:left w:val="single" w:sz="8" w:space="0" w:color="95B3D7"/>
              <w:bottom w:val="single" w:sz="8" w:space="0" w:color="95B3D7"/>
              <w:right w:val="single" w:sz="8" w:space="0" w:color="95B3D7"/>
            </w:tcBorders>
            <w:shd w:val="clear" w:color="auto" w:fill="DBE5F1" w:themeFill="accent1" w:themeFillTint="33"/>
            <w:noWrap/>
            <w:hideMark/>
          </w:tcPr>
          <w:p w14:paraId="52B5BC38" w14:textId="76A4490A" w:rsidR="003027C2" w:rsidRPr="00BF51BB" w:rsidRDefault="003027C2" w:rsidP="00AB2E53">
            <w:pPr>
              <w:spacing w:after="0" w:line="240" w:lineRule="auto"/>
              <w:rPr>
                <w:rFonts w:ascii="Arial Narrow" w:eastAsia="Times New Roman" w:hAnsi="Arial Narrow" w:cs="Times New Roman"/>
                <w:i/>
                <w:iCs/>
                <w:color w:val="000000"/>
                <w:lang w:eastAsia="bs-Latn-BA"/>
              </w:rPr>
            </w:pPr>
            <w:r w:rsidRPr="00BF51BB">
              <w:rPr>
                <w:rFonts w:ascii="Arial Narrow" w:hAnsi="Arial Narrow"/>
              </w:rPr>
              <w:t>Pariški klub</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2102A070" w14:textId="17930896"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195.521.969</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7CD1B855" w14:textId="7EBD1105"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337.398.771</w:t>
            </w:r>
          </w:p>
        </w:tc>
      </w:tr>
      <w:tr w:rsidR="003027C2" w:rsidRPr="00BF51BB" w14:paraId="056F451E" w14:textId="77777777" w:rsidTr="00BF51BB">
        <w:trPr>
          <w:trHeight w:val="312"/>
        </w:trPr>
        <w:tc>
          <w:tcPr>
            <w:tcW w:w="0" w:type="auto"/>
            <w:tcBorders>
              <w:top w:val="nil"/>
              <w:left w:val="single" w:sz="8" w:space="0" w:color="95B3D7"/>
              <w:bottom w:val="single" w:sz="8" w:space="0" w:color="95B3D7"/>
              <w:right w:val="single" w:sz="8" w:space="0" w:color="95B3D7"/>
            </w:tcBorders>
            <w:shd w:val="clear" w:color="auto" w:fill="auto"/>
            <w:noWrap/>
            <w:hideMark/>
          </w:tcPr>
          <w:p w14:paraId="6374B2E3" w14:textId="3642E54D" w:rsidR="003027C2" w:rsidRPr="00BF51BB" w:rsidRDefault="003027C2" w:rsidP="00AB2E53">
            <w:pPr>
              <w:spacing w:after="0" w:line="240" w:lineRule="auto"/>
              <w:rPr>
                <w:rFonts w:ascii="Arial Narrow" w:eastAsia="Times New Roman" w:hAnsi="Arial Narrow" w:cs="Times New Roman"/>
                <w:i/>
                <w:iCs/>
                <w:color w:val="000000"/>
                <w:lang w:eastAsia="bs-Latn-BA"/>
              </w:rPr>
            </w:pPr>
            <w:r w:rsidRPr="00BF51BB">
              <w:rPr>
                <w:rFonts w:ascii="Arial Narrow" w:hAnsi="Arial Narrow"/>
              </w:rPr>
              <w:t>Svjetska banka  (WB IBRD)</w:t>
            </w:r>
          </w:p>
        </w:tc>
        <w:tc>
          <w:tcPr>
            <w:tcW w:w="0" w:type="auto"/>
            <w:tcBorders>
              <w:top w:val="nil"/>
              <w:left w:val="nil"/>
              <w:bottom w:val="single" w:sz="8" w:space="0" w:color="95B3D7"/>
              <w:right w:val="single" w:sz="8" w:space="0" w:color="95B3D7"/>
            </w:tcBorders>
            <w:shd w:val="clear" w:color="auto" w:fill="auto"/>
            <w:noWrap/>
            <w:hideMark/>
          </w:tcPr>
          <w:p w14:paraId="0EFFA468" w14:textId="3F6397CF"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390.854.459</w:t>
            </w:r>
          </w:p>
        </w:tc>
        <w:tc>
          <w:tcPr>
            <w:tcW w:w="0" w:type="auto"/>
            <w:tcBorders>
              <w:top w:val="nil"/>
              <w:left w:val="nil"/>
              <w:bottom w:val="single" w:sz="8" w:space="0" w:color="95B3D7"/>
              <w:right w:val="single" w:sz="8" w:space="0" w:color="95B3D7"/>
            </w:tcBorders>
            <w:shd w:val="clear" w:color="auto" w:fill="auto"/>
            <w:noWrap/>
            <w:hideMark/>
          </w:tcPr>
          <w:p w14:paraId="0052D984" w14:textId="6AC3BC0F"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674.470.570</w:t>
            </w:r>
          </w:p>
        </w:tc>
      </w:tr>
      <w:tr w:rsidR="003027C2" w:rsidRPr="00BF51BB" w14:paraId="2F0107E5" w14:textId="77777777" w:rsidTr="00BF51BB">
        <w:trPr>
          <w:trHeight w:val="312"/>
        </w:trPr>
        <w:tc>
          <w:tcPr>
            <w:tcW w:w="0" w:type="auto"/>
            <w:tcBorders>
              <w:top w:val="nil"/>
              <w:left w:val="single" w:sz="8" w:space="0" w:color="95B3D7"/>
              <w:bottom w:val="single" w:sz="8" w:space="0" w:color="95B3D7"/>
              <w:right w:val="single" w:sz="8" w:space="0" w:color="95B3D7"/>
            </w:tcBorders>
            <w:shd w:val="clear" w:color="auto" w:fill="DBE5F1" w:themeFill="accent1" w:themeFillTint="33"/>
            <w:noWrap/>
            <w:hideMark/>
          </w:tcPr>
          <w:p w14:paraId="42A4BD4F" w14:textId="4839EF37" w:rsidR="003027C2" w:rsidRPr="00BF51BB" w:rsidRDefault="003027C2" w:rsidP="0016093C">
            <w:pPr>
              <w:spacing w:after="0" w:line="240" w:lineRule="auto"/>
              <w:rPr>
                <w:rFonts w:ascii="Arial Narrow" w:hAnsi="Arial Narrow"/>
              </w:rPr>
            </w:pPr>
            <w:r w:rsidRPr="00BF51BB">
              <w:rPr>
                <w:rFonts w:ascii="Arial Narrow" w:hAnsi="Arial Narrow"/>
              </w:rPr>
              <w:t>E</w:t>
            </w:r>
            <w:r w:rsidR="0016093C">
              <w:rPr>
                <w:rFonts w:ascii="Arial Narrow" w:hAnsi="Arial Narrow"/>
              </w:rPr>
              <w:t>v</w:t>
            </w:r>
            <w:r w:rsidRPr="00BF51BB">
              <w:rPr>
                <w:rFonts w:ascii="Arial Narrow" w:hAnsi="Arial Narrow"/>
              </w:rPr>
              <w:t xml:space="preserve">ropska </w:t>
            </w:r>
            <w:r w:rsidR="0016093C">
              <w:rPr>
                <w:rFonts w:ascii="Arial Narrow" w:hAnsi="Arial Narrow"/>
              </w:rPr>
              <w:t>k</w:t>
            </w:r>
            <w:r w:rsidRPr="00BF51BB">
              <w:rPr>
                <w:rFonts w:ascii="Arial Narrow" w:hAnsi="Arial Narrow"/>
              </w:rPr>
              <w:t>omisija</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44FF502C" w14:textId="4ABE2BC6"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134.732.913</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11B384F9" w14:textId="7CA22344"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232.499.291</w:t>
            </w:r>
          </w:p>
        </w:tc>
      </w:tr>
      <w:tr w:rsidR="003027C2" w:rsidRPr="00BF51BB" w14:paraId="4513136A" w14:textId="77777777" w:rsidTr="00BF51BB">
        <w:trPr>
          <w:trHeight w:val="312"/>
        </w:trPr>
        <w:tc>
          <w:tcPr>
            <w:tcW w:w="0" w:type="auto"/>
            <w:tcBorders>
              <w:top w:val="nil"/>
              <w:left w:val="single" w:sz="8" w:space="0" w:color="95B3D7"/>
              <w:bottom w:val="single" w:sz="8" w:space="0" w:color="95B3D7"/>
              <w:right w:val="single" w:sz="8" w:space="0" w:color="95B3D7"/>
            </w:tcBorders>
            <w:shd w:val="clear" w:color="auto" w:fill="auto"/>
            <w:noWrap/>
            <w:hideMark/>
          </w:tcPr>
          <w:p w14:paraId="5598A1F3" w14:textId="397776C6" w:rsidR="003027C2" w:rsidRPr="00BF51BB" w:rsidRDefault="003027C2" w:rsidP="0016093C">
            <w:pPr>
              <w:spacing w:after="0" w:line="240" w:lineRule="auto"/>
              <w:rPr>
                <w:rFonts w:ascii="Arial Narrow" w:eastAsia="Times New Roman" w:hAnsi="Arial Narrow" w:cs="Times New Roman"/>
                <w:i/>
                <w:iCs/>
                <w:color w:val="000000"/>
                <w:lang w:eastAsia="bs-Latn-BA"/>
              </w:rPr>
            </w:pPr>
            <w:r w:rsidRPr="00BF51BB">
              <w:rPr>
                <w:rFonts w:ascii="Arial Narrow" w:hAnsi="Arial Narrow"/>
              </w:rPr>
              <w:t>Vlada Kraljevine Špan</w:t>
            </w:r>
            <w:r w:rsidR="0016093C">
              <w:rPr>
                <w:rFonts w:ascii="Arial Narrow" w:hAnsi="Arial Narrow"/>
              </w:rPr>
              <w:t>ije</w:t>
            </w:r>
          </w:p>
        </w:tc>
        <w:tc>
          <w:tcPr>
            <w:tcW w:w="0" w:type="auto"/>
            <w:tcBorders>
              <w:top w:val="nil"/>
              <w:left w:val="nil"/>
              <w:bottom w:val="single" w:sz="8" w:space="0" w:color="95B3D7"/>
              <w:right w:val="single" w:sz="8" w:space="0" w:color="95B3D7"/>
            </w:tcBorders>
            <w:shd w:val="clear" w:color="auto" w:fill="auto"/>
            <w:noWrap/>
            <w:hideMark/>
          </w:tcPr>
          <w:p w14:paraId="5B89C53C" w14:textId="10C396E4"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36.737.546</w:t>
            </w:r>
          </w:p>
        </w:tc>
        <w:tc>
          <w:tcPr>
            <w:tcW w:w="0" w:type="auto"/>
            <w:tcBorders>
              <w:top w:val="nil"/>
              <w:left w:val="nil"/>
              <w:bottom w:val="single" w:sz="8" w:space="0" w:color="95B3D7"/>
              <w:right w:val="single" w:sz="8" w:space="0" w:color="95B3D7"/>
            </w:tcBorders>
            <w:shd w:val="clear" w:color="auto" w:fill="auto"/>
            <w:noWrap/>
            <w:hideMark/>
          </w:tcPr>
          <w:p w14:paraId="4F608675" w14:textId="3A805736"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63.395.448</w:t>
            </w:r>
          </w:p>
        </w:tc>
      </w:tr>
      <w:tr w:rsidR="003027C2" w:rsidRPr="00BF51BB" w14:paraId="373A8CAC" w14:textId="77777777" w:rsidTr="00BF51BB">
        <w:trPr>
          <w:trHeight w:val="312"/>
        </w:trPr>
        <w:tc>
          <w:tcPr>
            <w:tcW w:w="0" w:type="auto"/>
            <w:tcBorders>
              <w:top w:val="nil"/>
              <w:left w:val="single" w:sz="8" w:space="0" w:color="95B3D7"/>
              <w:bottom w:val="single" w:sz="8" w:space="0" w:color="95B3D7"/>
              <w:right w:val="single" w:sz="8" w:space="0" w:color="95B3D7"/>
            </w:tcBorders>
            <w:shd w:val="clear" w:color="auto" w:fill="DBE5F1" w:themeFill="accent1" w:themeFillTint="33"/>
            <w:noWrap/>
            <w:hideMark/>
          </w:tcPr>
          <w:p w14:paraId="07DCAC58" w14:textId="689E76CD" w:rsidR="003027C2" w:rsidRPr="00BF51BB" w:rsidRDefault="003027C2" w:rsidP="00AB2E53">
            <w:pPr>
              <w:spacing w:after="0" w:line="240" w:lineRule="auto"/>
              <w:rPr>
                <w:rFonts w:ascii="Arial Narrow" w:eastAsia="Times New Roman" w:hAnsi="Arial Narrow" w:cs="Times New Roman"/>
                <w:i/>
                <w:iCs/>
                <w:color w:val="000000"/>
                <w:lang w:eastAsia="bs-Latn-BA"/>
              </w:rPr>
            </w:pPr>
            <w:r w:rsidRPr="00BF51BB">
              <w:rPr>
                <w:rFonts w:ascii="Arial Narrow" w:hAnsi="Arial Narrow"/>
              </w:rPr>
              <w:t>Ostali kreditori</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37CC4F7C" w14:textId="22407B8E"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495.646.843</w:t>
            </w:r>
          </w:p>
        </w:tc>
        <w:tc>
          <w:tcPr>
            <w:tcW w:w="0" w:type="auto"/>
            <w:tcBorders>
              <w:top w:val="nil"/>
              <w:left w:val="nil"/>
              <w:bottom w:val="single" w:sz="8" w:space="0" w:color="95B3D7"/>
              <w:right w:val="single" w:sz="8" w:space="0" w:color="95B3D7"/>
            </w:tcBorders>
            <w:shd w:val="clear" w:color="auto" w:fill="DBE5F1" w:themeFill="accent1" w:themeFillTint="33"/>
            <w:noWrap/>
            <w:hideMark/>
          </w:tcPr>
          <w:p w14:paraId="341225A2" w14:textId="1ED0AB56"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855.303.557</w:t>
            </w:r>
          </w:p>
        </w:tc>
      </w:tr>
      <w:tr w:rsidR="003027C2" w:rsidRPr="00BF51BB" w14:paraId="324B197B" w14:textId="77777777" w:rsidTr="00BF51BB">
        <w:trPr>
          <w:trHeight w:val="312"/>
        </w:trPr>
        <w:tc>
          <w:tcPr>
            <w:tcW w:w="0" w:type="auto"/>
            <w:tcBorders>
              <w:top w:val="nil"/>
              <w:left w:val="single" w:sz="8" w:space="0" w:color="95B3D7"/>
              <w:bottom w:val="single" w:sz="8" w:space="0" w:color="95B3D7"/>
              <w:right w:val="single" w:sz="8" w:space="0" w:color="95B3D7"/>
            </w:tcBorders>
            <w:shd w:val="clear" w:color="auto" w:fill="auto"/>
            <w:noWrap/>
            <w:hideMark/>
          </w:tcPr>
          <w:p w14:paraId="5C336DA3" w14:textId="4649D749" w:rsidR="003027C2" w:rsidRPr="00BF51BB" w:rsidRDefault="003027C2" w:rsidP="00AB2E53">
            <w:pPr>
              <w:spacing w:after="0" w:line="240" w:lineRule="auto"/>
              <w:rPr>
                <w:rFonts w:ascii="Arial Narrow" w:eastAsia="Times New Roman" w:hAnsi="Arial Narrow" w:cs="Times New Roman"/>
                <w:i/>
                <w:iCs/>
                <w:color w:val="000000"/>
                <w:lang w:eastAsia="bs-Latn-BA"/>
              </w:rPr>
            </w:pPr>
            <w:r w:rsidRPr="00BF51BB">
              <w:rPr>
                <w:rFonts w:ascii="Arial Narrow" w:hAnsi="Arial Narrow"/>
              </w:rPr>
              <w:t>Ukupno</w:t>
            </w:r>
          </w:p>
        </w:tc>
        <w:tc>
          <w:tcPr>
            <w:tcW w:w="0" w:type="auto"/>
            <w:tcBorders>
              <w:top w:val="nil"/>
              <w:left w:val="nil"/>
              <w:bottom w:val="single" w:sz="8" w:space="0" w:color="95B3D7"/>
              <w:right w:val="single" w:sz="8" w:space="0" w:color="95B3D7"/>
            </w:tcBorders>
            <w:shd w:val="clear" w:color="auto" w:fill="auto"/>
            <w:noWrap/>
            <w:hideMark/>
          </w:tcPr>
          <w:p w14:paraId="3C01E72C" w14:textId="19D4EB95"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3.130.452.321</w:t>
            </w:r>
          </w:p>
        </w:tc>
        <w:tc>
          <w:tcPr>
            <w:tcW w:w="0" w:type="auto"/>
            <w:tcBorders>
              <w:top w:val="nil"/>
              <w:left w:val="nil"/>
              <w:bottom w:val="single" w:sz="8" w:space="0" w:color="95B3D7"/>
              <w:right w:val="single" w:sz="8" w:space="0" w:color="95B3D7"/>
            </w:tcBorders>
            <w:shd w:val="clear" w:color="auto" w:fill="auto"/>
            <w:noWrap/>
            <w:hideMark/>
          </w:tcPr>
          <w:p w14:paraId="300E5E79" w14:textId="185E615D" w:rsidR="003027C2" w:rsidRPr="00BF51BB" w:rsidRDefault="003027C2" w:rsidP="00AB2E53">
            <w:pPr>
              <w:spacing w:after="0" w:line="240" w:lineRule="auto"/>
              <w:jc w:val="right"/>
              <w:rPr>
                <w:rFonts w:ascii="Arial Narrow" w:eastAsia="Times New Roman" w:hAnsi="Arial Narrow" w:cs="Times New Roman"/>
                <w:i/>
                <w:iCs/>
                <w:color w:val="000000"/>
                <w:lang w:eastAsia="bs-Latn-BA"/>
              </w:rPr>
            </w:pPr>
            <w:r w:rsidRPr="00BF51BB">
              <w:rPr>
                <w:rFonts w:ascii="Arial Narrow" w:hAnsi="Arial Narrow"/>
              </w:rPr>
              <w:t>5.402.005.569</w:t>
            </w:r>
          </w:p>
        </w:tc>
      </w:tr>
    </w:tbl>
    <w:p w14:paraId="6A1A9DC2" w14:textId="77777777" w:rsidR="006B2DC8" w:rsidRPr="00BF51BB" w:rsidRDefault="006B2DC8" w:rsidP="00ED768D">
      <w:pPr>
        <w:spacing w:after="0"/>
        <w:jc w:val="both"/>
        <w:rPr>
          <w:rFonts w:ascii="Arial" w:hAnsi="Arial" w:cs="Arial"/>
        </w:rPr>
      </w:pPr>
    </w:p>
    <w:p w14:paraId="13BC6D3F" w14:textId="05E3C8A8" w:rsidR="006B2DC8" w:rsidRDefault="006B2DC8" w:rsidP="00ED768D">
      <w:pPr>
        <w:spacing w:after="0"/>
        <w:jc w:val="both"/>
      </w:pPr>
    </w:p>
    <w:p w14:paraId="0E959493" w14:textId="00B9C12B" w:rsidR="0016093C" w:rsidRDefault="0016093C" w:rsidP="00ED768D">
      <w:pPr>
        <w:spacing w:after="0"/>
        <w:jc w:val="both"/>
      </w:pPr>
    </w:p>
    <w:p w14:paraId="71343FB2" w14:textId="2EABCE43" w:rsidR="0016093C" w:rsidRDefault="0016093C" w:rsidP="00ED768D">
      <w:pPr>
        <w:spacing w:after="0"/>
        <w:jc w:val="both"/>
      </w:pPr>
    </w:p>
    <w:p w14:paraId="1014A6C7" w14:textId="7686A79C" w:rsidR="0016093C" w:rsidRDefault="0016093C" w:rsidP="00ED768D">
      <w:pPr>
        <w:spacing w:after="0"/>
        <w:jc w:val="both"/>
      </w:pPr>
    </w:p>
    <w:p w14:paraId="26D8FE6D" w14:textId="6AE3D53A" w:rsidR="0016093C" w:rsidRDefault="0016093C" w:rsidP="00ED768D">
      <w:pPr>
        <w:spacing w:after="0"/>
        <w:jc w:val="both"/>
      </w:pPr>
    </w:p>
    <w:p w14:paraId="417800BD" w14:textId="31ABF713" w:rsidR="0016093C" w:rsidRDefault="0016093C" w:rsidP="00ED768D">
      <w:pPr>
        <w:spacing w:after="0"/>
        <w:jc w:val="both"/>
      </w:pPr>
    </w:p>
    <w:p w14:paraId="2D324FD9" w14:textId="17F1A204" w:rsidR="0016093C" w:rsidRDefault="0016093C" w:rsidP="00ED768D">
      <w:pPr>
        <w:spacing w:after="0"/>
        <w:jc w:val="both"/>
      </w:pPr>
    </w:p>
    <w:p w14:paraId="2BE14294" w14:textId="711B0B99" w:rsidR="0016093C" w:rsidRDefault="0016093C" w:rsidP="00ED768D">
      <w:pPr>
        <w:spacing w:after="0"/>
        <w:jc w:val="both"/>
      </w:pPr>
    </w:p>
    <w:p w14:paraId="3598CEE4" w14:textId="6C0E7F6A" w:rsidR="0016093C" w:rsidRDefault="0016093C" w:rsidP="00ED768D">
      <w:pPr>
        <w:spacing w:after="0"/>
        <w:jc w:val="both"/>
      </w:pPr>
    </w:p>
    <w:p w14:paraId="033AFA40" w14:textId="43B0B3CC" w:rsidR="0016093C" w:rsidRDefault="0016093C" w:rsidP="00ED768D">
      <w:pPr>
        <w:spacing w:after="0"/>
        <w:jc w:val="both"/>
      </w:pPr>
    </w:p>
    <w:p w14:paraId="6CEE61B6" w14:textId="1AD0B791" w:rsidR="0016093C" w:rsidRDefault="0016093C" w:rsidP="00ED768D">
      <w:pPr>
        <w:spacing w:after="0"/>
        <w:jc w:val="both"/>
      </w:pPr>
    </w:p>
    <w:p w14:paraId="541EEE52" w14:textId="7DAEC9C4" w:rsidR="0016093C" w:rsidRDefault="0016093C" w:rsidP="00ED768D">
      <w:pPr>
        <w:spacing w:after="0"/>
        <w:jc w:val="both"/>
      </w:pPr>
    </w:p>
    <w:p w14:paraId="53DC45EF" w14:textId="77777777" w:rsidR="0016093C" w:rsidRPr="00BF51BB" w:rsidRDefault="0016093C" w:rsidP="0016093C">
      <w:pPr>
        <w:spacing w:after="0"/>
        <w:jc w:val="both"/>
      </w:pPr>
      <w:r w:rsidRPr="00BF51BB">
        <w:rPr>
          <w:rFonts w:ascii="Arial" w:hAnsi="Arial" w:cs="Arial"/>
        </w:rPr>
        <w:t>Slika 1. Struktura vanjskog duga Federacije BiH po kreditorima   (mil. KM)</w:t>
      </w:r>
      <w:r w:rsidRPr="00BF51BB">
        <w:t xml:space="preserve"> </w:t>
      </w:r>
    </w:p>
    <w:p w14:paraId="39D02D77" w14:textId="76C67E0B" w:rsidR="0016093C" w:rsidRPr="00BF51BB" w:rsidRDefault="0016093C" w:rsidP="00ED768D">
      <w:pPr>
        <w:spacing w:after="0"/>
        <w:jc w:val="both"/>
      </w:pPr>
    </w:p>
    <w:p w14:paraId="3EB7CB4D" w14:textId="6F9849BB" w:rsidR="006B2DC8" w:rsidRPr="00BF51BB" w:rsidRDefault="006B2DC8" w:rsidP="00ED768D">
      <w:pPr>
        <w:spacing w:after="0"/>
        <w:jc w:val="both"/>
      </w:pPr>
      <w:r w:rsidRPr="00BF51BB">
        <w:rPr>
          <w:noProof/>
          <w:lang w:val="en-US"/>
        </w:rPr>
        <w:drawing>
          <wp:inline distT="0" distB="0" distL="0" distR="0" wp14:anchorId="40518AFD" wp14:editId="0F759CAC">
            <wp:extent cx="5926455" cy="2559050"/>
            <wp:effectExtent l="0" t="0" r="17145" b="12700"/>
            <wp:docPr id="192" name="Chart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A5EDBD" w14:textId="77777777" w:rsidR="00DE71C7" w:rsidRPr="00BF51BB" w:rsidRDefault="00DE71C7" w:rsidP="00ED768D">
      <w:pPr>
        <w:spacing w:after="0"/>
        <w:jc w:val="both"/>
      </w:pPr>
    </w:p>
    <w:p w14:paraId="7358A132" w14:textId="3B60A09A" w:rsidR="009A2717" w:rsidRDefault="009A2717">
      <w:pPr>
        <w:rPr>
          <w:rFonts w:ascii="Arial" w:eastAsiaTheme="majorEastAsia" w:hAnsi="Arial" w:cs="Arial"/>
          <w:bCs/>
        </w:rPr>
      </w:pPr>
      <w:bookmarkStart w:id="18" w:name="_Toc100210366"/>
      <w:bookmarkStart w:id="19" w:name="_Toc100219287"/>
      <w:bookmarkStart w:id="20" w:name="_Toc100582012"/>
      <w:bookmarkStart w:id="21" w:name="_Toc100654502"/>
      <w:bookmarkStart w:id="22" w:name="_Toc100667315"/>
      <w:bookmarkStart w:id="23" w:name="_Toc100751740"/>
      <w:bookmarkStart w:id="24" w:name="_Toc100754194"/>
      <w:bookmarkStart w:id="25" w:name="_Toc100754638"/>
      <w:bookmarkStart w:id="26" w:name="_Toc100755030"/>
      <w:bookmarkStart w:id="27" w:name="_Toc100818761"/>
      <w:bookmarkStart w:id="28" w:name="_Toc100820467"/>
      <w:bookmarkStart w:id="29" w:name="_Toc100822755"/>
      <w:bookmarkStart w:id="30" w:name="_Toc100823294"/>
      <w:bookmarkStart w:id="31" w:name="_Toc100823737"/>
      <w:bookmarkStart w:id="32" w:name="_Toc100210367"/>
      <w:bookmarkStart w:id="33" w:name="_Toc100219288"/>
      <w:bookmarkStart w:id="34" w:name="_Toc100582013"/>
      <w:bookmarkStart w:id="35" w:name="_Toc100654503"/>
      <w:bookmarkStart w:id="36" w:name="_Toc100667316"/>
      <w:bookmarkStart w:id="37" w:name="_Toc100751741"/>
      <w:bookmarkStart w:id="38" w:name="_Toc100754195"/>
      <w:bookmarkStart w:id="39" w:name="_Toc100754639"/>
      <w:bookmarkStart w:id="40" w:name="_Toc100755031"/>
      <w:bookmarkStart w:id="41" w:name="_Toc100818762"/>
      <w:bookmarkStart w:id="42" w:name="_Toc100820468"/>
      <w:bookmarkStart w:id="43" w:name="_Toc100822756"/>
      <w:bookmarkStart w:id="44" w:name="_Toc100823295"/>
      <w:bookmarkStart w:id="45" w:name="_Toc100823738"/>
      <w:bookmarkStart w:id="46" w:name="_Toc100210368"/>
      <w:bookmarkStart w:id="47" w:name="_Toc100219289"/>
      <w:bookmarkStart w:id="48" w:name="_Toc100582014"/>
      <w:bookmarkStart w:id="49" w:name="_Toc100654504"/>
      <w:bookmarkStart w:id="50" w:name="_Toc100667317"/>
      <w:bookmarkStart w:id="51" w:name="_Toc100751742"/>
      <w:bookmarkStart w:id="52" w:name="_Toc100754196"/>
      <w:bookmarkStart w:id="53" w:name="_Toc100754640"/>
      <w:bookmarkStart w:id="54" w:name="_Toc100755032"/>
      <w:bookmarkStart w:id="55" w:name="_Toc100818763"/>
      <w:bookmarkStart w:id="56" w:name="_Toc100820469"/>
      <w:bookmarkStart w:id="57" w:name="_Toc100822757"/>
      <w:bookmarkStart w:id="58" w:name="_Toc100823296"/>
      <w:bookmarkStart w:id="59" w:name="_Toc10082373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BDD4A1E" w14:textId="0E2D1A5A" w:rsidR="001A19A4" w:rsidRPr="00BF51BB" w:rsidRDefault="005F375B">
      <w:pPr>
        <w:pStyle w:val="Heading3"/>
        <w:numPr>
          <w:ilvl w:val="2"/>
          <w:numId w:val="10"/>
        </w:numPr>
        <w:spacing w:before="0" w:line="240" w:lineRule="auto"/>
        <w:rPr>
          <w:rFonts w:ascii="Arial" w:hAnsi="Arial" w:cs="Arial"/>
          <w:color w:val="auto"/>
        </w:rPr>
      </w:pPr>
      <w:bookmarkStart w:id="60" w:name="_Toc101781031"/>
      <w:r w:rsidRPr="00BF51BB">
        <w:rPr>
          <w:rFonts w:ascii="Arial" w:hAnsi="Arial" w:cs="Arial"/>
          <w:b w:val="0"/>
          <w:color w:val="auto"/>
        </w:rPr>
        <w:lastRenderedPageBreak/>
        <w:t>Valutna struktura vanjskog duga</w:t>
      </w:r>
      <w:r w:rsidR="001343FD" w:rsidRPr="00BF51BB">
        <w:rPr>
          <w:rFonts w:ascii="Arial" w:hAnsi="Arial" w:cs="Arial"/>
          <w:b w:val="0"/>
          <w:color w:val="auto"/>
        </w:rPr>
        <w:t xml:space="preserve"> </w:t>
      </w:r>
      <w:r w:rsidR="00B22862" w:rsidRPr="00BF51BB">
        <w:rPr>
          <w:rFonts w:ascii="Arial" w:hAnsi="Arial" w:cs="Arial"/>
          <w:b w:val="0"/>
          <w:color w:val="auto"/>
        </w:rPr>
        <w:t>F</w:t>
      </w:r>
      <w:r w:rsidR="00AF4632" w:rsidRPr="00BF51BB">
        <w:rPr>
          <w:rFonts w:ascii="Arial" w:hAnsi="Arial" w:cs="Arial"/>
          <w:b w:val="0"/>
          <w:color w:val="auto"/>
        </w:rPr>
        <w:t xml:space="preserve">ederacije </w:t>
      </w:r>
      <w:r w:rsidR="00B22862" w:rsidRPr="00BF51BB">
        <w:rPr>
          <w:rFonts w:ascii="Arial" w:hAnsi="Arial" w:cs="Arial"/>
          <w:b w:val="0"/>
          <w:color w:val="auto"/>
        </w:rPr>
        <w:t>BiH</w:t>
      </w:r>
      <w:bookmarkEnd w:id="60"/>
    </w:p>
    <w:p w14:paraId="35A5C9F7" w14:textId="77777777" w:rsidR="006B2DC8" w:rsidRPr="00BF51BB" w:rsidRDefault="006B2DC8" w:rsidP="00667EFF">
      <w:pPr>
        <w:pStyle w:val="ParagraphNumbering"/>
        <w:numPr>
          <w:ilvl w:val="0"/>
          <w:numId w:val="0"/>
        </w:numPr>
        <w:autoSpaceDE w:val="0"/>
        <w:spacing w:after="0" w:line="276" w:lineRule="auto"/>
        <w:ind w:firstLine="360"/>
        <w:jc w:val="both"/>
      </w:pPr>
    </w:p>
    <w:p w14:paraId="7F78581A" w14:textId="3956F930" w:rsidR="005A20CB" w:rsidRPr="00BF51BB" w:rsidRDefault="005A20CB" w:rsidP="00667EFF">
      <w:pPr>
        <w:pStyle w:val="ParagraphNumbering"/>
        <w:numPr>
          <w:ilvl w:val="0"/>
          <w:numId w:val="0"/>
        </w:numPr>
        <w:autoSpaceDE w:val="0"/>
        <w:spacing w:after="0" w:line="276" w:lineRule="auto"/>
        <w:ind w:firstLine="360"/>
        <w:jc w:val="both"/>
        <w:rPr>
          <w:rFonts w:ascii="Arial" w:hAnsi="Arial" w:cs="Arial"/>
          <w:sz w:val="22"/>
        </w:rPr>
      </w:pPr>
      <w:r w:rsidRPr="00BF51BB">
        <w:rPr>
          <w:rFonts w:ascii="Arial" w:eastAsiaTheme="minorHAnsi" w:hAnsi="Arial" w:cs="Arial"/>
          <w:sz w:val="22"/>
        </w:rPr>
        <w:t>Valutna struktura vanjskog duga F</w:t>
      </w:r>
      <w:r w:rsidR="00AF4632" w:rsidRPr="00BF51BB">
        <w:rPr>
          <w:rFonts w:ascii="Arial" w:eastAsiaTheme="minorHAnsi" w:hAnsi="Arial" w:cs="Arial"/>
          <w:sz w:val="22"/>
        </w:rPr>
        <w:t xml:space="preserve">ederacije </w:t>
      </w:r>
      <w:r w:rsidRPr="00BF51BB">
        <w:rPr>
          <w:rFonts w:ascii="Arial" w:eastAsiaTheme="minorHAnsi" w:hAnsi="Arial" w:cs="Arial"/>
          <w:sz w:val="22"/>
        </w:rPr>
        <w:t>BiH</w:t>
      </w:r>
      <w:r w:rsidR="00E91222" w:rsidRPr="00BF51BB">
        <w:rPr>
          <w:rFonts w:ascii="Arial" w:eastAsiaTheme="minorHAnsi" w:hAnsi="Arial" w:cs="Arial"/>
          <w:sz w:val="22"/>
        </w:rPr>
        <w:t xml:space="preserve"> </w:t>
      </w:r>
      <w:r w:rsidR="009A2717" w:rsidRPr="00BF51BB">
        <w:rPr>
          <w:rFonts w:ascii="Arial" w:eastAsiaTheme="minorHAnsi" w:hAnsi="Arial" w:cs="Arial"/>
          <w:sz w:val="22"/>
        </w:rPr>
        <w:t>definirana</w:t>
      </w:r>
      <w:r w:rsidR="00221B11" w:rsidRPr="00BF51BB">
        <w:rPr>
          <w:rFonts w:ascii="Arial" w:eastAsiaTheme="minorHAnsi" w:hAnsi="Arial" w:cs="Arial"/>
          <w:sz w:val="22"/>
        </w:rPr>
        <w:t xml:space="preserve"> je</w:t>
      </w:r>
      <w:r w:rsidR="00E91222" w:rsidRPr="00BF51BB">
        <w:rPr>
          <w:rFonts w:ascii="Arial" w:eastAsiaTheme="minorHAnsi" w:hAnsi="Arial" w:cs="Arial"/>
          <w:sz w:val="22"/>
        </w:rPr>
        <w:t xml:space="preserve"> </w:t>
      </w:r>
      <w:r w:rsidR="00D15D03" w:rsidRPr="00BF51BB">
        <w:rPr>
          <w:rFonts w:ascii="Arial" w:eastAsiaTheme="minorHAnsi" w:hAnsi="Arial" w:cs="Arial"/>
          <w:sz w:val="22"/>
        </w:rPr>
        <w:t>dostupnim izvorima finansiranja</w:t>
      </w:r>
      <w:r w:rsidR="00353FFA" w:rsidRPr="00BF51BB">
        <w:rPr>
          <w:rFonts w:ascii="Arial" w:eastAsiaTheme="minorHAnsi" w:hAnsi="Arial" w:cs="Arial"/>
          <w:sz w:val="22"/>
        </w:rPr>
        <w:t xml:space="preserve">. </w:t>
      </w:r>
      <w:r w:rsidR="00221B11" w:rsidRPr="00BF51BB">
        <w:rPr>
          <w:rFonts w:ascii="Arial" w:eastAsiaTheme="minorHAnsi" w:hAnsi="Arial" w:cs="Arial"/>
          <w:sz w:val="22"/>
        </w:rPr>
        <w:t>N</w:t>
      </w:r>
      <w:r w:rsidR="0076612A" w:rsidRPr="00BF51BB">
        <w:rPr>
          <w:rFonts w:ascii="Arial" w:eastAsiaTheme="minorHAnsi" w:hAnsi="Arial" w:cs="Arial"/>
          <w:sz w:val="22"/>
        </w:rPr>
        <w:t>ajzastupljenij</w:t>
      </w:r>
      <w:r w:rsidR="00667EFF" w:rsidRPr="00BF51BB">
        <w:rPr>
          <w:rFonts w:ascii="Arial" w:eastAsiaTheme="minorHAnsi" w:hAnsi="Arial" w:cs="Arial"/>
          <w:sz w:val="22"/>
        </w:rPr>
        <w:t>a</w:t>
      </w:r>
      <w:r w:rsidR="0076612A" w:rsidRPr="00BF51BB">
        <w:rPr>
          <w:rFonts w:ascii="Arial" w:eastAsiaTheme="minorHAnsi" w:hAnsi="Arial" w:cs="Arial"/>
          <w:sz w:val="22"/>
        </w:rPr>
        <w:t xml:space="preserve"> valut</w:t>
      </w:r>
      <w:r w:rsidR="00667EFF" w:rsidRPr="00BF51BB">
        <w:rPr>
          <w:rFonts w:ascii="Arial" w:eastAsiaTheme="minorHAnsi" w:hAnsi="Arial" w:cs="Arial"/>
          <w:sz w:val="22"/>
        </w:rPr>
        <w:t>a</w:t>
      </w:r>
      <w:r w:rsidR="0076612A" w:rsidRPr="00BF51BB">
        <w:rPr>
          <w:rFonts w:ascii="Arial" w:eastAsiaTheme="minorHAnsi" w:hAnsi="Arial" w:cs="Arial"/>
          <w:sz w:val="22"/>
        </w:rPr>
        <w:t xml:space="preserve"> u portfoliju duga Federacije BiH </w:t>
      </w:r>
      <w:r w:rsidR="00667EFF" w:rsidRPr="00BF51BB">
        <w:rPr>
          <w:rFonts w:ascii="Arial" w:eastAsiaTheme="minorHAnsi" w:hAnsi="Arial" w:cs="Arial"/>
          <w:sz w:val="22"/>
        </w:rPr>
        <w:t>je</w:t>
      </w:r>
      <w:r w:rsidRPr="00BF51BB">
        <w:rPr>
          <w:rFonts w:ascii="Arial" w:eastAsiaTheme="minorHAnsi" w:hAnsi="Arial" w:cs="Arial"/>
          <w:sz w:val="22"/>
        </w:rPr>
        <w:t xml:space="preserve"> </w:t>
      </w:r>
      <w:r w:rsidR="001A19A4" w:rsidRPr="00BF51BB">
        <w:rPr>
          <w:rFonts w:ascii="Arial" w:eastAsiaTheme="minorHAnsi" w:hAnsi="Arial" w:cs="Arial"/>
          <w:sz w:val="22"/>
        </w:rPr>
        <w:t xml:space="preserve">euro </w:t>
      </w:r>
      <w:r w:rsidR="00D15D03" w:rsidRPr="00BF51BB">
        <w:rPr>
          <w:rFonts w:ascii="Arial" w:eastAsiaTheme="minorHAnsi" w:hAnsi="Arial" w:cs="Arial"/>
          <w:sz w:val="22"/>
        </w:rPr>
        <w:t>(EUR</w:t>
      </w:r>
      <w:r w:rsidR="007C2311" w:rsidRPr="00BF51BB">
        <w:rPr>
          <w:rFonts w:ascii="Arial" w:eastAsiaTheme="minorHAnsi" w:hAnsi="Arial" w:cs="Arial"/>
          <w:sz w:val="22"/>
        </w:rPr>
        <w:t xml:space="preserve">), </w:t>
      </w:r>
      <w:r w:rsidR="00667EFF" w:rsidRPr="00BF51BB">
        <w:rPr>
          <w:rFonts w:ascii="Arial" w:eastAsiaTheme="minorHAnsi" w:hAnsi="Arial" w:cs="Arial"/>
          <w:sz w:val="22"/>
        </w:rPr>
        <w:t>zatim slijede</w:t>
      </w:r>
      <w:r w:rsidR="007C2311" w:rsidRPr="00BF51BB">
        <w:rPr>
          <w:rFonts w:ascii="Arial" w:eastAsiaTheme="minorHAnsi" w:hAnsi="Arial" w:cs="Arial"/>
          <w:sz w:val="22"/>
        </w:rPr>
        <w:t xml:space="preserve"> Specijalna </w:t>
      </w:r>
      <w:r w:rsidR="001A19A4" w:rsidRPr="00BF51BB">
        <w:rPr>
          <w:rFonts w:ascii="Arial" w:eastAsiaTheme="minorHAnsi" w:hAnsi="Arial" w:cs="Arial"/>
          <w:sz w:val="22"/>
        </w:rPr>
        <w:t>Prava V</w:t>
      </w:r>
      <w:r w:rsidR="007C2311" w:rsidRPr="00BF51BB">
        <w:rPr>
          <w:rFonts w:ascii="Arial" w:eastAsiaTheme="minorHAnsi" w:hAnsi="Arial" w:cs="Arial"/>
          <w:sz w:val="22"/>
        </w:rPr>
        <w:t>učenja (SDR)</w:t>
      </w:r>
      <w:r w:rsidR="000D54BA" w:rsidRPr="00BF51BB">
        <w:rPr>
          <w:rStyle w:val="FootnoteReference"/>
          <w:rFonts w:ascii="Arial" w:eastAsiaTheme="minorHAnsi" w:hAnsi="Arial" w:cs="Arial"/>
          <w:sz w:val="22"/>
        </w:rPr>
        <w:footnoteReference w:id="5"/>
      </w:r>
      <w:r w:rsidR="007C2311" w:rsidRPr="00BF51BB">
        <w:rPr>
          <w:rFonts w:ascii="Arial" w:eastAsiaTheme="minorHAnsi" w:hAnsi="Arial" w:cs="Arial"/>
          <w:sz w:val="22"/>
        </w:rPr>
        <w:t xml:space="preserve"> i američki dolar (USD)</w:t>
      </w:r>
      <w:r w:rsidR="00D15D03" w:rsidRPr="00BF51BB">
        <w:rPr>
          <w:rFonts w:ascii="Arial" w:eastAsiaTheme="minorHAnsi" w:hAnsi="Arial" w:cs="Arial"/>
          <w:sz w:val="22"/>
        </w:rPr>
        <w:t>.</w:t>
      </w:r>
      <w:r w:rsidR="004C577D" w:rsidRPr="00BF51BB">
        <w:rPr>
          <w:rFonts w:ascii="Arial" w:hAnsi="Arial" w:cs="Arial"/>
          <w:sz w:val="22"/>
        </w:rPr>
        <w:t xml:space="preserve"> </w:t>
      </w:r>
    </w:p>
    <w:p w14:paraId="3DCBD97C" w14:textId="401FEB0C" w:rsidR="00B8613F" w:rsidRPr="00BF51BB" w:rsidRDefault="00B8613F" w:rsidP="00667EFF">
      <w:pPr>
        <w:pStyle w:val="ParagraphNumbering"/>
        <w:numPr>
          <w:ilvl w:val="0"/>
          <w:numId w:val="0"/>
        </w:numPr>
        <w:autoSpaceDE w:val="0"/>
        <w:spacing w:after="0" w:line="276" w:lineRule="auto"/>
        <w:ind w:firstLine="360"/>
        <w:jc w:val="both"/>
        <w:rPr>
          <w:rFonts w:ascii="Arial" w:hAnsi="Arial" w:cs="Arial"/>
        </w:rPr>
      </w:pPr>
    </w:p>
    <w:p w14:paraId="08D5D9D1" w14:textId="6E7AEC6A" w:rsidR="005F375B" w:rsidRPr="00BF51BB" w:rsidRDefault="005F375B" w:rsidP="008A373E">
      <w:pPr>
        <w:pStyle w:val="NoSpacing"/>
        <w:spacing w:line="276" w:lineRule="auto"/>
        <w:jc w:val="both"/>
        <w:rPr>
          <w:rFonts w:ascii="Arial" w:hAnsi="Arial" w:cs="Arial"/>
          <w:szCs w:val="24"/>
          <w:lang w:val="hr-HR"/>
        </w:rPr>
      </w:pPr>
      <w:r w:rsidRPr="00BF51BB">
        <w:rPr>
          <w:rFonts w:ascii="Arial" w:hAnsi="Arial" w:cs="Arial"/>
          <w:szCs w:val="24"/>
          <w:lang w:val="hr-HR"/>
        </w:rPr>
        <w:t>Slika 2. Valutn</w:t>
      </w:r>
      <w:r w:rsidR="0029569D" w:rsidRPr="00BF51BB">
        <w:rPr>
          <w:rFonts w:ascii="Arial" w:hAnsi="Arial" w:cs="Arial"/>
          <w:szCs w:val="24"/>
          <w:lang w:val="hr-HR"/>
        </w:rPr>
        <w:t xml:space="preserve">a struktura vanjskog duga </w:t>
      </w:r>
      <w:r w:rsidR="00C235EB" w:rsidRPr="00BF51BB">
        <w:rPr>
          <w:rFonts w:ascii="Arial" w:hAnsi="Arial" w:cs="Arial"/>
          <w:szCs w:val="24"/>
          <w:lang w:val="hr-HR"/>
        </w:rPr>
        <w:t>F</w:t>
      </w:r>
      <w:r w:rsidR="00AF4632" w:rsidRPr="00BF51BB">
        <w:rPr>
          <w:rFonts w:ascii="Arial" w:hAnsi="Arial" w:cs="Arial"/>
          <w:szCs w:val="24"/>
          <w:lang w:val="hr-HR"/>
        </w:rPr>
        <w:t xml:space="preserve">ederacije </w:t>
      </w:r>
      <w:r w:rsidR="00C235EB" w:rsidRPr="00BF51BB">
        <w:rPr>
          <w:rFonts w:ascii="Arial" w:hAnsi="Arial" w:cs="Arial"/>
          <w:szCs w:val="24"/>
          <w:lang w:val="hr-HR"/>
        </w:rPr>
        <w:t>BiH</w:t>
      </w:r>
    </w:p>
    <w:p w14:paraId="047D4298" w14:textId="77777777" w:rsidR="00FB6FC8" w:rsidRPr="00BF51BB" w:rsidRDefault="00FB6FC8" w:rsidP="008A373E">
      <w:pPr>
        <w:pStyle w:val="NoSpacing"/>
        <w:spacing w:line="276" w:lineRule="auto"/>
        <w:jc w:val="both"/>
        <w:rPr>
          <w:rFonts w:ascii="Arial" w:hAnsi="Arial" w:cs="Arial"/>
          <w:sz w:val="24"/>
          <w:szCs w:val="24"/>
          <w:lang w:val="hr-HR"/>
        </w:rPr>
      </w:pPr>
    </w:p>
    <w:p w14:paraId="0F11DB3B" w14:textId="1ADC5F8F" w:rsidR="005F375B" w:rsidRPr="00BF51BB" w:rsidRDefault="003027C2" w:rsidP="005F375B">
      <w:pPr>
        <w:pStyle w:val="NoSpacing"/>
        <w:spacing w:line="276" w:lineRule="auto"/>
        <w:jc w:val="both"/>
        <w:rPr>
          <w:rFonts w:ascii="Arial" w:hAnsi="Arial" w:cs="Arial"/>
          <w:sz w:val="24"/>
          <w:szCs w:val="24"/>
          <w:lang w:val="hr-HR"/>
        </w:rPr>
      </w:pPr>
      <w:r w:rsidRPr="00BF51BB">
        <w:rPr>
          <w:noProof/>
        </w:rPr>
        <w:drawing>
          <wp:inline distT="0" distB="0" distL="0" distR="0" wp14:anchorId="0CCAAFE1" wp14:editId="5EDC47DC">
            <wp:extent cx="2882265" cy="2061071"/>
            <wp:effectExtent l="0" t="0" r="13335" b="158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32675" w:rsidRPr="00BF51BB">
        <w:rPr>
          <w:noProof/>
        </w:rPr>
        <w:drawing>
          <wp:inline distT="0" distB="0" distL="0" distR="0" wp14:anchorId="53761B1E" wp14:editId="5C255728">
            <wp:extent cx="2859438" cy="2069024"/>
            <wp:effectExtent l="0" t="0" r="17145"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A20CB" w:rsidRPr="00BF51BB">
        <w:rPr>
          <w:lang w:val="hr-HR" w:eastAsia="bs-Latn-BA"/>
        </w:rPr>
        <w:t xml:space="preserve"> </w:t>
      </w:r>
    </w:p>
    <w:p w14:paraId="3B1411AB" w14:textId="0D58D9D2" w:rsidR="004C577D" w:rsidRPr="00BF51BB" w:rsidRDefault="004C577D" w:rsidP="005F375B">
      <w:pPr>
        <w:pStyle w:val="NoSpacing"/>
        <w:spacing w:line="276" w:lineRule="auto"/>
        <w:jc w:val="both"/>
        <w:rPr>
          <w:rFonts w:ascii="Arial" w:hAnsi="Arial" w:cs="Arial"/>
          <w:sz w:val="24"/>
          <w:szCs w:val="24"/>
          <w:lang w:val="hr-HR"/>
        </w:rPr>
      </w:pPr>
    </w:p>
    <w:p w14:paraId="0BF69F8C" w14:textId="4E9ACE10" w:rsidR="004C577D" w:rsidRPr="00BF51BB" w:rsidRDefault="004C577D" w:rsidP="00667EFF">
      <w:pPr>
        <w:pStyle w:val="NoSpacing"/>
        <w:spacing w:line="276" w:lineRule="auto"/>
        <w:jc w:val="both"/>
        <w:rPr>
          <w:rFonts w:ascii="Arial" w:hAnsi="Arial" w:cs="Arial"/>
          <w:lang w:val="hr-HR"/>
        </w:rPr>
      </w:pPr>
      <w:r w:rsidRPr="00BF51BB">
        <w:rPr>
          <w:rFonts w:ascii="Arial" w:hAnsi="Arial" w:cs="Arial"/>
          <w:szCs w:val="24"/>
          <w:lang w:val="hr-HR"/>
        </w:rPr>
        <w:t>Dekompozicijom SDR-a, u</w:t>
      </w:r>
      <w:r w:rsidR="0000223F">
        <w:rPr>
          <w:rFonts w:ascii="Arial" w:hAnsi="Arial" w:cs="Arial"/>
          <w:szCs w:val="24"/>
          <w:lang w:val="hr-HR"/>
        </w:rPr>
        <w:t>češće</w:t>
      </w:r>
      <w:r w:rsidRPr="00BF51BB">
        <w:rPr>
          <w:rFonts w:ascii="Arial" w:hAnsi="Arial" w:cs="Arial"/>
          <w:szCs w:val="24"/>
          <w:lang w:val="hr-HR"/>
        </w:rPr>
        <w:t xml:space="preserve"> EUR valute raste na </w:t>
      </w:r>
      <w:r w:rsidR="000B344E" w:rsidRPr="00BF51BB">
        <w:rPr>
          <w:rFonts w:ascii="Arial" w:hAnsi="Arial" w:cs="Arial"/>
          <w:szCs w:val="24"/>
          <w:lang w:val="hr-HR"/>
        </w:rPr>
        <w:t>6</w:t>
      </w:r>
      <w:r w:rsidR="00932675" w:rsidRPr="00BF51BB">
        <w:rPr>
          <w:rFonts w:ascii="Arial" w:hAnsi="Arial" w:cs="Arial"/>
          <w:szCs w:val="24"/>
          <w:lang w:val="hr-HR"/>
        </w:rPr>
        <w:t>8,80</w:t>
      </w:r>
      <w:r w:rsidRPr="00BF51BB">
        <w:rPr>
          <w:rFonts w:ascii="Arial" w:hAnsi="Arial" w:cs="Arial"/>
          <w:szCs w:val="24"/>
          <w:lang w:val="hr-HR"/>
        </w:rPr>
        <w:t>%</w:t>
      </w:r>
      <w:r w:rsidR="002979DB" w:rsidRPr="00BF51BB">
        <w:rPr>
          <w:rFonts w:ascii="Arial" w:hAnsi="Arial" w:cs="Arial"/>
          <w:szCs w:val="24"/>
          <w:lang w:val="hr-HR"/>
        </w:rPr>
        <w:t>, a</w:t>
      </w:r>
      <w:r w:rsidRPr="00BF51BB">
        <w:rPr>
          <w:rFonts w:ascii="Arial" w:hAnsi="Arial" w:cs="Arial"/>
          <w:szCs w:val="24"/>
          <w:lang w:val="hr-HR"/>
        </w:rPr>
        <w:t xml:space="preserve"> </w:t>
      </w:r>
      <w:r w:rsidR="002979DB" w:rsidRPr="00BF51BB">
        <w:rPr>
          <w:rFonts w:ascii="Arial" w:hAnsi="Arial" w:cs="Arial"/>
          <w:szCs w:val="24"/>
          <w:lang w:val="hr-HR"/>
        </w:rPr>
        <w:t xml:space="preserve">USD na </w:t>
      </w:r>
      <w:r w:rsidR="00BE1FC6" w:rsidRPr="00BF51BB">
        <w:rPr>
          <w:rFonts w:ascii="Arial" w:hAnsi="Arial" w:cs="Arial"/>
          <w:szCs w:val="24"/>
          <w:lang w:val="hr-HR"/>
        </w:rPr>
        <w:t>2</w:t>
      </w:r>
      <w:r w:rsidR="00932675" w:rsidRPr="00BF51BB">
        <w:rPr>
          <w:rFonts w:ascii="Arial" w:hAnsi="Arial" w:cs="Arial"/>
          <w:szCs w:val="24"/>
          <w:lang w:val="hr-HR"/>
        </w:rPr>
        <w:t>3</w:t>
      </w:r>
      <w:r w:rsidR="00BE1FC6" w:rsidRPr="00BF51BB">
        <w:rPr>
          <w:rFonts w:ascii="Arial" w:hAnsi="Arial" w:cs="Arial"/>
          <w:szCs w:val="24"/>
          <w:lang w:val="hr-HR"/>
        </w:rPr>
        <w:t>,</w:t>
      </w:r>
      <w:r w:rsidR="00932675" w:rsidRPr="00BF51BB">
        <w:rPr>
          <w:rFonts w:ascii="Arial" w:hAnsi="Arial" w:cs="Arial"/>
          <w:szCs w:val="24"/>
          <w:lang w:val="hr-HR"/>
        </w:rPr>
        <w:t>17</w:t>
      </w:r>
      <w:r w:rsidR="002979DB" w:rsidRPr="00BF51BB">
        <w:rPr>
          <w:rFonts w:ascii="Arial" w:hAnsi="Arial" w:cs="Arial"/>
          <w:szCs w:val="24"/>
          <w:lang w:val="hr-HR"/>
        </w:rPr>
        <w:t>%</w:t>
      </w:r>
      <w:r w:rsidR="008C3942" w:rsidRPr="00BF51BB">
        <w:rPr>
          <w:rFonts w:ascii="Arial" w:hAnsi="Arial" w:cs="Arial"/>
          <w:szCs w:val="24"/>
          <w:lang w:val="hr-HR"/>
        </w:rPr>
        <w:t xml:space="preserve"> </w:t>
      </w:r>
      <w:r w:rsidRPr="00BF51BB">
        <w:rPr>
          <w:rFonts w:ascii="Arial" w:hAnsi="Arial" w:cs="Arial"/>
          <w:szCs w:val="24"/>
          <w:lang w:val="hr-HR"/>
        </w:rPr>
        <w:t>ukupnog vanjskog duga</w:t>
      </w:r>
      <w:r w:rsidR="00C2494B" w:rsidRPr="00BF51BB">
        <w:rPr>
          <w:rFonts w:ascii="Arial" w:hAnsi="Arial" w:cs="Arial"/>
          <w:szCs w:val="24"/>
          <w:lang w:val="hr-HR"/>
        </w:rPr>
        <w:t>.</w:t>
      </w:r>
    </w:p>
    <w:p w14:paraId="0F5369D8" w14:textId="77777777" w:rsidR="0076612A" w:rsidRPr="00BF51BB" w:rsidRDefault="0076612A" w:rsidP="00667EFF">
      <w:pPr>
        <w:pStyle w:val="NoSpacing"/>
        <w:spacing w:line="276" w:lineRule="auto"/>
        <w:jc w:val="both"/>
        <w:rPr>
          <w:rFonts w:ascii="Arial" w:hAnsi="Arial" w:cs="Arial"/>
          <w:szCs w:val="24"/>
          <w:lang w:val="hr-HR"/>
        </w:rPr>
      </w:pPr>
    </w:p>
    <w:p w14:paraId="0E104EDA" w14:textId="7C8B01B3" w:rsidR="005F375B" w:rsidRPr="00BF51BB" w:rsidRDefault="002614CC" w:rsidP="00667EFF">
      <w:pPr>
        <w:pStyle w:val="Heading3"/>
        <w:numPr>
          <w:ilvl w:val="2"/>
          <w:numId w:val="10"/>
        </w:numPr>
        <w:spacing w:before="0"/>
        <w:rPr>
          <w:rFonts w:ascii="Arial" w:hAnsi="Arial" w:cs="Arial"/>
          <w:szCs w:val="24"/>
        </w:rPr>
      </w:pPr>
      <w:bookmarkStart w:id="61" w:name="_Toc101781032"/>
      <w:r w:rsidRPr="00BF51BB">
        <w:rPr>
          <w:rFonts w:ascii="Arial" w:hAnsi="Arial" w:cs="Arial"/>
          <w:b w:val="0"/>
          <w:color w:val="auto"/>
        </w:rPr>
        <w:t xml:space="preserve">Kamatna struktura vanjskog duga </w:t>
      </w:r>
      <w:r w:rsidR="00B22862" w:rsidRPr="00BF51BB">
        <w:rPr>
          <w:rFonts w:ascii="Arial" w:hAnsi="Arial" w:cs="Arial"/>
          <w:b w:val="0"/>
          <w:color w:val="auto"/>
        </w:rPr>
        <w:t>F</w:t>
      </w:r>
      <w:r w:rsidR="00AF4632" w:rsidRPr="00BF51BB">
        <w:rPr>
          <w:rFonts w:ascii="Arial" w:hAnsi="Arial" w:cs="Arial"/>
          <w:b w:val="0"/>
          <w:color w:val="auto"/>
        </w:rPr>
        <w:t xml:space="preserve">ederacije </w:t>
      </w:r>
      <w:r w:rsidR="00B22862" w:rsidRPr="00BF51BB">
        <w:rPr>
          <w:rFonts w:ascii="Arial" w:hAnsi="Arial" w:cs="Arial"/>
          <w:b w:val="0"/>
          <w:color w:val="auto"/>
        </w:rPr>
        <w:t>BiH</w:t>
      </w:r>
      <w:bookmarkEnd w:id="61"/>
    </w:p>
    <w:p w14:paraId="22ADAA55" w14:textId="53097293" w:rsidR="005F375B" w:rsidRPr="00BF51BB" w:rsidRDefault="005F375B" w:rsidP="00667EFF">
      <w:pPr>
        <w:pStyle w:val="NoSpacing"/>
        <w:spacing w:line="276" w:lineRule="auto"/>
        <w:jc w:val="both"/>
        <w:rPr>
          <w:rFonts w:ascii="Arial" w:hAnsi="Arial" w:cs="Arial"/>
          <w:szCs w:val="24"/>
          <w:lang w:val="hr-HR"/>
        </w:rPr>
      </w:pPr>
    </w:p>
    <w:p w14:paraId="7B6C4E00" w14:textId="118B96B5" w:rsidR="00B460E7" w:rsidRPr="00BF51BB" w:rsidRDefault="00AF4632" w:rsidP="00667EFF">
      <w:pPr>
        <w:pStyle w:val="NoSpacing"/>
        <w:spacing w:line="276" w:lineRule="auto"/>
        <w:ind w:firstLine="426"/>
        <w:jc w:val="both"/>
        <w:rPr>
          <w:rFonts w:ascii="Arial" w:hAnsi="Arial" w:cs="Arial"/>
          <w:szCs w:val="24"/>
          <w:lang w:val="hr-HR"/>
        </w:rPr>
      </w:pPr>
      <w:r w:rsidRPr="00BF51BB">
        <w:rPr>
          <w:rFonts w:ascii="Arial" w:hAnsi="Arial" w:cs="Arial"/>
          <w:szCs w:val="24"/>
          <w:lang w:val="hr-HR"/>
        </w:rPr>
        <w:t>S</w:t>
      </w:r>
      <w:r w:rsidR="002979DB" w:rsidRPr="00BF51BB">
        <w:rPr>
          <w:rFonts w:ascii="Arial" w:hAnsi="Arial" w:cs="Arial"/>
          <w:szCs w:val="24"/>
          <w:lang w:val="hr-HR"/>
        </w:rPr>
        <w:t xml:space="preserve">a fiksnom kamatnom stopom ugovoreno </w:t>
      </w:r>
      <w:r w:rsidR="00F327B1" w:rsidRPr="00BF51BB">
        <w:rPr>
          <w:rFonts w:ascii="Arial" w:hAnsi="Arial" w:cs="Arial"/>
          <w:szCs w:val="24"/>
          <w:lang w:val="hr-HR"/>
        </w:rPr>
        <w:t xml:space="preserve">je </w:t>
      </w:r>
      <w:r w:rsidR="009D0605" w:rsidRPr="00BF51BB">
        <w:rPr>
          <w:rFonts w:ascii="Arial" w:hAnsi="Arial" w:cs="Arial"/>
          <w:szCs w:val="24"/>
          <w:lang w:val="hr-HR"/>
        </w:rPr>
        <w:t>3.834,98</w:t>
      </w:r>
      <w:r w:rsidR="002731B0" w:rsidRPr="00BF51BB">
        <w:rPr>
          <w:rFonts w:ascii="Arial" w:hAnsi="Arial" w:cs="Arial"/>
          <w:szCs w:val="24"/>
          <w:lang w:val="hr-HR"/>
        </w:rPr>
        <w:t xml:space="preserve"> mil.KM ili </w:t>
      </w:r>
      <w:r w:rsidR="009D0605" w:rsidRPr="00BF51BB">
        <w:rPr>
          <w:rFonts w:ascii="Arial" w:hAnsi="Arial" w:cs="Arial"/>
          <w:szCs w:val="24"/>
          <w:lang w:val="hr-HR"/>
        </w:rPr>
        <w:t>62,29</w:t>
      </w:r>
      <w:r w:rsidR="002731B0" w:rsidRPr="00BF51BB">
        <w:rPr>
          <w:rFonts w:ascii="Arial" w:hAnsi="Arial" w:cs="Arial"/>
          <w:szCs w:val="24"/>
          <w:lang w:val="hr-HR"/>
        </w:rPr>
        <w:t>%</w:t>
      </w:r>
      <w:r w:rsidR="005B3338" w:rsidRPr="00BF51BB">
        <w:rPr>
          <w:rFonts w:ascii="Arial" w:hAnsi="Arial" w:cs="Arial"/>
          <w:szCs w:val="24"/>
          <w:lang w:val="hr-HR"/>
        </w:rPr>
        <w:t xml:space="preserve">, </w:t>
      </w:r>
      <w:r w:rsidR="002731B0" w:rsidRPr="00BF51BB">
        <w:rPr>
          <w:rFonts w:ascii="Arial" w:hAnsi="Arial" w:cs="Arial"/>
          <w:szCs w:val="24"/>
          <w:lang w:val="hr-HR"/>
        </w:rPr>
        <w:t xml:space="preserve">a sa promjenjivom kamatnom stopom </w:t>
      </w:r>
      <w:r w:rsidR="009D0605" w:rsidRPr="00BF51BB">
        <w:rPr>
          <w:rFonts w:ascii="Arial" w:hAnsi="Arial" w:cs="Arial"/>
          <w:szCs w:val="24"/>
          <w:lang w:val="hr-HR"/>
        </w:rPr>
        <w:t>2.321,29</w:t>
      </w:r>
      <w:r w:rsidR="00F327B1" w:rsidRPr="00BF51BB">
        <w:rPr>
          <w:rFonts w:ascii="Arial" w:hAnsi="Arial" w:cs="Arial"/>
          <w:szCs w:val="24"/>
          <w:lang w:val="hr-HR"/>
        </w:rPr>
        <w:t xml:space="preserve"> mil.KM ili </w:t>
      </w:r>
      <w:r w:rsidR="009D0605" w:rsidRPr="00BF51BB">
        <w:rPr>
          <w:rFonts w:ascii="Arial" w:hAnsi="Arial" w:cs="Arial"/>
          <w:szCs w:val="24"/>
          <w:lang w:val="hr-HR"/>
        </w:rPr>
        <w:t>37,71</w:t>
      </w:r>
      <w:r w:rsidR="00F327B1" w:rsidRPr="00BF51BB">
        <w:rPr>
          <w:rFonts w:ascii="Arial" w:hAnsi="Arial" w:cs="Arial"/>
          <w:szCs w:val="24"/>
          <w:lang w:val="hr-HR"/>
        </w:rPr>
        <w:t xml:space="preserve">% </w:t>
      </w:r>
      <w:r w:rsidR="003F1067" w:rsidRPr="00BF51BB">
        <w:rPr>
          <w:rFonts w:ascii="Arial" w:hAnsi="Arial" w:cs="Arial"/>
          <w:szCs w:val="24"/>
          <w:lang w:val="hr-HR"/>
        </w:rPr>
        <w:t xml:space="preserve">ukupnog </w:t>
      </w:r>
      <w:r w:rsidR="002731B0" w:rsidRPr="00BF51BB">
        <w:rPr>
          <w:rFonts w:ascii="Arial" w:hAnsi="Arial" w:cs="Arial"/>
          <w:szCs w:val="24"/>
          <w:lang w:val="hr-HR"/>
        </w:rPr>
        <w:t>vanjskog duga</w:t>
      </w:r>
      <w:r w:rsidR="005B3338" w:rsidRPr="00BF51BB">
        <w:rPr>
          <w:rFonts w:ascii="Arial" w:hAnsi="Arial" w:cs="Arial"/>
          <w:szCs w:val="24"/>
          <w:lang w:val="hr-HR"/>
        </w:rPr>
        <w:t>.</w:t>
      </w:r>
    </w:p>
    <w:p w14:paraId="04F94F03" w14:textId="77777777" w:rsidR="00246AE0" w:rsidRPr="00BF51BB" w:rsidRDefault="00246AE0" w:rsidP="00667EFF">
      <w:pPr>
        <w:pStyle w:val="NoSpacing"/>
        <w:spacing w:line="276" w:lineRule="auto"/>
        <w:ind w:firstLine="426"/>
        <w:jc w:val="both"/>
        <w:rPr>
          <w:rFonts w:ascii="Arial" w:hAnsi="Arial" w:cs="Arial"/>
          <w:szCs w:val="24"/>
          <w:lang w:val="hr-HR"/>
        </w:rPr>
      </w:pPr>
    </w:p>
    <w:p w14:paraId="6B58E70D" w14:textId="433B39DB" w:rsidR="005F375B" w:rsidRPr="00BF51BB" w:rsidRDefault="002D6700" w:rsidP="00667EFF">
      <w:pPr>
        <w:pStyle w:val="NoSpacing"/>
        <w:spacing w:line="276" w:lineRule="auto"/>
        <w:jc w:val="both"/>
        <w:rPr>
          <w:rFonts w:ascii="Arial" w:hAnsi="Arial" w:cs="Arial"/>
          <w:szCs w:val="24"/>
          <w:lang w:val="hr-HR"/>
        </w:rPr>
      </w:pPr>
      <w:r w:rsidRPr="00BF51BB">
        <w:rPr>
          <w:rFonts w:ascii="Arial" w:hAnsi="Arial" w:cs="Arial"/>
          <w:szCs w:val="24"/>
          <w:lang w:val="hr-HR"/>
        </w:rPr>
        <w:t xml:space="preserve">Slika 3. Struktura vanjskog duga </w:t>
      </w:r>
      <w:r w:rsidR="00C235EB" w:rsidRPr="00BF51BB">
        <w:rPr>
          <w:rFonts w:ascii="Arial" w:hAnsi="Arial" w:cs="Arial"/>
          <w:szCs w:val="24"/>
          <w:lang w:val="hr-HR"/>
        </w:rPr>
        <w:t>F</w:t>
      </w:r>
      <w:r w:rsidR="00AF4632" w:rsidRPr="00BF51BB">
        <w:rPr>
          <w:rFonts w:ascii="Arial" w:hAnsi="Arial" w:cs="Arial"/>
          <w:szCs w:val="24"/>
          <w:lang w:val="hr-HR"/>
        </w:rPr>
        <w:t xml:space="preserve">ederacije </w:t>
      </w:r>
      <w:r w:rsidR="00C235EB" w:rsidRPr="00BF51BB">
        <w:rPr>
          <w:rFonts w:ascii="Arial" w:hAnsi="Arial" w:cs="Arial"/>
          <w:szCs w:val="24"/>
          <w:lang w:val="hr-HR"/>
        </w:rPr>
        <w:t xml:space="preserve">BiH </w:t>
      </w:r>
      <w:r w:rsidRPr="00BF51BB">
        <w:rPr>
          <w:rFonts w:ascii="Arial" w:hAnsi="Arial" w:cs="Arial"/>
          <w:szCs w:val="24"/>
          <w:lang w:val="hr-HR"/>
        </w:rPr>
        <w:t>prema vrsti kamatne stope</w:t>
      </w:r>
    </w:p>
    <w:p w14:paraId="290EED4A" w14:textId="559C22CC" w:rsidR="009D0605" w:rsidRPr="00BF51BB" w:rsidRDefault="009D0605" w:rsidP="00667EFF">
      <w:pPr>
        <w:pStyle w:val="NoSpacing"/>
        <w:spacing w:line="276" w:lineRule="auto"/>
        <w:jc w:val="both"/>
        <w:rPr>
          <w:rFonts w:ascii="Arial" w:hAnsi="Arial" w:cs="Arial"/>
          <w:szCs w:val="24"/>
          <w:lang w:val="hr-HR"/>
        </w:rPr>
      </w:pPr>
    </w:p>
    <w:p w14:paraId="3CB1FAD0" w14:textId="69DBA4E2" w:rsidR="009D0605" w:rsidRPr="00BF51BB" w:rsidRDefault="009D0605" w:rsidP="00667EFF">
      <w:pPr>
        <w:pStyle w:val="NoSpacing"/>
        <w:spacing w:line="276" w:lineRule="auto"/>
        <w:jc w:val="both"/>
        <w:rPr>
          <w:rFonts w:ascii="Arial" w:hAnsi="Arial" w:cs="Arial"/>
          <w:szCs w:val="24"/>
          <w:lang w:val="hr-HR"/>
        </w:rPr>
      </w:pPr>
      <w:r w:rsidRPr="00BF51BB">
        <w:rPr>
          <w:noProof/>
        </w:rPr>
        <w:drawing>
          <wp:inline distT="0" distB="0" distL="0" distR="0" wp14:anchorId="2A515801" wp14:editId="13951266">
            <wp:extent cx="5868000" cy="2034000"/>
            <wp:effectExtent l="0" t="0" r="0" b="44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EC983D" w14:textId="77777777" w:rsidR="00337704" w:rsidRPr="00BF51BB" w:rsidRDefault="00337704" w:rsidP="00667EFF">
      <w:pPr>
        <w:pStyle w:val="NoSpacing"/>
        <w:spacing w:line="276" w:lineRule="auto"/>
        <w:jc w:val="both"/>
        <w:rPr>
          <w:rFonts w:ascii="Arial" w:hAnsi="Arial" w:cs="Arial"/>
          <w:sz w:val="24"/>
          <w:szCs w:val="24"/>
          <w:lang w:val="hr-HR"/>
        </w:rPr>
      </w:pPr>
    </w:p>
    <w:p w14:paraId="4CA4CA12" w14:textId="44B995B2" w:rsidR="005F375B" w:rsidRPr="00BF51BB" w:rsidRDefault="005F375B" w:rsidP="004937BF">
      <w:pPr>
        <w:pStyle w:val="NoSpacing"/>
        <w:spacing w:line="276" w:lineRule="auto"/>
        <w:jc w:val="center"/>
        <w:rPr>
          <w:rFonts w:ascii="Arial" w:hAnsi="Arial" w:cs="Arial"/>
          <w:sz w:val="24"/>
          <w:szCs w:val="24"/>
          <w:lang w:val="hr-HR"/>
        </w:rPr>
      </w:pPr>
    </w:p>
    <w:p w14:paraId="4913E7AC" w14:textId="77777777" w:rsidR="00367624" w:rsidRPr="00BF51BB" w:rsidRDefault="00367624" w:rsidP="004937BF">
      <w:pPr>
        <w:pStyle w:val="NoSpacing"/>
        <w:spacing w:line="276" w:lineRule="auto"/>
        <w:jc w:val="center"/>
        <w:rPr>
          <w:rFonts w:ascii="Arial" w:hAnsi="Arial" w:cs="Arial"/>
          <w:sz w:val="24"/>
          <w:szCs w:val="24"/>
          <w:lang w:val="hr-HR"/>
        </w:rPr>
      </w:pPr>
    </w:p>
    <w:p w14:paraId="1E7187CF" w14:textId="3FB907F6" w:rsidR="00ED768D" w:rsidRPr="00BF51BB" w:rsidRDefault="00ED768D" w:rsidP="00627D74">
      <w:pPr>
        <w:pStyle w:val="Heading2"/>
        <w:numPr>
          <w:ilvl w:val="1"/>
          <w:numId w:val="10"/>
        </w:numPr>
        <w:spacing w:before="0" w:line="240" w:lineRule="auto"/>
        <w:rPr>
          <w:rFonts w:ascii="Arial" w:hAnsi="Arial" w:cs="Arial"/>
          <w:b w:val="0"/>
          <w:color w:val="auto"/>
        </w:rPr>
      </w:pPr>
      <w:bookmarkStart w:id="62" w:name="_Toc100754199"/>
      <w:bookmarkStart w:id="63" w:name="_Toc100754643"/>
      <w:bookmarkStart w:id="64" w:name="_Toc100755035"/>
      <w:bookmarkStart w:id="65" w:name="_Toc100818766"/>
      <w:bookmarkStart w:id="66" w:name="_Toc100820472"/>
      <w:bookmarkStart w:id="67" w:name="_Toc100822760"/>
      <w:bookmarkStart w:id="68" w:name="_Toc100823299"/>
      <w:bookmarkStart w:id="69" w:name="_Toc100823742"/>
      <w:bookmarkStart w:id="70" w:name="_Toc100754200"/>
      <w:bookmarkStart w:id="71" w:name="_Toc100754644"/>
      <w:bookmarkStart w:id="72" w:name="_Toc100755036"/>
      <w:bookmarkStart w:id="73" w:name="_Toc100818767"/>
      <w:bookmarkStart w:id="74" w:name="_Toc100820473"/>
      <w:bookmarkStart w:id="75" w:name="_Toc100822761"/>
      <w:bookmarkStart w:id="76" w:name="_Toc100823300"/>
      <w:bookmarkStart w:id="77" w:name="_Toc100823743"/>
      <w:bookmarkStart w:id="78" w:name="_Toc100754201"/>
      <w:bookmarkStart w:id="79" w:name="_Toc100754645"/>
      <w:bookmarkStart w:id="80" w:name="_Toc100755037"/>
      <w:bookmarkStart w:id="81" w:name="_Toc100818768"/>
      <w:bookmarkStart w:id="82" w:name="_Toc100820474"/>
      <w:bookmarkStart w:id="83" w:name="_Toc100822762"/>
      <w:bookmarkStart w:id="84" w:name="_Toc100823301"/>
      <w:bookmarkStart w:id="85" w:name="_Toc100823744"/>
      <w:bookmarkStart w:id="86" w:name="_Toc10178103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BF51BB">
        <w:rPr>
          <w:rFonts w:ascii="Arial" w:hAnsi="Arial" w:cs="Arial"/>
          <w:b w:val="0"/>
          <w:color w:val="auto"/>
          <w:sz w:val="24"/>
        </w:rPr>
        <w:lastRenderedPageBreak/>
        <w:t>Struktura unutrašnjeg duga</w:t>
      </w:r>
      <w:r w:rsidR="0081642B" w:rsidRPr="00BF51BB">
        <w:rPr>
          <w:rFonts w:ascii="Arial" w:hAnsi="Arial" w:cs="Arial"/>
          <w:b w:val="0"/>
          <w:color w:val="auto"/>
          <w:sz w:val="24"/>
        </w:rPr>
        <w:t xml:space="preserve"> F</w:t>
      </w:r>
      <w:r w:rsidR="00AF4632" w:rsidRPr="00BF51BB">
        <w:rPr>
          <w:rFonts w:ascii="Arial" w:hAnsi="Arial" w:cs="Arial"/>
          <w:b w:val="0"/>
          <w:color w:val="auto"/>
          <w:sz w:val="24"/>
        </w:rPr>
        <w:t xml:space="preserve">ederacije </w:t>
      </w:r>
      <w:r w:rsidR="0081642B" w:rsidRPr="00BF51BB">
        <w:rPr>
          <w:rFonts w:ascii="Arial" w:hAnsi="Arial" w:cs="Arial"/>
          <w:b w:val="0"/>
          <w:color w:val="auto"/>
          <w:sz w:val="24"/>
        </w:rPr>
        <w:t>BiH</w:t>
      </w:r>
      <w:r w:rsidR="0027009B" w:rsidRPr="00BF51BB">
        <w:rPr>
          <w:rFonts w:ascii="Arial" w:hAnsi="Arial" w:cs="Arial"/>
          <w:b w:val="0"/>
          <w:color w:val="auto"/>
          <w:sz w:val="24"/>
        </w:rPr>
        <w:t xml:space="preserve"> na dan 31.12.</w:t>
      </w:r>
      <w:r w:rsidR="00CD4DD1" w:rsidRPr="00BF51BB">
        <w:rPr>
          <w:rFonts w:ascii="Arial" w:hAnsi="Arial" w:cs="Arial"/>
          <w:b w:val="0"/>
          <w:color w:val="auto"/>
          <w:sz w:val="24"/>
        </w:rPr>
        <w:t>2021</w:t>
      </w:r>
      <w:r w:rsidR="0027009B" w:rsidRPr="00BF51BB">
        <w:rPr>
          <w:rFonts w:ascii="Arial" w:hAnsi="Arial" w:cs="Arial"/>
          <w:b w:val="0"/>
          <w:color w:val="auto"/>
          <w:sz w:val="24"/>
        </w:rPr>
        <w:t>. godine</w:t>
      </w:r>
      <w:bookmarkEnd w:id="86"/>
    </w:p>
    <w:p w14:paraId="0473E1F3" w14:textId="77777777" w:rsidR="00ED768D" w:rsidRPr="00BF51BB" w:rsidRDefault="00ED768D" w:rsidP="00ED768D">
      <w:pPr>
        <w:pStyle w:val="NoSpacing"/>
        <w:tabs>
          <w:tab w:val="left" w:pos="2475"/>
        </w:tabs>
        <w:jc w:val="both"/>
        <w:rPr>
          <w:rFonts w:ascii="Arial" w:hAnsi="Arial" w:cs="Arial"/>
          <w:lang w:val="hr-HR"/>
        </w:rPr>
      </w:pPr>
      <w:r w:rsidRPr="00BF51BB">
        <w:rPr>
          <w:rFonts w:ascii="Arial" w:hAnsi="Arial" w:cs="Arial"/>
          <w:lang w:val="hr-HR"/>
        </w:rPr>
        <w:tab/>
      </w:r>
    </w:p>
    <w:p w14:paraId="4144BDFA" w14:textId="77777777" w:rsidR="00337704" w:rsidRPr="00BF51BB" w:rsidRDefault="00337704" w:rsidP="00ED768D">
      <w:pPr>
        <w:pStyle w:val="NoSpacing"/>
        <w:tabs>
          <w:tab w:val="left" w:pos="2475"/>
        </w:tabs>
        <w:jc w:val="both"/>
        <w:rPr>
          <w:rFonts w:ascii="Arial" w:hAnsi="Arial" w:cs="Arial"/>
          <w:lang w:val="hr-HR"/>
        </w:rPr>
      </w:pPr>
    </w:p>
    <w:p w14:paraId="6CAFE145" w14:textId="57696E7D" w:rsidR="0081642B" w:rsidRPr="00BF51BB" w:rsidRDefault="0081642B" w:rsidP="006F06B8">
      <w:pPr>
        <w:pStyle w:val="NoSpacing"/>
        <w:spacing w:line="276" w:lineRule="auto"/>
        <w:ind w:firstLine="284"/>
        <w:jc w:val="both"/>
        <w:rPr>
          <w:rFonts w:ascii="Arial" w:hAnsi="Arial" w:cs="Arial"/>
          <w:szCs w:val="24"/>
          <w:lang w:val="hr-HR"/>
        </w:rPr>
      </w:pPr>
      <w:r w:rsidRPr="00BF51BB">
        <w:rPr>
          <w:rFonts w:ascii="Arial" w:hAnsi="Arial" w:cs="Arial"/>
          <w:szCs w:val="24"/>
          <w:lang w:val="hr-HR"/>
        </w:rPr>
        <w:t>U</w:t>
      </w:r>
      <w:r w:rsidR="00ED768D" w:rsidRPr="00BF51BB">
        <w:rPr>
          <w:rFonts w:ascii="Arial" w:hAnsi="Arial" w:cs="Arial"/>
          <w:szCs w:val="24"/>
          <w:lang w:val="hr-HR"/>
        </w:rPr>
        <w:t xml:space="preserve">nutrašnji dug </w:t>
      </w:r>
      <w:r w:rsidRPr="00BF51BB">
        <w:rPr>
          <w:rFonts w:ascii="Arial" w:hAnsi="Arial" w:cs="Arial"/>
          <w:lang w:val="hr-HR"/>
        </w:rPr>
        <w:t>koji je uključen u Strategiju sastoji se od</w:t>
      </w:r>
      <w:r w:rsidRPr="00BF51BB">
        <w:rPr>
          <w:rFonts w:ascii="Arial" w:hAnsi="Arial" w:cs="Arial"/>
          <w:szCs w:val="24"/>
          <w:lang w:val="hr-HR"/>
        </w:rPr>
        <w:t xml:space="preserve"> duga </w:t>
      </w:r>
      <w:r w:rsidR="007A2F27" w:rsidRPr="00BF51BB">
        <w:rPr>
          <w:rFonts w:ascii="Arial" w:hAnsi="Arial" w:cs="Arial"/>
          <w:szCs w:val="24"/>
          <w:lang w:val="hr-HR"/>
        </w:rPr>
        <w:t>koji je nastao u skladu sa zakonom</w:t>
      </w:r>
      <w:r w:rsidR="007A2F27" w:rsidRPr="00BF51BB">
        <w:rPr>
          <w:rStyle w:val="FootnoteReference"/>
          <w:rFonts w:ascii="Arial" w:hAnsi="Arial" w:cs="Arial"/>
          <w:szCs w:val="24"/>
          <w:lang w:val="hr-HR"/>
        </w:rPr>
        <w:footnoteReference w:id="6"/>
      </w:r>
      <w:r w:rsidR="007A2F27" w:rsidRPr="00BF51BB">
        <w:rPr>
          <w:rFonts w:ascii="Arial" w:hAnsi="Arial" w:cs="Arial"/>
          <w:szCs w:val="24"/>
          <w:lang w:val="hr-HR"/>
        </w:rPr>
        <w:t xml:space="preserve"> </w:t>
      </w:r>
      <w:r w:rsidR="003511A6" w:rsidRPr="00BF51BB">
        <w:rPr>
          <w:rFonts w:ascii="Arial" w:hAnsi="Arial" w:cs="Arial"/>
          <w:szCs w:val="24"/>
          <w:lang w:val="hr-HR"/>
        </w:rPr>
        <w:t xml:space="preserve">u obliku vrijednosnih papira </w:t>
      </w:r>
      <w:r w:rsidRPr="00BF51BB">
        <w:rPr>
          <w:rFonts w:ascii="Arial" w:hAnsi="Arial" w:cs="Arial"/>
          <w:szCs w:val="24"/>
          <w:lang w:val="hr-HR"/>
        </w:rPr>
        <w:t xml:space="preserve">i </w:t>
      </w:r>
      <w:r w:rsidR="007A2F27" w:rsidRPr="00BF51BB">
        <w:rPr>
          <w:rFonts w:ascii="Arial" w:hAnsi="Arial" w:cs="Arial"/>
          <w:szCs w:val="24"/>
          <w:lang w:val="hr-HR"/>
        </w:rPr>
        <w:t xml:space="preserve">unutrašnjeg </w:t>
      </w:r>
      <w:r w:rsidRPr="00BF51BB">
        <w:rPr>
          <w:rFonts w:ascii="Arial" w:hAnsi="Arial" w:cs="Arial"/>
          <w:szCs w:val="24"/>
          <w:lang w:val="hr-HR"/>
        </w:rPr>
        <w:t>duga nastalog emisijom tržišnih vrijednosnih papira.</w:t>
      </w:r>
      <w:r w:rsidR="00667EFF" w:rsidRPr="00BF51BB">
        <w:rPr>
          <w:rFonts w:ascii="Arial" w:hAnsi="Arial" w:cs="Arial"/>
          <w:szCs w:val="24"/>
          <w:lang w:val="hr-HR"/>
        </w:rPr>
        <w:t xml:space="preserve"> </w:t>
      </w:r>
      <w:r w:rsidR="007A2F27" w:rsidRPr="00BF51BB">
        <w:rPr>
          <w:rFonts w:ascii="Arial" w:hAnsi="Arial" w:cs="Arial"/>
          <w:szCs w:val="24"/>
          <w:lang w:val="hr-HR"/>
        </w:rPr>
        <w:t>U</w:t>
      </w:r>
      <w:r w:rsidR="00667EFF" w:rsidRPr="00BF51BB">
        <w:rPr>
          <w:rFonts w:ascii="Arial" w:hAnsi="Arial" w:cs="Arial"/>
          <w:szCs w:val="24"/>
          <w:lang w:val="hr-HR"/>
        </w:rPr>
        <w:t xml:space="preserve">nutrašnji dug ugovoren je </w:t>
      </w:r>
      <w:r w:rsidR="003F1067" w:rsidRPr="00BF51BB">
        <w:rPr>
          <w:rFonts w:ascii="Arial" w:hAnsi="Arial" w:cs="Arial"/>
          <w:szCs w:val="24"/>
          <w:lang w:val="hr-HR"/>
        </w:rPr>
        <w:t xml:space="preserve">u domaćoj valuti </w:t>
      </w:r>
      <w:r w:rsidR="007A2F27" w:rsidRPr="00BF51BB">
        <w:rPr>
          <w:rFonts w:ascii="Arial" w:hAnsi="Arial" w:cs="Arial"/>
          <w:szCs w:val="24"/>
          <w:lang w:val="hr-HR"/>
        </w:rPr>
        <w:t xml:space="preserve">(KM) </w:t>
      </w:r>
      <w:r w:rsidR="003F1067" w:rsidRPr="00BF51BB">
        <w:rPr>
          <w:rFonts w:ascii="Arial" w:hAnsi="Arial" w:cs="Arial"/>
          <w:szCs w:val="24"/>
          <w:lang w:val="hr-HR"/>
        </w:rPr>
        <w:t xml:space="preserve">i </w:t>
      </w:r>
      <w:r w:rsidR="00667EFF" w:rsidRPr="00BF51BB">
        <w:rPr>
          <w:rFonts w:ascii="Arial" w:hAnsi="Arial" w:cs="Arial"/>
          <w:szCs w:val="24"/>
          <w:lang w:val="hr-HR"/>
        </w:rPr>
        <w:t xml:space="preserve">sa fiksnim kamatnim stopama. </w:t>
      </w:r>
    </w:p>
    <w:p w14:paraId="6EEF11A6" w14:textId="77777777" w:rsidR="003F1067" w:rsidRPr="00BF51BB" w:rsidRDefault="003F1067" w:rsidP="006F06B8">
      <w:pPr>
        <w:pStyle w:val="NoSpacing"/>
        <w:spacing w:line="276" w:lineRule="auto"/>
        <w:ind w:firstLine="284"/>
        <w:jc w:val="both"/>
        <w:rPr>
          <w:rFonts w:ascii="Arial" w:hAnsi="Arial" w:cs="Arial"/>
          <w:szCs w:val="24"/>
          <w:lang w:val="hr-HR"/>
        </w:rPr>
      </w:pPr>
    </w:p>
    <w:p w14:paraId="7554C7F8" w14:textId="77777777" w:rsidR="0081642B" w:rsidRPr="00BF51BB" w:rsidRDefault="0081642B" w:rsidP="008A373E">
      <w:pPr>
        <w:rPr>
          <w:rFonts w:ascii="Arial" w:hAnsi="Arial" w:cs="Arial"/>
        </w:rPr>
      </w:pPr>
      <w:r w:rsidRPr="00BF51BB">
        <w:rPr>
          <w:rFonts w:ascii="Arial" w:hAnsi="Arial" w:cs="Arial"/>
        </w:rPr>
        <w:t xml:space="preserve">Tabela 4. Unutrašnji dug </w:t>
      </w:r>
      <w:r w:rsidR="00C235EB" w:rsidRPr="00BF51BB">
        <w:rPr>
          <w:rFonts w:ascii="Arial" w:hAnsi="Arial" w:cs="Arial"/>
        </w:rPr>
        <w:t>F</w:t>
      </w:r>
      <w:r w:rsidR="00A5324C" w:rsidRPr="00BF51BB">
        <w:rPr>
          <w:rFonts w:ascii="Arial" w:hAnsi="Arial" w:cs="Arial"/>
        </w:rPr>
        <w:t xml:space="preserve">ederacije </w:t>
      </w:r>
      <w:r w:rsidR="00C235EB" w:rsidRPr="00BF51BB">
        <w:rPr>
          <w:rFonts w:ascii="Arial" w:hAnsi="Arial" w:cs="Arial"/>
        </w:rPr>
        <w:t xml:space="preserve">BiH </w:t>
      </w:r>
      <w:r w:rsidRPr="00BF51BB">
        <w:rPr>
          <w:rFonts w:ascii="Arial" w:hAnsi="Arial" w:cs="Arial"/>
        </w:rPr>
        <w:t xml:space="preserve">uključen u Strategiju </w:t>
      </w:r>
    </w:p>
    <w:tbl>
      <w:tblPr>
        <w:tblW w:w="5000" w:type="pct"/>
        <w:tblLook w:val="04A0" w:firstRow="1" w:lastRow="0" w:firstColumn="1" w:lastColumn="0" w:noHBand="0" w:noVBand="1"/>
      </w:tblPr>
      <w:tblGrid>
        <w:gridCol w:w="5234"/>
        <w:gridCol w:w="2464"/>
        <w:gridCol w:w="1615"/>
      </w:tblGrid>
      <w:tr w:rsidR="003333F1" w:rsidRPr="00BF51BB" w14:paraId="54F1C3A5" w14:textId="77777777" w:rsidTr="00BF51BB">
        <w:trPr>
          <w:trHeight w:val="345"/>
        </w:trPr>
        <w:tc>
          <w:tcPr>
            <w:tcW w:w="2810" w:type="pct"/>
            <w:tcBorders>
              <w:top w:val="single" w:sz="8" w:space="0" w:color="4F81BD"/>
              <w:left w:val="single" w:sz="8" w:space="0" w:color="0070C0"/>
              <w:bottom w:val="nil"/>
              <w:right w:val="nil"/>
            </w:tcBorders>
            <w:shd w:val="clear" w:color="auto" w:fill="auto"/>
            <w:noWrap/>
            <w:vAlign w:val="center"/>
            <w:hideMark/>
          </w:tcPr>
          <w:p w14:paraId="02D4CED5" w14:textId="77777777" w:rsidR="003333F1" w:rsidRPr="00BF51BB" w:rsidRDefault="003333F1" w:rsidP="003333F1">
            <w:pPr>
              <w:spacing w:after="0" w:line="240" w:lineRule="auto"/>
              <w:jc w:val="center"/>
              <w:rPr>
                <w:rFonts w:ascii="Arial Narrow" w:eastAsia="Times New Roman" w:hAnsi="Arial Narrow" w:cs="Calibri"/>
              </w:rPr>
            </w:pPr>
            <w:r w:rsidRPr="00BF51BB">
              <w:rPr>
                <w:rFonts w:ascii="Arial Narrow" w:eastAsia="Times New Roman" w:hAnsi="Arial Narrow" w:cs="Calibri"/>
              </w:rPr>
              <w:t>Vrsta duga</w:t>
            </w:r>
          </w:p>
        </w:tc>
        <w:tc>
          <w:tcPr>
            <w:tcW w:w="1323" w:type="pct"/>
            <w:tcBorders>
              <w:top w:val="single" w:sz="8" w:space="0" w:color="4F81BD"/>
              <w:left w:val="nil"/>
              <w:bottom w:val="nil"/>
              <w:right w:val="nil"/>
            </w:tcBorders>
            <w:shd w:val="clear" w:color="auto" w:fill="auto"/>
            <w:noWrap/>
            <w:vAlign w:val="center"/>
            <w:hideMark/>
          </w:tcPr>
          <w:p w14:paraId="390F84BD" w14:textId="77777777" w:rsidR="003333F1" w:rsidRPr="00BF51BB" w:rsidRDefault="003333F1" w:rsidP="003333F1">
            <w:pPr>
              <w:spacing w:after="0" w:line="240" w:lineRule="auto"/>
              <w:jc w:val="center"/>
              <w:rPr>
                <w:rFonts w:ascii="Arial Narrow" w:eastAsia="Times New Roman" w:hAnsi="Arial Narrow" w:cs="Calibri"/>
              </w:rPr>
            </w:pPr>
            <w:r w:rsidRPr="00BF51BB">
              <w:rPr>
                <w:rFonts w:ascii="Arial Narrow" w:eastAsia="Times New Roman" w:hAnsi="Arial Narrow" w:cs="Calibri"/>
              </w:rPr>
              <w:t>Uključen (√)/ Isključen (x)</w:t>
            </w:r>
          </w:p>
        </w:tc>
        <w:tc>
          <w:tcPr>
            <w:tcW w:w="867" w:type="pct"/>
            <w:tcBorders>
              <w:top w:val="single" w:sz="8" w:space="0" w:color="4F81BD"/>
              <w:left w:val="nil"/>
              <w:bottom w:val="nil"/>
              <w:right w:val="single" w:sz="8" w:space="0" w:color="0070C0"/>
            </w:tcBorders>
            <w:shd w:val="clear" w:color="auto" w:fill="auto"/>
            <w:noWrap/>
            <w:vAlign w:val="center"/>
            <w:hideMark/>
          </w:tcPr>
          <w:p w14:paraId="23642BD1" w14:textId="77777777" w:rsidR="003333F1" w:rsidRPr="00BF51BB" w:rsidRDefault="003333F1" w:rsidP="003333F1">
            <w:pPr>
              <w:spacing w:after="0" w:line="240" w:lineRule="auto"/>
              <w:jc w:val="center"/>
              <w:rPr>
                <w:rFonts w:ascii="Arial Narrow" w:eastAsia="Times New Roman" w:hAnsi="Arial Narrow" w:cs="Calibri"/>
              </w:rPr>
            </w:pPr>
            <w:r w:rsidRPr="00BF51BB">
              <w:rPr>
                <w:rFonts w:ascii="Arial Narrow" w:eastAsia="Times New Roman" w:hAnsi="Arial Narrow" w:cs="Calibri"/>
              </w:rPr>
              <w:t>Iznos (mil.KM)</w:t>
            </w:r>
          </w:p>
        </w:tc>
      </w:tr>
      <w:tr w:rsidR="003333F1" w:rsidRPr="00BF51BB" w14:paraId="671FC8A8" w14:textId="77777777" w:rsidTr="00BF51BB">
        <w:trPr>
          <w:trHeight w:val="330"/>
        </w:trPr>
        <w:tc>
          <w:tcPr>
            <w:tcW w:w="2810" w:type="pct"/>
            <w:tcBorders>
              <w:top w:val="nil"/>
              <w:left w:val="single" w:sz="8" w:space="0" w:color="4F81BD"/>
              <w:bottom w:val="nil"/>
              <w:right w:val="nil"/>
            </w:tcBorders>
            <w:shd w:val="clear" w:color="auto" w:fill="auto"/>
            <w:noWrap/>
            <w:vAlign w:val="center"/>
            <w:hideMark/>
          </w:tcPr>
          <w:p w14:paraId="59EB7F29" w14:textId="77777777" w:rsidR="003333F1" w:rsidRPr="00BF51BB" w:rsidRDefault="003333F1" w:rsidP="003333F1">
            <w:pPr>
              <w:spacing w:after="0" w:line="240" w:lineRule="auto"/>
              <w:rPr>
                <w:rFonts w:ascii="Arial Narrow" w:eastAsia="Times New Roman" w:hAnsi="Arial Narrow" w:cs="Calibri"/>
              </w:rPr>
            </w:pPr>
            <w:r w:rsidRPr="00BF51BB">
              <w:rPr>
                <w:rFonts w:ascii="Arial Narrow" w:eastAsia="Times New Roman" w:hAnsi="Arial Narrow" w:cs="Calibri"/>
              </w:rPr>
              <w:t>Unutrašnji dug FBiH, od čega:</w:t>
            </w:r>
          </w:p>
        </w:tc>
        <w:tc>
          <w:tcPr>
            <w:tcW w:w="1323" w:type="pct"/>
            <w:tcBorders>
              <w:top w:val="nil"/>
              <w:left w:val="nil"/>
              <w:bottom w:val="nil"/>
              <w:right w:val="nil"/>
            </w:tcBorders>
            <w:shd w:val="clear" w:color="auto" w:fill="auto"/>
            <w:noWrap/>
            <w:vAlign w:val="center"/>
            <w:hideMark/>
          </w:tcPr>
          <w:p w14:paraId="3A7A2927" w14:textId="77777777" w:rsidR="003333F1" w:rsidRPr="00BF51BB" w:rsidRDefault="003333F1" w:rsidP="003333F1">
            <w:pPr>
              <w:spacing w:after="0" w:line="240" w:lineRule="auto"/>
              <w:rPr>
                <w:rFonts w:ascii="Arial Narrow" w:eastAsia="Times New Roman" w:hAnsi="Arial Narrow" w:cs="Calibri"/>
              </w:rPr>
            </w:pPr>
          </w:p>
        </w:tc>
        <w:tc>
          <w:tcPr>
            <w:tcW w:w="867" w:type="pct"/>
            <w:tcBorders>
              <w:top w:val="nil"/>
              <w:left w:val="nil"/>
              <w:bottom w:val="nil"/>
              <w:right w:val="single" w:sz="8" w:space="0" w:color="0070C0"/>
            </w:tcBorders>
            <w:shd w:val="clear" w:color="auto" w:fill="auto"/>
            <w:noWrap/>
            <w:vAlign w:val="center"/>
            <w:hideMark/>
          </w:tcPr>
          <w:p w14:paraId="7B898E2A" w14:textId="77777777" w:rsidR="003333F1" w:rsidRPr="00BF51BB" w:rsidRDefault="003333F1" w:rsidP="00BF51BB">
            <w:pPr>
              <w:spacing w:after="0" w:line="240" w:lineRule="auto"/>
              <w:jc w:val="right"/>
              <w:rPr>
                <w:rFonts w:ascii="Arial Narrow" w:eastAsia="Times New Roman" w:hAnsi="Arial Narrow" w:cs="Calibri"/>
              </w:rPr>
            </w:pPr>
            <w:r w:rsidRPr="00BF51BB">
              <w:rPr>
                <w:rFonts w:ascii="Arial Narrow" w:eastAsia="Times New Roman" w:hAnsi="Arial Narrow" w:cs="Calibri"/>
              </w:rPr>
              <w:t>754,27</w:t>
            </w:r>
          </w:p>
        </w:tc>
      </w:tr>
      <w:tr w:rsidR="003333F1" w:rsidRPr="00BF51BB" w14:paraId="0CDB62E6" w14:textId="77777777" w:rsidTr="00BF51BB">
        <w:trPr>
          <w:trHeight w:val="330"/>
        </w:trPr>
        <w:tc>
          <w:tcPr>
            <w:tcW w:w="2810" w:type="pct"/>
            <w:tcBorders>
              <w:top w:val="nil"/>
              <w:left w:val="single" w:sz="8" w:space="0" w:color="4F81BD"/>
              <w:bottom w:val="nil"/>
              <w:right w:val="nil"/>
            </w:tcBorders>
            <w:shd w:val="clear" w:color="auto" w:fill="auto"/>
            <w:noWrap/>
            <w:vAlign w:val="center"/>
            <w:hideMark/>
          </w:tcPr>
          <w:p w14:paraId="4961C858" w14:textId="77777777" w:rsidR="003333F1" w:rsidRPr="00BF51BB" w:rsidRDefault="003333F1" w:rsidP="003333F1">
            <w:pPr>
              <w:spacing w:after="0" w:line="240" w:lineRule="auto"/>
              <w:ind w:firstLineChars="300" w:firstLine="660"/>
              <w:rPr>
                <w:rFonts w:ascii="Arial Narrow" w:eastAsia="Times New Roman" w:hAnsi="Arial Narrow" w:cs="Calibri"/>
              </w:rPr>
            </w:pPr>
            <w:r w:rsidRPr="00BF51BB">
              <w:rPr>
                <w:rFonts w:ascii="Arial Narrow" w:eastAsia="Times New Roman" w:hAnsi="Arial Narrow" w:cs="Calibri"/>
              </w:rPr>
              <w:t>-          Trezorski zapisi FBiH</w:t>
            </w:r>
          </w:p>
        </w:tc>
        <w:tc>
          <w:tcPr>
            <w:tcW w:w="1323" w:type="pct"/>
            <w:tcBorders>
              <w:top w:val="nil"/>
              <w:left w:val="nil"/>
              <w:bottom w:val="nil"/>
              <w:right w:val="nil"/>
            </w:tcBorders>
            <w:shd w:val="clear" w:color="auto" w:fill="auto"/>
            <w:noWrap/>
            <w:vAlign w:val="center"/>
            <w:hideMark/>
          </w:tcPr>
          <w:p w14:paraId="474FC6B6" w14:textId="77777777" w:rsidR="003333F1" w:rsidRPr="00BF51BB" w:rsidRDefault="003333F1" w:rsidP="003333F1">
            <w:pPr>
              <w:spacing w:after="0" w:line="240" w:lineRule="auto"/>
              <w:jc w:val="center"/>
              <w:rPr>
                <w:rFonts w:ascii="Arial Narrow" w:eastAsia="Times New Roman" w:hAnsi="Arial Narrow" w:cs="Calibri"/>
              </w:rPr>
            </w:pPr>
            <w:r w:rsidRPr="00BF51BB">
              <w:rPr>
                <w:rFonts w:ascii="Arial Narrow" w:eastAsia="Times New Roman" w:hAnsi="Arial Narrow" w:cs="Calibri"/>
              </w:rPr>
              <w:t>√</w:t>
            </w:r>
          </w:p>
        </w:tc>
        <w:tc>
          <w:tcPr>
            <w:tcW w:w="867" w:type="pct"/>
            <w:tcBorders>
              <w:top w:val="nil"/>
              <w:left w:val="nil"/>
              <w:bottom w:val="nil"/>
              <w:right w:val="single" w:sz="8" w:space="0" w:color="0070C0"/>
            </w:tcBorders>
            <w:shd w:val="clear" w:color="auto" w:fill="auto"/>
            <w:noWrap/>
            <w:vAlign w:val="center"/>
            <w:hideMark/>
          </w:tcPr>
          <w:p w14:paraId="5A871FCA" w14:textId="77777777" w:rsidR="003333F1" w:rsidRPr="00BF51BB" w:rsidRDefault="003333F1" w:rsidP="00BF51BB">
            <w:pPr>
              <w:spacing w:after="0" w:line="240" w:lineRule="auto"/>
              <w:jc w:val="right"/>
              <w:rPr>
                <w:rFonts w:ascii="Arial Narrow" w:eastAsia="Times New Roman" w:hAnsi="Arial Narrow" w:cs="Calibri"/>
              </w:rPr>
            </w:pPr>
            <w:r w:rsidRPr="00BF51BB">
              <w:rPr>
                <w:rFonts w:ascii="Arial Narrow" w:eastAsia="Times New Roman" w:hAnsi="Arial Narrow" w:cs="Calibri"/>
              </w:rPr>
              <w:t>50,00</w:t>
            </w:r>
          </w:p>
        </w:tc>
      </w:tr>
      <w:tr w:rsidR="003333F1" w:rsidRPr="00BF51BB" w14:paraId="5B3C008D" w14:textId="77777777" w:rsidTr="00BF51BB">
        <w:trPr>
          <w:trHeight w:val="345"/>
        </w:trPr>
        <w:tc>
          <w:tcPr>
            <w:tcW w:w="2810" w:type="pct"/>
            <w:tcBorders>
              <w:top w:val="nil"/>
              <w:left w:val="single" w:sz="8" w:space="0" w:color="4F81BD"/>
              <w:bottom w:val="nil"/>
              <w:right w:val="nil"/>
            </w:tcBorders>
            <w:shd w:val="clear" w:color="auto" w:fill="auto"/>
            <w:noWrap/>
            <w:vAlign w:val="center"/>
            <w:hideMark/>
          </w:tcPr>
          <w:p w14:paraId="576DD537" w14:textId="77777777" w:rsidR="003333F1" w:rsidRPr="00BF51BB" w:rsidRDefault="003333F1" w:rsidP="003333F1">
            <w:pPr>
              <w:spacing w:after="0" w:line="240" w:lineRule="auto"/>
              <w:ind w:firstLineChars="300" w:firstLine="660"/>
              <w:rPr>
                <w:rFonts w:ascii="Arial Narrow" w:eastAsia="Times New Roman" w:hAnsi="Arial Narrow" w:cs="Calibri"/>
              </w:rPr>
            </w:pPr>
            <w:r w:rsidRPr="00BF51BB">
              <w:rPr>
                <w:rFonts w:ascii="Arial Narrow" w:eastAsia="Times New Roman" w:hAnsi="Arial Narrow" w:cs="Calibri"/>
              </w:rPr>
              <w:t>-          Trezorske obveznice FBiH</w:t>
            </w:r>
          </w:p>
        </w:tc>
        <w:tc>
          <w:tcPr>
            <w:tcW w:w="1323" w:type="pct"/>
            <w:tcBorders>
              <w:top w:val="nil"/>
              <w:left w:val="nil"/>
              <w:bottom w:val="nil"/>
              <w:right w:val="nil"/>
            </w:tcBorders>
            <w:shd w:val="clear" w:color="auto" w:fill="auto"/>
            <w:noWrap/>
            <w:vAlign w:val="center"/>
            <w:hideMark/>
          </w:tcPr>
          <w:p w14:paraId="2B9979A5" w14:textId="77777777" w:rsidR="003333F1" w:rsidRPr="00BF51BB" w:rsidRDefault="003333F1" w:rsidP="003333F1">
            <w:pPr>
              <w:spacing w:after="0" w:line="240" w:lineRule="auto"/>
              <w:jc w:val="center"/>
              <w:rPr>
                <w:rFonts w:ascii="Arial Narrow" w:eastAsia="Times New Roman" w:hAnsi="Arial Narrow" w:cs="Calibri"/>
              </w:rPr>
            </w:pPr>
            <w:r w:rsidRPr="00BF51BB">
              <w:rPr>
                <w:rFonts w:ascii="Arial Narrow" w:eastAsia="Times New Roman" w:hAnsi="Arial Narrow" w:cs="Calibri"/>
              </w:rPr>
              <w:t>√</w:t>
            </w:r>
          </w:p>
        </w:tc>
        <w:tc>
          <w:tcPr>
            <w:tcW w:w="867" w:type="pct"/>
            <w:tcBorders>
              <w:top w:val="nil"/>
              <w:left w:val="nil"/>
              <w:bottom w:val="nil"/>
              <w:right w:val="single" w:sz="8" w:space="0" w:color="0070C0"/>
            </w:tcBorders>
            <w:shd w:val="clear" w:color="auto" w:fill="auto"/>
            <w:noWrap/>
            <w:vAlign w:val="center"/>
            <w:hideMark/>
          </w:tcPr>
          <w:p w14:paraId="39DC808A" w14:textId="77777777" w:rsidR="003333F1" w:rsidRPr="00BF51BB" w:rsidRDefault="003333F1" w:rsidP="00BF51BB">
            <w:pPr>
              <w:spacing w:after="0" w:line="240" w:lineRule="auto"/>
              <w:jc w:val="right"/>
              <w:rPr>
                <w:rFonts w:ascii="Arial Narrow" w:eastAsia="Times New Roman" w:hAnsi="Arial Narrow" w:cs="Calibri"/>
              </w:rPr>
            </w:pPr>
            <w:r w:rsidRPr="00BF51BB">
              <w:rPr>
                <w:rFonts w:ascii="Arial Narrow" w:eastAsia="Times New Roman" w:hAnsi="Arial Narrow" w:cs="Calibri"/>
              </w:rPr>
              <w:t>630,00</w:t>
            </w:r>
          </w:p>
        </w:tc>
      </w:tr>
      <w:tr w:rsidR="003333F1" w:rsidRPr="00BF51BB" w14:paraId="06F8B688" w14:textId="77777777" w:rsidTr="00BF51BB">
        <w:trPr>
          <w:trHeight w:val="345"/>
        </w:trPr>
        <w:tc>
          <w:tcPr>
            <w:tcW w:w="2810" w:type="pct"/>
            <w:tcBorders>
              <w:top w:val="nil"/>
              <w:left w:val="single" w:sz="8" w:space="0" w:color="4F81BD"/>
              <w:bottom w:val="single" w:sz="8" w:space="0" w:color="4F81BD"/>
              <w:right w:val="nil"/>
            </w:tcBorders>
            <w:shd w:val="clear" w:color="auto" w:fill="auto"/>
            <w:noWrap/>
            <w:vAlign w:val="center"/>
            <w:hideMark/>
          </w:tcPr>
          <w:p w14:paraId="27EE19EF" w14:textId="77777777" w:rsidR="003333F1" w:rsidRPr="00BF51BB" w:rsidRDefault="003333F1" w:rsidP="003333F1">
            <w:pPr>
              <w:spacing w:after="0" w:line="240" w:lineRule="auto"/>
              <w:ind w:firstLineChars="300" w:firstLine="660"/>
              <w:rPr>
                <w:rFonts w:ascii="Arial Narrow" w:eastAsia="Times New Roman" w:hAnsi="Arial Narrow" w:cs="Calibri"/>
              </w:rPr>
            </w:pPr>
            <w:r w:rsidRPr="00BF51BB">
              <w:rPr>
                <w:rFonts w:ascii="Arial Narrow" w:eastAsia="Times New Roman" w:hAnsi="Arial Narrow" w:cs="Calibri"/>
              </w:rPr>
              <w:t>-          Obveznice za ratna potraživanja (RT)</w:t>
            </w:r>
          </w:p>
        </w:tc>
        <w:tc>
          <w:tcPr>
            <w:tcW w:w="1323" w:type="pct"/>
            <w:tcBorders>
              <w:top w:val="nil"/>
              <w:left w:val="nil"/>
              <w:bottom w:val="single" w:sz="8" w:space="0" w:color="4F81BD"/>
              <w:right w:val="nil"/>
            </w:tcBorders>
            <w:shd w:val="clear" w:color="auto" w:fill="auto"/>
            <w:noWrap/>
            <w:vAlign w:val="center"/>
            <w:hideMark/>
          </w:tcPr>
          <w:p w14:paraId="7465B133" w14:textId="77777777" w:rsidR="003333F1" w:rsidRPr="00BF51BB" w:rsidRDefault="003333F1" w:rsidP="003333F1">
            <w:pPr>
              <w:spacing w:after="0" w:line="240" w:lineRule="auto"/>
              <w:jc w:val="center"/>
              <w:rPr>
                <w:rFonts w:ascii="Arial Narrow" w:eastAsia="Times New Roman" w:hAnsi="Arial Narrow" w:cs="Calibri"/>
              </w:rPr>
            </w:pPr>
            <w:r w:rsidRPr="00BF51BB">
              <w:rPr>
                <w:rFonts w:ascii="Arial Narrow" w:eastAsia="Times New Roman" w:hAnsi="Arial Narrow" w:cs="Calibri"/>
              </w:rPr>
              <w:t>√</w:t>
            </w:r>
          </w:p>
        </w:tc>
        <w:tc>
          <w:tcPr>
            <w:tcW w:w="867" w:type="pct"/>
            <w:tcBorders>
              <w:top w:val="nil"/>
              <w:left w:val="nil"/>
              <w:bottom w:val="single" w:sz="8" w:space="0" w:color="0070C0"/>
              <w:right w:val="single" w:sz="8" w:space="0" w:color="0070C0"/>
            </w:tcBorders>
            <w:shd w:val="clear" w:color="auto" w:fill="auto"/>
            <w:noWrap/>
            <w:vAlign w:val="center"/>
            <w:hideMark/>
          </w:tcPr>
          <w:p w14:paraId="7C4BE763" w14:textId="77777777" w:rsidR="003333F1" w:rsidRPr="00BF51BB" w:rsidRDefault="003333F1" w:rsidP="00BF51BB">
            <w:pPr>
              <w:spacing w:after="0" w:line="240" w:lineRule="auto"/>
              <w:jc w:val="right"/>
              <w:rPr>
                <w:rFonts w:ascii="Arial Narrow" w:eastAsia="Times New Roman" w:hAnsi="Arial Narrow" w:cs="Calibri"/>
              </w:rPr>
            </w:pPr>
            <w:r w:rsidRPr="00BF51BB">
              <w:rPr>
                <w:rFonts w:ascii="Arial Narrow" w:eastAsia="Times New Roman" w:hAnsi="Arial Narrow" w:cs="Calibri"/>
              </w:rPr>
              <w:t>74,27</w:t>
            </w:r>
          </w:p>
        </w:tc>
      </w:tr>
    </w:tbl>
    <w:p w14:paraId="07EF9D94" w14:textId="77777777" w:rsidR="008A373E" w:rsidRPr="00BF51BB" w:rsidRDefault="008A373E" w:rsidP="008A373E">
      <w:pPr>
        <w:pStyle w:val="NoSpacing"/>
        <w:spacing w:line="276" w:lineRule="auto"/>
        <w:ind w:left="1288"/>
        <w:jc w:val="both"/>
        <w:rPr>
          <w:rFonts w:ascii="Arial" w:hAnsi="Arial" w:cs="Arial"/>
          <w:szCs w:val="24"/>
          <w:lang w:val="hr-HR"/>
        </w:rPr>
      </w:pPr>
    </w:p>
    <w:p w14:paraId="13C424EC" w14:textId="77777777" w:rsidR="001A19A4" w:rsidRPr="00BF51BB" w:rsidRDefault="001A19A4" w:rsidP="00BF51BB">
      <w:pPr>
        <w:pStyle w:val="Heading3"/>
        <w:spacing w:before="0" w:line="240" w:lineRule="auto"/>
        <w:ind w:left="1288"/>
        <w:rPr>
          <w:sz w:val="20"/>
        </w:rPr>
      </w:pPr>
    </w:p>
    <w:p w14:paraId="6B6F2475" w14:textId="77777777" w:rsidR="00F658B3" w:rsidRPr="00BF51BB" w:rsidRDefault="00F658B3" w:rsidP="00EA7C7A">
      <w:pPr>
        <w:pStyle w:val="Heading3"/>
        <w:numPr>
          <w:ilvl w:val="2"/>
          <w:numId w:val="10"/>
        </w:numPr>
        <w:spacing w:before="0" w:line="240" w:lineRule="auto"/>
        <w:rPr>
          <w:sz w:val="20"/>
        </w:rPr>
      </w:pPr>
      <w:bookmarkStart w:id="87" w:name="_Toc101781034"/>
      <w:r w:rsidRPr="00BF51BB">
        <w:rPr>
          <w:rFonts w:ascii="Arial" w:hAnsi="Arial" w:cs="Arial"/>
          <w:b w:val="0"/>
          <w:color w:val="auto"/>
        </w:rPr>
        <w:t xml:space="preserve">Kamatna struktura unutrašnjeg duga </w:t>
      </w:r>
      <w:r w:rsidR="00B22862" w:rsidRPr="00BF51BB">
        <w:rPr>
          <w:rFonts w:ascii="Arial" w:hAnsi="Arial" w:cs="Arial"/>
          <w:b w:val="0"/>
          <w:color w:val="auto"/>
        </w:rPr>
        <w:t>F</w:t>
      </w:r>
      <w:r w:rsidR="00A5324C" w:rsidRPr="00BF51BB">
        <w:rPr>
          <w:rFonts w:ascii="Arial" w:hAnsi="Arial" w:cs="Arial"/>
          <w:b w:val="0"/>
          <w:color w:val="auto"/>
        </w:rPr>
        <w:t xml:space="preserve">ederacije </w:t>
      </w:r>
      <w:r w:rsidR="00B22862" w:rsidRPr="00BF51BB">
        <w:rPr>
          <w:rFonts w:ascii="Arial" w:hAnsi="Arial" w:cs="Arial"/>
          <w:b w:val="0"/>
          <w:color w:val="auto"/>
        </w:rPr>
        <w:t>BiH</w:t>
      </w:r>
      <w:bookmarkEnd w:id="87"/>
    </w:p>
    <w:p w14:paraId="21D68DCC" w14:textId="77777777" w:rsidR="00F17AD0" w:rsidRPr="00BF51BB" w:rsidRDefault="00F17AD0" w:rsidP="00F17AD0">
      <w:pPr>
        <w:pStyle w:val="NoSpacing"/>
        <w:spacing w:line="276" w:lineRule="auto"/>
        <w:ind w:left="1288"/>
        <w:jc w:val="both"/>
        <w:rPr>
          <w:rFonts w:ascii="Arial" w:hAnsi="Arial" w:cs="Arial"/>
          <w:sz w:val="20"/>
          <w:szCs w:val="24"/>
          <w:lang w:val="hr-HR"/>
        </w:rPr>
      </w:pPr>
    </w:p>
    <w:p w14:paraId="66D42986" w14:textId="77777777" w:rsidR="00783C27" w:rsidRPr="00BF51BB" w:rsidRDefault="00ED768D" w:rsidP="00D912D1">
      <w:pPr>
        <w:spacing w:after="0" w:line="240" w:lineRule="auto"/>
        <w:jc w:val="both"/>
        <w:rPr>
          <w:rFonts w:ascii="Arial" w:hAnsi="Arial" w:cs="Arial"/>
          <w:szCs w:val="24"/>
        </w:rPr>
      </w:pPr>
      <w:r w:rsidRPr="00BF51BB">
        <w:rPr>
          <w:rFonts w:ascii="Arial" w:hAnsi="Arial" w:cs="Arial"/>
          <w:szCs w:val="24"/>
        </w:rPr>
        <w:t xml:space="preserve">Slika </w:t>
      </w:r>
      <w:r w:rsidR="00D15D03" w:rsidRPr="00BF51BB">
        <w:rPr>
          <w:rFonts w:ascii="Arial" w:hAnsi="Arial" w:cs="Arial"/>
          <w:szCs w:val="24"/>
        </w:rPr>
        <w:t>4</w:t>
      </w:r>
      <w:r w:rsidRPr="00BF51BB">
        <w:rPr>
          <w:rFonts w:ascii="Arial" w:hAnsi="Arial" w:cs="Arial"/>
          <w:szCs w:val="24"/>
        </w:rPr>
        <w:t xml:space="preserve">. Struktura unutrašnjeg duga </w:t>
      </w:r>
      <w:r w:rsidR="00C235EB" w:rsidRPr="00BF51BB">
        <w:rPr>
          <w:rFonts w:ascii="Arial" w:hAnsi="Arial" w:cs="Arial"/>
          <w:szCs w:val="24"/>
        </w:rPr>
        <w:t>F</w:t>
      </w:r>
      <w:r w:rsidR="00A5324C" w:rsidRPr="00BF51BB">
        <w:rPr>
          <w:rFonts w:ascii="Arial" w:hAnsi="Arial" w:cs="Arial"/>
          <w:szCs w:val="24"/>
        </w:rPr>
        <w:t xml:space="preserve">ederacije </w:t>
      </w:r>
      <w:r w:rsidR="00C235EB" w:rsidRPr="00BF51BB">
        <w:rPr>
          <w:rFonts w:ascii="Arial" w:hAnsi="Arial" w:cs="Arial"/>
          <w:szCs w:val="24"/>
        </w:rPr>
        <w:t xml:space="preserve">BiH </w:t>
      </w:r>
      <w:r w:rsidR="00692DE1" w:rsidRPr="00BF51BB">
        <w:rPr>
          <w:rFonts w:ascii="Arial" w:hAnsi="Arial" w:cs="Arial"/>
          <w:szCs w:val="24"/>
        </w:rPr>
        <w:t>po visini kamatne stope</w:t>
      </w:r>
      <w:r w:rsidRPr="00BF51BB">
        <w:rPr>
          <w:rFonts w:ascii="Arial" w:hAnsi="Arial" w:cs="Arial"/>
          <w:szCs w:val="24"/>
        </w:rPr>
        <w:t xml:space="preserve"> </w:t>
      </w:r>
      <w:r w:rsidR="00D15D03" w:rsidRPr="00BF51BB">
        <w:rPr>
          <w:rFonts w:ascii="Arial" w:hAnsi="Arial" w:cs="Arial"/>
          <w:szCs w:val="24"/>
        </w:rPr>
        <w:t xml:space="preserve">                                       </w:t>
      </w:r>
      <w:r w:rsidR="00447D77" w:rsidRPr="00BF51BB">
        <w:rPr>
          <w:rFonts w:ascii="Arial" w:hAnsi="Arial" w:cs="Arial"/>
          <w:szCs w:val="24"/>
        </w:rPr>
        <w:t xml:space="preserve">           </w:t>
      </w:r>
      <w:r w:rsidR="00C235EB" w:rsidRPr="00BF51BB">
        <w:rPr>
          <w:rFonts w:ascii="Arial" w:hAnsi="Arial" w:cs="Arial"/>
          <w:szCs w:val="24"/>
        </w:rPr>
        <w:t xml:space="preserve">                                                                 </w:t>
      </w:r>
      <w:r w:rsidR="00447D77" w:rsidRPr="00BF51BB">
        <w:rPr>
          <w:rFonts w:ascii="Arial" w:hAnsi="Arial" w:cs="Arial"/>
          <w:szCs w:val="24"/>
        </w:rPr>
        <w:t xml:space="preserve">  </w:t>
      </w:r>
      <w:r w:rsidR="0072405A" w:rsidRPr="00BF51BB">
        <w:rPr>
          <w:rFonts w:ascii="Arial" w:hAnsi="Arial" w:cs="Arial"/>
          <w:szCs w:val="24"/>
        </w:rPr>
        <w:t xml:space="preserve"> (</w:t>
      </w:r>
      <w:r w:rsidR="00E672EB" w:rsidRPr="00BF51BB">
        <w:rPr>
          <w:rFonts w:ascii="Arial" w:hAnsi="Arial" w:cs="Arial"/>
          <w:szCs w:val="24"/>
        </w:rPr>
        <w:t>KM</w:t>
      </w:r>
      <w:r w:rsidR="0072405A" w:rsidRPr="00BF51BB">
        <w:rPr>
          <w:rFonts w:ascii="Arial" w:hAnsi="Arial" w:cs="Arial"/>
          <w:szCs w:val="24"/>
        </w:rPr>
        <w:t>)</w:t>
      </w:r>
      <w:r w:rsidR="00D15D03" w:rsidRPr="00BF51BB">
        <w:rPr>
          <w:rFonts w:ascii="Arial" w:hAnsi="Arial" w:cs="Arial"/>
          <w:szCs w:val="24"/>
        </w:rPr>
        <w:t xml:space="preserve"> </w:t>
      </w:r>
      <w:r w:rsidRPr="00BF51BB">
        <w:rPr>
          <w:rFonts w:ascii="Arial" w:hAnsi="Arial" w:cs="Arial"/>
          <w:szCs w:val="24"/>
        </w:rPr>
        <w:t xml:space="preserve"> </w:t>
      </w:r>
    </w:p>
    <w:p w14:paraId="58DFBAE6" w14:textId="77777777" w:rsidR="0009242F" w:rsidRPr="00BF51BB" w:rsidRDefault="0009242F" w:rsidP="00D912D1">
      <w:pPr>
        <w:spacing w:after="0" w:line="240" w:lineRule="auto"/>
        <w:jc w:val="both"/>
        <w:rPr>
          <w:rFonts w:ascii="Arial" w:hAnsi="Arial" w:cs="Arial"/>
          <w:szCs w:val="24"/>
        </w:rPr>
      </w:pPr>
    </w:p>
    <w:p w14:paraId="1A11EB30" w14:textId="1A0259EC" w:rsidR="0009242F" w:rsidRPr="00BF51BB" w:rsidRDefault="0009242F" w:rsidP="00D912D1">
      <w:pPr>
        <w:spacing w:after="0" w:line="240" w:lineRule="auto"/>
        <w:jc w:val="both"/>
        <w:rPr>
          <w:rFonts w:ascii="Arial" w:hAnsi="Arial" w:cs="Arial"/>
          <w:szCs w:val="24"/>
        </w:rPr>
      </w:pPr>
      <w:r w:rsidRPr="00BF51BB">
        <w:rPr>
          <w:noProof/>
          <w:lang w:val="en-US"/>
        </w:rPr>
        <w:drawing>
          <wp:inline distT="0" distB="0" distL="0" distR="0" wp14:anchorId="6740666F" wp14:editId="204E81D2">
            <wp:extent cx="5915025" cy="2004695"/>
            <wp:effectExtent l="0" t="0" r="9525" b="14605"/>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DF70C2" w14:textId="1DF5BCDE" w:rsidR="00783C27" w:rsidRPr="00BF51BB" w:rsidRDefault="00783C27" w:rsidP="00BF51BB">
      <w:pPr>
        <w:spacing w:after="0" w:line="240" w:lineRule="auto"/>
        <w:jc w:val="center"/>
        <w:rPr>
          <w:rFonts w:ascii="Arial" w:hAnsi="Arial" w:cs="Arial"/>
          <w:szCs w:val="24"/>
        </w:rPr>
      </w:pPr>
    </w:p>
    <w:p w14:paraId="5979AAE0" w14:textId="77777777" w:rsidR="00CC15D4" w:rsidRDefault="00ED768D" w:rsidP="00ED768D">
      <w:pPr>
        <w:spacing w:after="0" w:line="240" w:lineRule="auto"/>
        <w:jc w:val="both"/>
        <w:rPr>
          <w:rFonts w:ascii="Arial" w:hAnsi="Arial" w:cs="Arial"/>
          <w:szCs w:val="24"/>
        </w:rPr>
      </w:pPr>
      <w:r w:rsidRPr="00BF51BB">
        <w:rPr>
          <w:rFonts w:ascii="Arial" w:hAnsi="Arial" w:cs="Arial"/>
          <w:szCs w:val="24"/>
        </w:rPr>
        <w:t xml:space="preserve">    </w:t>
      </w:r>
    </w:p>
    <w:p w14:paraId="1455E7C0" w14:textId="4CB867F9" w:rsidR="00ED768D" w:rsidRPr="00CC15D4" w:rsidRDefault="00ED768D" w:rsidP="00ED768D">
      <w:pPr>
        <w:spacing w:after="0" w:line="240" w:lineRule="auto"/>
        <w:jc w:val="both"/>
        <w:rPr>
          <w:rFonts w:ascii="Arial" w:hAnsi="Arial" w:cs="Arial"/>
          <w:szCs w:val="24"/>
        </w:rPr>
      </w:pPr>
      <w:r w:rsidRPr="00BF51BB">
        <w:rPr>
          <w:rFonts w:ascii="Arial" w:hAnsi="Arial" w:cs="Arial"/>
          <w:sz w:val="24"/>
          <w:szCs w:val="24"/>
        </w:rPr>
        <w:t xml:space="preserve">                                           </w:t>
      </w:r>
    </w:p>
    <w:p w14:paraId="5203072F" w14:textId="09152498" w:rsidR="00ED768D" w:rsidRPr="00BF51BB" w:rsidRDefault="00ED768D" w:rsidP="004728CB">
      <w:pPr>
        <w:pStyle w:val="Heading1"/>
        <w:numPr>
          <w:ilvl w:val="0"/>
          <w:numId w:val="10"/>
        </w:numPr>
        <w:spacing w:before="0" w:line="240" w:lineRule="auto"/>
        <w:rPr>
          <w:rFonts w:ascii="Arial" w:hAnsi="Arial" w:cs="Arial"/>
          <w:b w:val="0"/>
          <w:color w:val="auto"/>
          <w:sz w:val="24"/>
        </w:rPr>
      </w:pPr>
      <w:bookmarkStart w:id="88" w:name="_Toc100582019"/>
      <w:bookmarkStart w:id="89" w:name="_Toc100654509"/>
      <w:bookmarkStart w:id="90" w:name="_Toc100667322"/>
      <w:bookmarkStart w:id="91" w:name="_Toc100751747"/>
      <w:bookmarkStart w:id="92" w:name="_Toc100754204"/>
      <w:bookmarkStart w:id="93" w:name="_Toc100754648"/>
      <w:bookmarkStart w:id="94" w:name="_Toc100755040"/>
      <w:bookmarkStart w:id="95" w:name="_Toc100818771"/>
      <w:bookmarkStart w:id="96" w:name="_Toc100820477"/>
      <w:bookmarkStart w:id="97" w:name="_Toc100822765"/>
      <w:bookmarkStart w:id="98" w:name="_Toc100823304"/>
      <w:bookmarkStart w:id="99" w:name="_Toc100823747"/>
      <w:bookmarkStart w:id="100" w:name="_Toc101781035"/>
      <w:bookmarkEnd w:id="88"/>
      <w:bookmarkEnd w:id="89"/>
      <w:bookmarkEnd w:id="90"/>
      <w:bookmarkEnd w:id="91"/>
      <w:bookmarkEnd w:id="92"/>
      <w:bookmarkEnd w:id="93"/>
      <w:bookmarkEnd w:id="94"/>
      <w:bookmarkEnd w:id="95"/>
      <w:bookmarkEnd w:id="96"/>
      <w:bookmarkEnd w:id="97"/>
      <w:bookmarkEnd w:id="98"/>
      <w:bookmarkEnd w:id="99"/>
      <w:r w:rsidRPr="00BF51BB">
        <w:rPr>
          <w:rFonts w:ascii="Arial" w:hAnsi="Arial" w:cs="Arial"/>
          <w:b w:val="0"/>
          <w:color w:val="auto"/>
          <w:sz w:val="24"/>
        </w:rPr>
        <w:t>RIZICI PORTFOLIJA DUGA F</w:t>
      </w:r>
      <w:r w:rsidR="00A5324C" w:rsidRPr="00BF51BB">
        <w:rPr>
          <w:rFonts w:ascii="Arial" w:hAnsi="Arial" w:cs="Arial"/>
          <w:b w:val="0"/>
          <w:color w:val="auto"/>
          <w:sz w:val="24"/>
        </w:rPr>
        <w:t xml:space="preserve">EDERACIJE </w:t>
      </w:r>
      <w:r w:rsidRPr="00BF51BB">
        <w:rPr>
          <w:rFonts w:ascii="Arial" w:hAnsi="Arial" w:cs="Arial"/>
          <w:b w:val="0"/>
          <w:color w:val="auto"/>
          <w:sz w:val="24"/>
        </w:rPr>
        <w:t>BiH</w:t>
      </w:r>
      <w:bookmarkEnd w:id="100"/>
    </w:p>
    <w:p w14:paraId="593777B4" w14:textId="77777777" w:rsidR="005D321E" w:rsidRPr="00BF51BB" w:rsidRDefault="005D321E" w:rsidP="005D321E">
      <w:pPr>
        <w:pStyle w:val="Heading2"/>
        <w:spacing w:before="0"/>
        <w:ind w:left="1004"/>
        <w:rPr>
          <w:rFonts w:ascii="Arial" w:hAnsi="Arial" w:cs="Arial"/>
          <w:b w:val="0"/>
          <w:color w:val="auto"/>
        </w:rPr>
      </w:pPr>
    </w:p>
    <w:p w14:paraId="3FF8283B" w14:textId="77777777" w:rsidR="00ED768D" w:rsidRPr="00BF51BB" w:rsidRDefault="00ED768D" w:rsidP="004728CB">
      <w:pPr>
        <w:pStyle w:val="Heading2"/>
        <w:numPr>
          <w:ilvl w:val="1"/>
          <w:numId w:val="10"/>
        </w:numPr>
        <w:spacing w:before="0"/>
        <w:rPr>
          <w:rFonts w:ascii="Arial" w:hAnsi="Arial" w:cs="Arial"/>
          <w:b w:val="0"/>
          <w:color w:val="auto"/>
          <w:sz w:val="24"/>
        </w:rPr>
      </w:pPr>
      <w:bookmarkStart w:id="101" w:name="_Toc101781036"/>
      <w:r w:rsidRPr="00BF51BB">
        <w:rPr>
          <w:rFonts w:ascii="Arial" w:hAnsi="Arial" w:cs="Arial"/>
          <w:b w:val="0"/>
          <w:color w:val="auto"/>
          <w:sz w:val="24"/>
        </w:rPr>
        <w:t>Karakteristike troškova i rizika portfolija duga F</w:t>
      </w:r>
      <w:r w:rsidR="00A5324C" w:rsidRPr="00BF51BB">
        <w:rPr>
          <w:rFonts w:ascii="Arial" w:hAnsi="Arial" w:cs="Arial"/>
          <w:b w:val="0"/>
          <w:color w:val="auto"/>
          <w:sz w:val="24"/>
        </w:rPr>
        <w:t xml:space="preserve">ederacije </w:t>
      </w:r>
      <w:r w:rsidRPr="00BF51BB">
        <w:rPr>
          <w:rFonts w:ascii="Arial" w:hAnsi="Arial" w:cs="Arial"/>
          <w:b w:val="0"/>
          <w:color w:val="auto"/>
          <w:sz w:val="24"/>
        </w:rPr>
        <w:t>BiH</w:t>
      </w:r>
      <w:bookmarkEnd w:id="101"/>
    </w:p>
    <w:p w14:paraId="2E2C323B" w14:textId="77777777" w:rsidR="00ED768D" w:rsidRPr="00BF51BB" w:rsidRDefault="00ED768D" w:rsidP="00ED768D">
      <w:pPr>
        <w:pStyle w:val="ParagraphNumbering"/>
        <w:keepNext/>
        <w:numPr>
          <w:ilvl w:val="0"/>
          <w:numId w:val="0"/>
        </w:numPr>
        <w:tabs>
          <w:tab w:val="num" w:pos="3600"/>
        </w:tabs>
        <w:spacing w:after="0" w:line="276" w:lineRule="auto"/>
        <w:jc w:val="both"/>
        <w:rPr>
          <w:rFonts w:ascii="Arial" w:hAnsi="Arial" w:cs="Arial"/>
        </w:rPr>
      </w:pPr>
    </w:p>
    <w:p w14:paraId="5835511C" w14:textId="0CBFAEE1" w:rsidR="004728CB" w:rsidRPr="00BF51BB" w:rsidRDefault="007A2F27" w:rsidP="002C1F91">
      <w:pPr>
        <w:pStyle w:val="ParagraphNumbering"/>
        <w:keepNext/>
        <w:numPr>
          <w:ilvl w:val="0"/>
          <w:numId w:val="0"/>
        </w:numPr>
        <w:spacing w:after="0" w:line="276" w:lineRule="auto"/>
        <w:ind w:right="-23" w:firstLine="284"/>
        <w:jc w:val="both"/>
        <w:rPr>
          <w:rFonts w:ascii="Arial" w:hAnsi="Arial" w:cs="Arial"/>
          <w:sz w:val="22"/>
        </w:rPr>
      </w:pPr>
      <w:r w:rsidRPr="00BF51BB">
        <w:rPr>
          <w:rFonts w:ascii="Arial" w:hAnsi="Arial" w:cs="Arial"/>
          <w:sz w:val="22"/>
        </w:rPr>
        <w:t>Prosječna ponderisana implicitna kamatna stopa</w:t>
      </w:r>
      <w:r w:rsidR="001A19A4" w:rsidRPr="00BF51BB">
        <w:rPr>
          <w:rFonts w:ascii="Arial" w:hAnsi="Arial" w:cs="Arial"/>
          <w:sz w:val="22"/>
        </w:rPr>
        <w:t xml:space="preserve"> ukupnog</w:t>
      </w:r>
      <w:r w:rsidRPr="00BF51BB">
        <w:rPr>
          <w:rFonts w:ascii="Arial" w:hAnsi="Arial" w:cs="Arial"/>
          <w:sz w:val="22"/>
        </w:rPr>
        <w:t xml:space="preserve"> p</w:t>
      </w:r>
      <w:r w:rsidR="00885002" w:rsidRPr="00BF51BB">
        <w:rPr>
          <w:rFonts w:ascii="Arial" w:hAnsi="Arial" w:cs="Arial"/>
          <w:sz w:val="22"/>
        </w:rPr>
        <w:t>ortfoli</w:t>
      </w:r>
      <w:r w:rsidRPr="00BF51BB">
        <w:rPr>
          <w:rFonts w:ascii="Arial" w:hAnsi="Arial" w:cs="Arial"/>
          <w:sz w:val="22"/>
        </w:rPr>
        <w:t>ja</w:t>
      </w:r>
      <w:r w:rsidR="00885002" w:rsidRPr="00BF51BB">
        <w:rPr>
          <w:rFonts w:ascii="Arial" w:hAnsi="Arial" w:cs="Arial"/>
          <w:sz w:val="22"/>
        </w:rPr>
        <w:t xml:space="preserve"> duga</w:t>
      </w:r>
      <w:r w:rsidR="00A5324C" w:rsidRPr="00BF51BB">
        <w:rPr>
          <w:rFonts w:ascii="Arial" w:hAnsi="Arial" w:cs="Arial"/>
          <w:sz w:val="22"/>
        </w:rPr>
        <w:t xml:space="preserve"> Federacije BiH</w:t>
      </w:r>
      <w:r w:rsidRPr="00BF51BB">
        <w:rPr>
          <w:rFonts w:ascii="Arial" w:hAnsi="Arial" w:cs="Arial"/>
          <w:sz w:val="22"/>
        </w:rPr>
        <w:t xml:space="preserve"> relativno je niska i iznosi</w:t>
      </w:r>
      <w:r w:rsidR="00885002" w:rsidRPr="00BF51BB">
        <w:rPr>
          <w:rFonts w:ascii="Arial" w:hAnsi="Arial" w:cs="Arial"/>
          <w:sz w:val="22"/>
        </w:rPr>
        <w:t xml:space="preserve"> </w:t>
      </w:r>
      <w:r w:rsidR="003F1067" w:rsidRPr="00BF51BB">
        <w:rPr>
          <w:rFonts w:ascii="Arial" w:hAnsi="Arial" w:cs="Arial"/>
          <w:sz w:val="22"/>
        </w:rPr>
        <w:t>1,</w:t>
      </w:r>
      <w:r w:rsidR="00067161" w:rsidRPr="00BF51BB">
        <w:rPr>
          <w:rFonts w:ascii="Arial" w:hAnsi="Arial" w:cs="Arial"/>
          <w:sz w:val="22"/>
        </w:rPr>
        <w:t>25</w:t>
      </w:r>
      <w:r w:rsidR="00885002" w:rsidRPr="00BF51BB">
        <w:rPr>
          <w:rFonts w:ascii="Arial" w:hAnsi="Arial" w:cs="Arial"/>
          <w:sz w:val="22"/>
        </w:rPr>
        <w:t>%</w:t>
      </w:r>
      <w:r w:rsidR="001A19A4" w:rsidRPr="00BF51BB">
        <w:rPr>
          <w:rFonts w:ascii="Arial" w:hAnsi="Arial" w:cs="Arial"/>
          <w:sz w:val="22"/>
        </w:rPr>
        <w:t>,</w:t>
      </w:r>
      <w:r w:rsidR="0012277F" w:rsidRPr="00BF51BB">
        <w:rPr>
          <w:rFonts w:ascii="Arial" w:hAnsi="Arial" w:cs="Arial"/>
          <w:sz w:val="22"/>
        </w:rPr>
        <w:t xml:space="preserve"> </w:t>
      </w:r>
      <w:r w:rsidRPr="00BF51BB">
        <w:rPr>
          <w:rFonts w:ascii="Arial" w:hAnsi="Arial" w:cs="Arial"/>
          <w:sz w:val="22"/>
        </w:rPr>
        <w:t>a</w:t>
      </w:r>
      <w:r w:rsidR="00DB64F9" w:rsidRPr="00BF51BB">
        <w:rPr>
          <w:rFonts w:ascii="Arial" w:hAnsi="Arial" w:cs="Arial"/>
          <w:sz w:val="22"/>
        </w:rPr>
        <w:t xml:space="preserve"> rezultat </w:t>
      </w:r>
      <w:r w:rsidRPr="00BF51BB">
        <w:rPr>
          <w:rFonts w:ascii="Arial" w:hAnsi="Arial" w:cs="Arial"/>
          <w:sz w:val="22"/>
        </w:rPr>
        <w:t xml:space="preserve">je </w:t>
      </w:r>
      <w:r w:rsidR="00885002" w:rsidRPr="00BF51BB">
        <w:rPr>
          <w:rFonts w:ascii="Arial" w:hAnsi="Arial" w:cs="Arial"/>
          <w:sz w:val="22"/>
        </w:rPr>
        <w:t xml:space="preserve">omjera obveznica </w:t>
      </w:r>
      <w:r w:rsidR="00A5324C" w:rsidRPr="00BF51BB">
        <w:rPr>
          <w:rFonts w:ascii="Arial" w:hAnsi="Arial" w:cs="Arial"/>
          <w:sz w:val="22"/>
        </w:rPr>
        <w:t xml:space="preserve">emitovanih za </w:t>
      </w:r>
      <w:r w:rsidR="0012277F" w:rsidRPr="00BF51BB">
        <w:rPr>
          <w:rFonts w:ascii="Arial" w:hAnsi="Arial" w:cs="Arial"/>
          <w:sz w:val="22"/>
        </w:rPr>
        <w:t>iz</w:t>
      </w:r>
      <w:r w:rsidR="00DD6EF3" w:rsidRPr="00BF51BB">
        <w:rPr>
          <w:rFonts w:ascii="Arial" w:hAnsi="Arial" w:cs="Arial"/>
          <w:sz w:val="22"/>
        </w:rPr>
        <w:t>m</w:t>
      </w:r>
      <w:r w:rsidR="0012277F" w:rsidRPr="00BF51BB">
        <w:rPr>
          <w:rFonts w:ascii="Arial" w:hAnsi="Arial" w:cs="Arial"/>
          <w:sz w:val="22"/>
        </w:rPr>
        <w:t>irenj</w:t>
      </w:r>
      <w:r w:rsidR="00A5324C" w:rsidRPr="00BF51BB">
        <w:rPr>
          <w:rFonts w:ascii="Arial" w:hAnsi="Arial" w:cs="Arial"/>
          <w:sz w:val="22"/>
        </w:rPr>
        <w:t>e</w:t>
      </w:r>
      <w:r w:rsidR="0012277F" w:rsidRPr="00BF51BB">
        <w:rPr>
          <w:rFonts w:ascii="Arial" w:hAnsi="Arial" w:cs="Arial"/>
          <w:sz w:val="22"/>
        </w:rPr>
        <w:t xml:space="preserve"> obaveza po osnovu </w:t>
      </w:r>
      <w:r w:rsidR="00885002" w:rsidRPr="00BF51BB">
        <w:rPr>
          <w:rFonts w:ascii="Arial" w:hAnsi="Arial" w:cs="Arial"/>
          <w:sz w:val="22"/>
        </w:rPr>
        <w:t>ratn</w:t>
      </w:r>
      <w:r w:rsidR="00FA368E" w:rsidRPr="00BF51BB">
        <w:rPr>
          <w:rFonts w:ascii="Arial" w:hAnsi="Arial" w:cs="Arial"/>
          <w:sz w:val="22"/>
        </w:rPr>
        <w:t>ih</w:t>
      </w:r>
      <w:r w:rsidR="00885002" w:rsidRPr="00BF51BB">
        <w:rPr>
          <w:rFonts w:ascii="Arial" w:hAnsi="Arial" w:cs="Arial"/>
          <w:sz w:val="22"/>
        </w:rPr>
        <w:t xml:space="preserve"> potraživanja</w:t>
      </w:r>
      <w:r w:rsidR="00A5324C" w:rsidRPr="00BF51BB">
        <w:rPr>
          <w:rFonts w:ascii="Arial" w:hAnsi="Arial" w:cs="Arial"/>
          <w:sz w:val="22"/>
        </w:rPr>
        <w:t xml:space="preserve"> koje imaju zakonom određenu kamatnu stopu 2,5%</w:t>
      </w:r>
      <w:r w:rsidR="003631ED" w:rsidRPr="00BF51BB">
        <w:rPr>
          <w:rFonts w:ascii="Arial" w:hAnsi="Arial" w:cs="Arial"/>
          <w:sz w:val="22"/>
        </w:rPr>
        <w:t xml:space="preserve"> </w:t>
      </w:r>
      <w:r w:rsidR="00A5324C" w:rsidRPr="00BF51BB">
        <w:rPr>
          <w:rFonts w:ascii="Arial" w:hAnsi="Arial" w:cs="Arial"/>
          <w:sz w:val="22"/>
        </w:rPr>
        <w:t>(</w:t>
      </w:r>
      <w:r w:rsidR="00067161" w:rsidRPr="00BF51BB">
        <w:rPr>
          <w:rFonts w:ascii="Arial" w:hAnsi="Arial" w:cs="Arial"/>
          <w:sz w:val="22"/>
        </w:rPr>
        <w:t>74,28</w:t>
      </w:r>
      <w:r w:rsidR="00885002" w:rsidRPr="00BF51BB">
        <w:rPr>
          <w:rFonts w:ascii="Arial" w:hAnsi="Arial" w:cs="Arial"/>
          <w:sz w:val="22"/>
        </w:rPr>
        <w:t xml:space="preserve"> </w:t>
      </w:r>
      <w:r w:rsidR="00E672EB" w:rsidRPr="00BF51BB">
        <w:rPr>
          <w:rFonts w:ascii="Arial" w:hAnsi="Arial" w:cs="Arial"/>
          <w:sz w:val="22"/>
        </w:rPr>
        <w:t>mil.</w:t>
      </w:r>
      <w:r w:rsidR="00741FF9" w:rsidRPr="00BF51BB">
        <w:rPr>
          <w:rFonts w:ascii="Arial" w:hAnsi="Arial" w:cs="Arial"/>
          <w:sz w:val="22"/>
        </w:rPr>
        <w:t xml:space="preserve"> </w:t>
      </w:r>
      <w:r w:rsidR="00E672EB" w:rsidRPr="00BF51BB">
        <w:rPr>
          <w:rFonts w:ascii="Arial" w:hAnsi="Arial" w:cs="Arial"/>
          <w:sz w:val="22"/>
        </w:rPr>
        <w:t>KM</w:t>
      </w:r>
      <w:r w:rsidR="00A5324C" w:rsidRPr="00BF51BB">
        <w:rPr>
          <w:rFonts w:ascii="Arial" w:hAnsi="Arial" w:cs="Arial"/>
          <w:sz w:val="22"/>
        </w:rPr>
        <w:t>)</w:t>
      </w:r>
      <w:r w:rsidR="00885002" w:rsidRPr="00BF51BB">
        <w:rPr>
          <w:rFonts w:ascii="Arial" w:hAnsi="Arial" w:cs="Arial"/>
          <w:sz w:val="22"/>
        </w:rPr>
        <w:t xml:space="preserve"> i tržišnih</w:t>
      </w:r>
      <w:r w:rsidR="001A19A4" w:rsidRPr="00BF51BB">
        <w:rPr>
          <w:rFonts w:ascii="Arial" w:hAnsi="Arial" w:cs="Arial"/>
          <w:sz w:val="22"/>
        </w:rPr>
        <w:t xml:space="preserve"> kratkoročnih i</w:t>
      </w:r>
      <w:r w:rsidR="00885002" w:rsidRPr="00BF51BB">
        <w:rPr>
          <w:rFonts w:ascii="Arial" w:hAnsi="Arial" w:cs="Arial"/>
          <w:sz w:val="22"/>
        </w:rPr>
        <w:t xml:space="preserve"> dugoročnih vrijednosnih papira u obliku </w:t>
      </w:r>
      <w:r w:rsidR="0047387A" w:rsidRPr="00BF51BB">
        <w:rPr>
          <w:rFonts w:ascii="Arial" w:hAnsi="Arial" w:cs="Arial"/>
          <w:sz w:val="22"/>
        </w:rPr>
        <w:t>obveznica</w:t>
      </w:r>
      <w:r w:rsidR="00885002" w:rsidRPr="00BF51BB">
        <w:rPr>
          <w:rFonts w:ascii="Arial" w:hAnsi="Arial" w:cs="Arial"/>
          <w:sz w:val="22"/>
        </w:rPr>
        <w:t xml:space="preserve"> </w:t>
      </w:r>
      <w:r w:rsidR="00A5324C" w:rsidRPr="00BF51BB">
        <w:rPr>
          <w:rFonts w:ascii="Arial" w:hAnsi="Arial" w:cs="Arial"/>
          <w:sz w:val="22"/>
        </w:rPr>
        <w:t>(</w:t>
      </w:r>
      <w:r w:rsidR="00067161" w:rsidRPr="00BF51BB">
        <w:rPr>
          <w:rFonts w:ascii="Arial" w:hAnsi="Arial" w:cs="Arial"/>
          <w:sz w:val="22"/>
        </w:rPr>
        <w:t>6</w:t>
      </w:r>
      <w:r w:rsidR="001A19A4" w:rsidRPr="00BF51BB">
        <w:rPr>
          <w:rFonts w:ascii="Arial" w:hAnsi="Arial" w:cs="Arial"/>
          <w:sz w:val="22"/>
        </w:rPr>
        <w:t>8</w:t>
      </w:r>
      <w:r w:rsidR="00067161" w:rsidRPr="00BF51BB">
        <w:rPr>
          <w:rFonts w:ascii="Arial" w:hAnsi="Arial" w:cs="Arial"/>
          <w:sz w:val="22"/>
        </w:rPr>
        <w:t>0</w:t>
      </w:r>
      <w:r w:rsidR="009E53C2" w:rsidRPr="00BF51BB">
        <w:rPr>
          <w:rFonts w:ascii="Arial" w:hAnsi="Arial" w:cs="Arial"/>
          <w:sz w:val="22"/>
        </w:rPr>
        <w:t>,0</w:t>
      </w:r>
      <w:r w:rsidR="00885002" w:rsidRPr="00BF51BB">
        <w:rPr>
          <w:rFonts w:ascii="Arial" w:hAnsi="Arial" w:cs="Arial"/>
          <w:sz w:val="22"/>
        </w:rPr>
        <w:t xml:space="preserve"> </w:t>
      </w:r>
      <w:r w:rsidR="00E672EB" w:rsidRPr="00BF51BB">
        <w:rPr>
          <w:rFonts w:ascii="Arial" w:hAnsi="Arial" w:cs="Arial"/>
          <w:sz w:val="22"/>
        </w:rPr>
        <w:t>mil.</w:t>
      </w:r>
      <w:r w:rsidR="00741FF9" w:rsidRPr="00BF51BB">
        <w:rPr>
          <w:rFonts w:ascii="Arial" w:hAnsi="Arial" w:cs="Arial"/>
          <w:sz w:val="22"/>
        </w:rPr>
        <w:t xml:space="preserve"> </w:t>
      </w:r>
      <w:r w:rsidR="00E672EB" w:rsidRPr="00BF51BB">
        <w:rPr>
          <w:rFonts w:ascii="Arial" w:hAnsi="Arial" w:cs="Arial"/>
          <w:sz w:val="22"/>
        </w:rPr>
        <w:t>KM</w:t>
      </w:r>
      <w:r w:rsidR="00A5324C" w:rsidRPr="00BF51BB">
        <w:rPr>
          <w:rFonts w:ascii="Arial" w:hAnsi="Arial" w:cs="Arial"/>
          <w:sz w:val="22"/>
        </w:rPr>
        <w:t>)</w:t>
      </w:r>
      <w:r w:rsidR="00885002" w:rsidRPr="00BF51BB">
        <w:rPr>
          <w:rFonts w:ascii="Arial" w:hAnsi="Arial" w:cs="Arial"/>
          <w:sz w:val="22"/>
        </w:rPr>
        <w:t>.</w:t>
      </w:r>
      <w:r w:rsidR="004728CB" w:rsidRPr="00BF51BB">
        <w:rPr>
          <w:rFonts w:ascii="Arial" w:hAnsi="Arial" w:cs="Arial"/>
          <w:sz w:val="22"/>
        </w:rPr>
        <w:t xml:space="preserve"> </w:t>
      </w:r>
      <w:r w:rsidR="00A5324C" w:rsidRPr="00BF51BB">
        <w:rPr>
          <w:rFonts w:ascii="Arial" w:hAnsi="Arial" w:cs="Arial"/>
          <w:sz w:val="22"/>
        </w:rPr>
        <w:t>P</w:t>
      </w:r>
      <w:r w:rsidR="00885002" w:rsidRPr="00BF51BB">
        <w:rPr>
          <w:rFonts w:ascii="Arial" w:hAnsi="Arial" w:cs="Arial"/>
          <w:sz w:val="22"/>
        </w:rPr>
        <w:t>rosječna</w:t>
      </w:r>
      <w:r w:rsidR="00462544" w:rsidRPr="00BF51BB">
        <w:rPr>
          <w:rFonts w:ascii="Arial" w:hAnsi="Arial" w:cs="Arial"/>
          <w:sz w:val="22"/>
        </w:rPr>
        <w:t xml:space="preserve"> </w:t>
      </w:r>
      <w:r w:rsidR="0012277F" w:rsidRPr="00BF51BB">
        <w:rPr>
          <w:rFonts w:ascii="Arial" w:hAnsi="Arial" w:cs="Arial"/>
          <w:sz w:val="22"/>
        </w:rPr>
        <w:t xml:space="preserve">ponderisana </w:t>
      </w:r>
      <w:r w:rsidR="00462544" w:rsidRPr="00BF51BB">
        <w:rPr>
          <w:rFonts w:ascii="Arial" w:hAnsi="Arial" w:cs="Arial"/>
          <w:sz w:val="22"/>
        </w:rPr>
        <w:t>implicitna</w:t>
      </w:r>
      <w:r w:rsidR="00885002" w:rsidRPr="00BF51BB">
        <w:rPr>
          <w:rFonts w:ascii="Arial" w:hAnsi="Arial" w:cs="Arial"/>
          <w:sz w:val="22"/>
        </w:rPr>
        <w:t xml:space="preserve"> kamatna stopa</w:t>
      </w:r>
      <w:r w:rsidR="00A5324C" w:rsidRPr="00BF51BB">
        <w:rPr>
          <w:rFonts w:ascii="Arial" w:hAnsi="Arial" w:cs="Arial"/>
          <w:sz w:val="22"/>
        </w:rPr>
        <w:t xml:space="preserve"> za vanjski dug</w:t>
      </w:r>
      <w:r w:rsidR="001A19A4" w:rsidRPr="00BF51BB">
        <w:rPr>
          <w:rFonts w:ascii="Arial" w:hAnsi="Arial" w:cs="Arial"/>
          <w:sz w:val="22"/>
        </w:rPr>
        <w:t xml:space="preserve"> također</w:t>
      </w:r>
      <w:r w:rsidR="00885002" w:rsidRPr="00BF51BB">
        <w:rPr>
          <w:rFonts w:ascii="Arial" w:hAnsi="Arial" w:cs="Arial"/>
          <w:sz w:val="22"/>
        </w:rPr>
        <w:t xml:space="preserve"> iznosi 1,</w:t>
      </w:r>
      <w:r w:rsidR="00067161" w:rsidRPr="00BF51BB">
        <w:rPr>
          <w:rFonts w:ascii="Arial" w:hAnsi="Arial" w:cs="Arial"/>
          <w:sz w:val="22"/>
        </w:rPr>
        <w:t>25</w:t>
      </w:r>
      <w:r w:rsidR="00885002" w:rsidRPr="00BF51BB">
        <w:rPr>
          <w:rFonts w:ascii="Arial" w:hAnsi="Arial" w:cs="Arial"/>
          <w:sz w:val="22"/>
        </w:rPr>
        <w:t>%</w:t>
      </w:r>
      <w:r w:rsidR="004728CB" w:rsidRPr="00BF51BB">
        <w:rPr>
          <w:rFonts w:ascii="Arial" w:hAnsi="Arial" w:cs="Arial"/>
          <w:sz w:val="22"/>
        </w:rPr>
        <w:t>.</w:t>
      </w:r>
    </w:p>
    <w:p w14:paraId="1E018001" w14:textId="77777777" w:rsidR="001D65EA" w:rsidRPr="00BF51BB" w:rsidRDefault="001D65EA" w:rsidP="002C1F91">
      <w:pPr>
        <w:pStyle w:val="ParagraphNumbering"/>
        <w:keepNext/>
        <w:numPr>
          <w:ilvl w:val="0"/>
          <w:numId w:val="0"/>
        </w:numPr>
        <w:spacing w:after="0" w:line="276" w:lineRule="auto"/>
        <w:ind w:right="-23" w:firstLine="284"/>
        <w:jc w:val="both"/>
        <w:rPr>
          <w:rFonts w:ascii="Arial" w:hAnsi="Arial" w:cs="Arial"/>
        </w:rPr>
      </w:pPr>
    </w:p>
    <w:p w14:paraId="107596FC" w14:textId="77777777" w:rsidR="00337B91" w:rsidRPr="00BF51BB" w:rsidRDefault="00337B91" w:rsidP="00AB5C50">
      <w:pPr>
        <w:pStyle w:val="NoSpacing"/>
        <w:jc w:val="both"/>
        <w:rPr>
          <w:rFonts w:ascii="Arial" w:hAnsi="Arial" w:cs="Arial"/>
          <w:sz w:val="24"/>
          <w:szCs w:val="24"/>
          <w:lang w:val="hr-HR"/>
        </w:rPr>
      </w:pPr>
    </w:p>
    <w:p w14:paraId="0A2E0609" w14:textId="74A22F34" w:rsidR="00ED768D" w:rsidRPr="00BF51BB" w:rsidRDefault="00ED768D" w:rsidP="00AB5C50">
      <w:pPr>
        <w:pStyle w:val="NoSpacing"/>
        <w:jc w:val="both"/>
        <w:rPr>
          <w:rFonts w:ascii="Arial" w:hAnsi="Arial" w:cs="Arial"/>
          <w:szCs w:val="24"/>
          <w:lang w:val="hr-HR"/>
        </w:rPr>
      </w:pPr>
      <w:r w:rsidRPr="00BF51BB">
        <w:rPr>
          <w:rFonts w:ascii="Arial" w:hAnsi="Arial" w:cs="Arial"/>
          <w:szCs w:val="24"/>
          <w:lang w:val="hr-HR"/>
        </w:rPr>
        <w:lastRenderedPageBreak/>
        <w:t xml:space="preserve">Tabela 5. </w:t>
      </w:r>
      <w:r w:rsidR="00E043B0" w:rsidRPr="00BF51BB">
        <w:rPr>
          <w:rFonts w:ascii="Arial" w:hAnsi="Arial" w:cs="Arial"/>
          <w:szCs w:val="24"/>
          <w:lang w:val="hr-HR"/>
        </w:rPr>
        <w:t>Uporedni prikaz i</w:t>
      </w:r>
      <w:r w:rsidRPr="00BF51BB">
        <w:rPr>
          <w:rFonts w:ascii="Arial" w:hAnsi="Arial" w:cs="Arial"/>
          <w:szCs w:val="24"/>
          <w:lang w:val="hr-HR"/>
        </w:rPr>
        <w:t>ndikator</w:t>
      </w:r>
      <w:r w:rsidR="00E043B0" w:rsidRPr="00BF51BB">
        <w:rPr>
          <w:rFonts w:ascii="Arial" w:hAnsi="Arial" w:cs="Arial"/>
          <w:szCs w:val="24"/>
          <w:lang w:val="hr-HR"/>
        </w:rPr>
        <w:t>a</w:t>
      </w:r>
      <w:r w:rsidRPr="00BF51BB">
        <w:rPr>
          <w:rFonts w:ascii="Arial" w:hAnsi="Arial" w:cs="Arial"/>
          <w:szCs w:val="24"/>
          <w:lang w:val="hr-HR"/>
        </w:rPr>
        <w:t xml:space="preserve"> rizika portfolija duga F</w:t>
      </w:r>
      <w:r w:rsidR="00D864A3" w:rsidRPr="00BF51BB">
        <w:rPr>
          <w:rFonts w:ascii="Arial" w:hAnsi="Arial" w:cs="Arial"/>
          <w:szCs w:val="24"/>
          <w:lang w:val="hr-HR"/>
        </w:rPr>
        <w:t xml:space="preserve">ederacije </w:t>
      </w:r>
      <w:r w:rsidRPr="00BF51BB">
        <w:rPr>
          <w:rFonts w:ascii="Arial" w:hAnsi="Arial" w:cs="Arial"/>
          <w:szCs w:val="24"/>
          <w:lang w:val="hr-HR"/>
        </w:rPr>
        <w:t>BiH</w:t>
      </w:r>
      <w:r w:rsidR="00692DE1" w:rsidRPr="00BF51BB">
        <w:rPr>
          <w:rFonts w:ascii="Arial" w:hAnsi="Arial" w:cs="Arial"/>
          <w:szCs w:val="24"/>
          <w:lang w:val="hr-HR"/>
        </w:rPr>
        <w:t xml:space="preserve"> </w:t>
      </w:r>
      <w:r w:rsidRPr="00BF51BB">
        <w:rPr>
          <w:rFonts w:ascii="Arial" w:hAnsi="Arial" w:cs="Arial"/>
          <w:szCs w:val="24"/>
          <w:lang w:val="hr-HR"/>
        </w:rPr>
        <w:t>na dan 31.12.</w:t>
      </w:r>
      <w:r w:rsidR="00014E48" w:rsidRPr="00BF51BB">
        <w:rPr>
          <w:rFonts w:ascii="Arial" w:hAnsi="Arial" w:cs="Arial"/>
          <w:szCs w:val="24"/>
          <w:lang w:val="hr-HR"/>
        </w:rPr>
        <w:t>2021</w:t>
      </w:r>
      <w:r w:rsidR="00B63A57" w:rsidRPr="00BF51BB">
        <w:rPr>
          <w:rFonts w:ascii="Arial" w:hAnsi="Arial" w:cs="Arial"/>
          <w:szCs w:val="24"/>
          <w:lang w:val="hr-HR"/>
        </w:rPr>
        <w:t>. godine</w:t>
      </w:r>
      <w:r w:rsidR="00E043B0" w:rsidRPr="00BF51BB">
        <w:rPr>
          <w:rFonts w:ascii="Arial" w:hAnsi="Arial" w:cs="Arial"/>
          <w:szCs w:val="24"/>
          <w:lang w:val="hr-HR"/>
        </w:rPr>
        <w:t xml:space="preserve"> u odnosu na </w:t>
      </w:r>
      <w:r w:rsidR="00AD4A08" w:rsidRPr="00BF51BB">
        <w:rPr>
          <w:rFonts w:ascii="Arial" w:hAnsi="Arial" w:cs="Arial"/>
          <w:szCs w:val="24"/>
          <w:lang w:val="hr-HR"/>
        </w:rPr>
        <w:t xml:space="preserve">indikatore na </w:t>
      </w:r>
      <w:r w:rsidR="00E043B0" w:rsidRPr="00BF51BB">
        <w:rPr>
          <w:rFonts w:ascii="Arial" w:hAnsi="Arial" w:cs="Arial"/>
          <w:szCs w:val="24"/>
          <w:lang w:val="hr-HR"/>
        </w:rPr>
        <w:t>kraj</w:t>
      </w:r>
      <w:r w:rsidR="00AD4A08" w:rsidRPr="00BF51BB">
        <w:rPr>
          <w:rFonts w:ascii="Arial" w:hAnsi="Arial" w:cs="Arial"/>
          <w:szCs w:val="24"/>
          <w:lang w:val="hr-HR"/>
        </w:rPr>
        <w:t>u</w:t>
      </w:r>
      <w:r w:rsidR="00E043B0" w:rsidRPr="00BF51BB">
        <w:rPr>
          <w:rFonts w:ascii="Arial" w:hAnsi="Arial" w:cs="Arial"/>
          <w:szCs w:val="24"/>
          <w:lang w:val="hr-HR"/>
        </w:rPr>
        <w:t xml:space="preserve"> </w:t>
      </w:r>
      <w:r w:rsidR="00014E48" w:rsidRPr="00BF51BB">
        <w:rPr>
          <w:rFonts w:ascii="Arial" w:hAnsi="Arial" w:cs="Arial"/>
          <w:szCs w:val="24"/>
          <w:lang w:val="hr-HR"/>
        </w:rPr>
        <w:t>2020</w:t>
      </w:r>
      <w:r w:rsidR="00E043B0" w:rsidRPr="00BF51BB">
        <w:rPr>
          <w:rFonts w:ascii="Arial" w:hAnsi="Arial" w:cs="Arial"/>
          <w:szCs w:val="24"/>
          <w:lang w:val="hr-HR"/>
        </w:rPr>
        <w:t>. godine</w:t>
      </w:r>
    </w:p>
    <w:p w14:paraId="3A987A0F" w14:textId="77777777" w:rsidR="001D65EA" w:rsidRPr="00BF51BB" w:rsidRDefault="001D65EA" w:rsidP="00AB5C50">
      <w:pPr>
        <w:pStyle w:val="NoSpacing"/>
        <w:jc w:val="both"/>
        <w:rPr>
          <w:rFonts w:ascii="Arial" w:hAnsi="Arial" w:cs="Arial"/>
          <w:szCs w:val="24"/>
          <w:lang w:val="hr-HR"/>
        </w:rPr>
      </w:pPr>
    </w:p>
    <w:tbl>
      <w:tblPr>
        <w:tblW w:w="9375" w:type="dxa"/>
        <w:tblInd w:w="-1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26"/>
        <w:gridCol w:w="3667"/>
        <w:gridCol w:w="740"/>
        <w:gridCol w:w="740"/>
        <w:gridCol w:w="611"/>
        <w:gridCol w:w="611"/>
        <w:gridCol w:w="740"/>
        <w:gridCol w:w="740"/>
      </w:tblGrid>
      <w:tr w:rsidR="00067161" w:rsidRPr="00BF51BB" w14:paraId="6E61361D" w14:textId="77777777" w:rsidTr="00BF51BB">
        <w:trPr>
          <w:trHeight w:val="320"/>
        </w:trPr>
        <w:tc>
          <w:tcPr>
            <w:tcW w:w="0" w:type="auto"/>
            <w:gridSpan w:val="2"/>
            <w:vMerge w:val="restart"/>
            <w:shd w:val="clear" w:color="auto" w:fill="auto"/>
            <w:noWrap/>
            <w:vAlign w:val="center"/>
            <w:hideMark/>
          </w:tcPr>
          <w:p w14:paraId="2E85E72A"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Indikatori rizika</w:t>
            </w:r>
          </w:p>
        </w:tc>
        <w:tc>
          <w:tcPr>
            <w:tcW w:w="0" w:type="auto"/>
            <w:gridSpan w:val="2"/>
            <w:shd w:val="clear" w:color="auto" w:fill="auto"/>
            <w:vAlign w:val="center"/>
            <w:hideMark/>
          </w:tcPr>
          <w:p w14:paraId="620210D8"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Vanjski dug</w:t>
            </w:r>
          </w:p>
        </w:tc>
        <w:tc>
          <w:tcPr>
            <w:tcW w:w="0" w:type="auto"/>
            <w:gridSpan w:val="2"/>
            <w:shd w:val="clear" w:color="auto" w:fill="auto"/>
            <w:vAlign w:val="center"/>
            <w:hideMark/>
          </w:tcPr>
          <w:p w14:paraId="044D1F77"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Unutrašnji dug</w:t>
            </w:r>
          </w:p>
        </w:tc>
        <w:tc>
          <w:tcPr>
            <w:tcW w:w="0" w:type="auto"/>
            <w:gridSpan w:val="2"/>
            <w:shd w:val="clear" w:color="auto" w:fill="auto"/>
            <w:vAlign w:val="center"/>
            <w:hideMark/>
          </w:tcPr>
          <w:p w14:paraId="1DBCC869"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Ukupni dug</w:t>
            </w:r>
          </w:p>
        </w:tc>
      </w:tr>
      <w:tr w:rsidR="00067161" w:rsidRPr="00BF51BB" w14:paraId="1FCD459E" w14:textId="77777777" w:rsidTr="00BF51BB">
        <w:trPr>
          <w:trHeight w:val="320"/>
        </w:trPr>
        <w:tc>
          <w:tcPr>
            <w:tcW w:w="0" w:type="auto"/>
            <w:gridSpan w:val="2"/>
            <w:vMerge/>
            <w:vAlign w:val="center"/>
            <w:hideMark/>
          </w:tcPr>
          <w:p w14:paraId="2265EBCD" w14:textId="77777777" w:rsidR="00067161" w:rsidRPr="00BF51B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3B13D54A"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2020.</w:t>
            </w:r>
          </w:p>
        </w:tc>
        <w:tc>
          <w:tcPr>
            <w:tcW w:w="0" w:type="auto"/>
            <w:shd w:val="clear" w:color="auto" w:fill="auto"/>
            <w:noWrap/>
            <w:vAlign w:val="center"/>
            <w:hideMark/>
          </w:tcPr>
          <w:p w14:paraId="02EA4C1B"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2021.</w:t>
            </w:r>
          </w:p>
        </w:tc>
        <w:tc>
          <w:tcPr>
            <w:tcW w:w="0" w:type="auto"/>
            <w:shd w:val="clear" w:color="auto" w:fill="auto"/>
            <w:noWrap/>
            <w:vAlign w:val="center"/>
            <w:hideMark/>
          </w:tcPr>
          <w:p w14:paraId="71766193"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2020.</w:t>
            </w:r>
          </w:p>
        </w:tc>
        <w:tc>
          <w:tcPr>
            <w:tcW w:w="0" w:type="auto"/>
            <w:shd w:val="clear" w:color="auto" w:fill="auto"/>
            <w:noWrap/>
            <w:vAlign w:val="center"/>
            <w:hideMark/>
          </w:tcPr>
          <w:p w14:paraId="658A4654"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2021.</w:t>
            </w:r>
          </w:p>
        </w:tc>
        <w:tc>
          <w:tcPr>
            <w:tcW w:w="0" w:type="auto"/>
            <w:shd w:val="clear" w:color="auto" w:fill="auto"/>
            <w:noWrap/>
            <w:vAlign w:val="center"/>
            <w:hideMark/>
          </w:tcPr>
          <w:p w14:paraId="04B8F416"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2020.</w:t>
            </w:r>
          </w:p>
        </w:tc>
        <w:tc>
          <w:tcPr>
            <w:tcW w:w="0" w:type="auto"/>
            <w:shd w:val="clear" w:color="auto" w:fill="auto"/>
            <w:noWrap/>
            <w:vAlign w:val="center"/>
            <w:hideMark/>
          </w:tcPr>
          <w:p w14:paraId="4678B53A"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2021.</w:t>
            </w:r>
          </w:p>
        </w:tc>
      </w:tr>
      <w:tr w:rsidR="00067161" w:rsidRPr="00BF51BB" w14:paraId="42B9B2F1" w14:textId="77777777" w:rsidTr="00BF51BB">
        <w:trPr>
          <w:trHeight w:val="320"/>
        </w:trPr>
        <w:tc>
          <w:tcPr>
            <w:tcW w:w="0" w:type="auto"/>
            <w:gridSpan w:val="2"/>
            <w:shd w:val="clear" w:color="auto" w:fill="auto"/>
            <w:noWrap/>
            <w:vAlign w:val="center"/>
            <w:hideMark/>
          </w:tcPr>
          <w:p w14:paraId="20F4862F"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Iznos duga (milioni KM)</w:t>
            </w:r>
          </w:p>
        </w:tc>
        <w:tc>
          <w:tcPr>
            <w:tcW w:w="0" w:type="auto"/>
            <w:shd w:val="clear" w:color="auto" w:fill="auto"/>
            <w:noWrap/>
            <w:vAlign w:val="center"/>
            <w:hideMark/>
          </w:tcPr>
          <w:p w14:paraId="5FCC6CFF"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4.982,7</w:t>
            </w:r>
          </w:p>
        </w:tc>
        <w:tc>
          <w:tcPr>
            <w:tcW w:w="0" w:type="auto"/>
            <w:shd w:val="clear" w:color="auto" w:fill="auto"/>
            <w:noWrap/>
            <w:vAlign w:val="center"/>
            <w:hideMark/>
          </w:tcPr>
          <w:p w14:paraId="407E6E1E"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5.406,6</w:t>
            </w:r>
          </w:p>
        </w:tc>
        <w:tc>
          <w:tcPr>
            <w:tcW w:w="0" w:type="auto"/>
            <w:shd w:val="clear" w:color="auto" w:fill="auto"/>
            <w:noWrap/>
            <w:vAlign w:val="center"/>
            <w:hideMark/>
          </w:tcPr>
          <w:p w14:paraId="4D535BED"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849,9</w:t>
            </w:r>
          </w:p>
        </w:tc>
        <w:tc>
          <w:tcPr>
            <w:tcW w:w="0" w:type="auto"/>
            <w:shd w:val="clear" w:color="auto" w:fill="auto"/>
            <w:noWrap/>
            <w:vAlign w:val="center"/>
            <w:hideMark/>
          </w:tcPr>
          <w:p w14:paraId="11FA6393"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754,3</w:t>
            </w:r>
          </w:p>
        </w:tc>
        <w:tc>
          <w:tcPr>
            <w:tcW w:w="0" w:type="auto"/>
            <w:shd w:val="clear" w:color="auto" w:fill="auto"/>
            <w:noWrap/>
            <w:vAlign w:val="center"/>
            <w:hideMark/>
          </w:tcPr>
          <w:p w14:paraId="4DCAB506"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5.832,6</w:t>
            </w:r>
          </w:p>
        </w:tc>
        <w:tc>
          <w:tcPr>
            <w:tcW w:w="0" w:type="auto"/>
            <w:shd w:val="clear" w:color="auto" w:fill="auto"/>
            <w:noWrap/>
            <w:vAlign w:val="center"/>
            <w:hideMark/>
          </w:tcPr>
          <w:p w14:paraId="748F90FA"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6.160,9</w:t>
            </w:r>
          </w:p>
        </w:tc>
      </w:tr>
      <w:tr w:rsidR="00067161" w:rsidRPr="00BF51BB" w14:paraId="59B31A4D" w14:textId="77777777" w:rsidTr="00BF51BB">
        <w:trPr>
          <w:trHeight w:val="320"/>
        </w:trPr>
        <w:tc>
          <w:tcPr>
            <w:tcW w:w="0" w:type="auto"/>
            <w:gridSpan w:val="2"/>
            <w:shd w:val="clear" w:color="auto" w:fill="auto"/>
            <w:noWrap/>
            <w:vAlign w:val="center"/>
            <w:hideMark/>
          </w:tcPr>
          <w:p w14:paraId="6912A595"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Iznos duga (milioni USD)</w:t>
            </w:r>
          </w:p>
        </w:tc>
        <w:tc>
          <w:tcPr>
            <w:tcW w:w="0" w:type="auto"/>
            <w:shd w:val="clear" w:color="auto" w:fill="auto"/>
            <w:noWrap/>
            <w:vAlign w:val="center"/>
            <w:hideMark/>
          </w:tcPr>
          <w:p w14:paraId="0B6743C3"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3.128,7</w:t>
            </w:r>
          </w:p>
        </w:tc>
        <w:tc>
          <w:tcPr>
            <w:tcW w:w="0" w:type="auto"/>
            <w:shd w:val="clear" w:color="auto" w:fill="auto"/>
            <w:noWrap/>
            <w:vAlign w:val="center"/>
            <w:hideMark/>
          </w:tcPr>
          <w:p w14:paraId="139F4245"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3.133,1</w:t>
            </w:r>
          </w:p>
        </w:tc>
        <w:tc>
          <w:tcPr>
            <w:tcW w:w="0" w:type="auto"/>
            <w:shd w:val="clear" w:color="auto" w:fill="auto"/>
            <w:noWrap/>
            <w:vAlign w:val="center"/>
            <w:hideMark/>
          </w:tcPr>
          <w:p w14:paraId="5FBE0DE8"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533,6</w:t>
            </w:r>
          </w:p>
        </w:tc>
        <w:tc>
          <w:tcPr>
            <w:tcW w:w="0" w:type="auto"/>
            <w:shd w:val="clear" w:color="auto" w:fill="auto"/>
            <w:noWrap/>
            <w:vAlign w:val="center"/>
            <w:hideMark/>
          </w:tcPr>
          <w:p w14:paraId="19286A01"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437,1</w:t>
            </w:r>
          </w:p>
        </w:tc>
        <w:tc>
          <w:tcPr>
            <w:tcW w:w="0" w:type="auto"/>
            <w:shd w:val="clear" w:color="auto" w:fill="auto"/>
            <w:noWrap/>
            <w:vAlign w:val="center"/>
            <w:hideMark/>
          </w:tcPr>
          <w:p w14:paraId="3E777158"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3.662,4</w:t>
            </w:r>
          </w:p>
        </w:tc>
        <w:tc>
          <w:tcPr>
            <w:tcW w:w="0" w:type="auto"/>
            <w:shd w:val="clear" w:color="auto" w:fill="auto"/>
            <w:noWrap/>
            <w:vAlign w:val="center"/>
            <w:hideMark/>
          </w:tcPr>
          <w:p w14:paraId="074413AA"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3.570,2</w:t>
            </w:r>
          </w:p>
        </w:tc>
      </w:tr>
      <w:tr w:rsidR="00067161" w:rsidRPr="00BF51BB" w14:paraId="72FDD3C8" w14:textId="77777777" w:rsidTr="00BF51BB">
        <w:trPr>
          <w:trHeight w:val="320"/>
        </w:trPr>
        <w:tc>
          <w:tcPr>
            <w:tcW w:w="0" w:type="auto"/>
            <w:gridSpan w:val="2"/>
            <w:shd w:val="clear" w:color="auto" w:fill="auto"/>
            <w:noWrap/>
            <w:vAlign w:val="center"/>
            <w:hideMark/>
          </w:tcPr>
          <w:p w14:paraId="4704E8FE"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Nominalni dug u % BDP</w:t>
            </w:r>
          </w:p>
        </w:tc>
        <w:tc>
          <w:tcPr>
            <w:tcW w:w="0" w:type="auto"/>
            <w:shd w:val="clear" w:color="auto" w:fill="auto"/>
            <w:noWrap/>
            <w:vAlign w:val="center"/>
            <w:hideMark/>
          </w:tcPr>
          <w:p w14:paraId="226B3D21"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22,6</w:t>
            </w:r>
          </w:p>
        </w:tc>
        <w:tc>
          <w:tcPr>
            <w:tcW w:w="0" w:type="auto"/>
            <w:shd w:val="clear" w:color="auto" w:fill="auto"/>
            <w:noWrap/>
            <w:vAlign w:val="center"/>
            <w:hideMark/>
          </w:tcPr>
          <w:p w14:paraId="0714E133"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23,6</w:t>
            </w:r>
          </w:p>
        </w:tc>
        <w:tc>
          <w:tcPr>
            <w:tcW w:w="0" w:type="auto"/>
            <w:shd w:val="clear" w:color="auto" w:fill="auto"/>
            <w:noWrap/>
            <w:vAlign w:val="center"/>
            <w:hideMark/>
          </w:tcPr>
          <w:p w14:paraId="47101C92"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3,8</w:t>
            </w:r>
          </w:p>
        </w:tc>
        <w:tc>
          <w:tcPr>
            <w:tcW w:w="0" w:type="auto"/>
            <w:shd w:val="clear" w:color="auto" w:fill="auto"/>
            <w:noWrap/>
            <w:vAlign w:val="center"/>
            <w:hideMark/>
          </w:tcPr>
          <w:p w14:paraId="5024EBF9"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3,3</w:t>
            </w:r>
          </w:p>
        </w:tc>
        <w:tc>
          <w:tcPr>
            <w:tcW w:w="0" w:type="auto"/>
            <w:shd w:val="clear" w:color="auto" w:fill="auto"/>
            <w:noWrap/>
            <w:vAlign w:val="center"/>
            <w:hideMark/>
          </w:tcPr>
          <w:p w14:paraId="337D8E9E"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26,4</w:t>
            </w:r>
          </w:p>
        </w:tc>
        <w:tc>
          <w:tcPr>
            <w:tcW w:w="0" w:type="auto"/>
            <w:shd w:val="clear" w:color="auto" w:fill="auto"/>
            <w:noWrap/>
            <w:vAlign w:val="center"/>
            <w:hideMark/>
          </w:tcPr>
          <w:p w14:paraId="72D51119"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26,8</w:t>
            </w:r>
          </w:p>
        </w:tc>
      </w:tr>
      <w:tr w:rsidR="00067161" w:rsidRPr="00BF51BB" w14:paraId="6879ED47" w14:textId="77777777" w:rsidTr="00BF51BB">
        <w:trPr>
          <w:trHeight w:val="320"/>
        </w:trPr>
        <w:tc>
          <w:tcPr>
            <w:tcW w:w="0" w:type="auto"/>
            <w:gridSpan w:val="2"/>
            <w:shd w:val="clear" w:color="auto" w:fill="auto"/>
            <w:noWrap/>
            <w:vAlign w:val="center"/>
            <w:hideMark/>
          </w:tcPr>
          <w:p w14:paraId="0EB2887C"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Sadašnja vrijednost duga u % BDP</w:t>
            </w:r>
          </w:p>
        </w:tc>
        <w:tc>
          <w:tcPr>
            <w:tcW w:w="0" w:type="auto"/>
            <w:shd w:val="clear" w:color="auto" w:fill="auto"/>
            <w:noWrap/>
            <w:vAlign w:val="center"/>
            <w:hideMark/>
          </w:tcPr>
          <w:p w14:paraId="722AB50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18,8</w:t>
            </w:r>
          </w:p>
        </w:tc>
        <w:tc>
          <w:tcPr>
            <w:tcW w:w="0" w:type="auto"/>
            <w:shd w:val="clear" w:color="auto" w:fill="auto"/>
            <w:noWrap/>
            <w:vAlign w:val="center"/>
            <w:hideMark/>
          </w:tcPr>
          <w:p w14:paraId="6B6F4E97"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19,1</w:t>
            </w:r>
          </w:p>
        </w:tc>
        <w:tc>
          <w:tcPr>
            <w:tcW w:w="0" w:type="auto"/>
            <w:shd w:val="clear" w:color="auto" w:fill="auto"/>
            <w:noWrap/>
            <w:vAlign w:val="center"/>
            <w:hideMark/>
          </w:tcPr>
          <w:p w14:paraId="2826E5AD"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3,8</w:t>
            </w:r>
          </w:p>
        </w:tc>
        <w:tc>
          <w:tcPr>
            <w:tcW w:w="0" w:type="auto"/>
            <w:shd w:val="clear" w:color="auto" w:fill="auto"/>
            <w:noWrap/>
            <w:vAlign w:val="center"/>
            <w:hideMark/>
          </w:tcPr>
          <w:p w14:paraId="7745EA32"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3,3</w:t>
            </w:r>
          </w:p>
        </w:tc>
        <w:tc>
          <w:tcPr>
            <w:tcW w:w="0" w:type="auto"/>
            <w:shd w:val="clear" w:color="auto" w:fill="auto"/>
            <w:noWrap/>
            <w:vAlign w:val="center"/>
            <w:hideMark/>
          </w:tcPr>
          <w:p w14:paraId="503683E3"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22,7</w:t>
            </w:r>
          </w:p>
        </w:tc>
        <w:tc>
          <w:tcPr>
            <w:tcW w:w="0" w:type="auto"/>
            <w:shd w:val="clear" w:color="auto" w:fill="auto"/>
            <w:noWrap/>
            <w:vAlign w:val="center"/>
            <w:hideMark/>
          </w:tcPr>
          <w:p w14:paraId="566E81E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22,4</w:t>
            </w:r>
          </w:p>
        </w:tc>
      </w:tr>
      <w:tr w:rsidR="00067161" w:rsidRPr="00BF51BB" w14:paraId="4B4FBABB" w14:textId="77777777" w:rsidTr="00BF51BB">
        <w:trPr>
          <w:trHeight w:val="320"/>
        </w:trPr>
        <w:tc>
          <w:tcPr>
            <w:tcW w:w="0" w:type="auto"/>
            <w:vMerge w:val="restart"/>
            <w:shd w:val="clear" w:color="auto" w:fill="auto"/>
            <w:noWrap/>
            <w:vAlign w:val="center"/>
            <w:hideMark/>
          </w:tcPr>
          <w:p w14:paraId="2890BAC0"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Troškovi duga</w:t>
            </w:r>
          </w:p>
        </w:tc>
        <w:tc>
          <w:tcPr>
            <w:tcW w:w="0" w:type="auto"/>
            <w:shd w:val="clear" w:color="auto" w:fill="auto"/>
            <w:noWrap/>
            <w:vAlign w:val="center"/>
            <w:hideMark/>
          </w:tcPr>
          <w:p w14:paraId="53591830"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Kamata kao % BDP</w:t>
            </w:r>
          </w:p>
        </w:tc>
        <w:tc>
          <w:tcPr>
            <w:tcW w:w="0" w:type="auto"/>
            <w:shd w:val="clear" w:color="auto" w:fill="auto"/>
            <w:noWrap/>
            <w:vAlign w:val="center"/>
            <w:hideMark/>
          </w:tcPr>
          <w:p w14:paraId="1C01CB5F"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0,3</w:t>
            </w:r>
          </w:p>
        </w:tc>
        <w:tc>
          <w:tcPr>
            <w:tcW w:w="0" w:type="auto"/>
            <w:shd w:val="clear" w:color="auto" w:fill="auto"/>
            <w:noWrap/>
            <w:vAlign w:val="center"/>
            <w:hideMark/>
          </w:tcPr>
          <w:p w14:paraId="0BE3BE80"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0,3</w:t>
            </w:r>
          </w:p>
        </w:tc>
        <w:tc>
          <w:tcPr>
            <w:tcW w:w="0" w:type="auto"/>
            <w:shd w:val="clear" w:color="auto" w:fill="auto"/>
            <w:noWrap/>
            <w:vAlign w:val="center"/>
            <w:hideMark/>
          </w:tcPr>
          <w:p w14:paraId="3B0FF6D0"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0,05</w:t>
            </w:r>
          </w:p>
        </w:tc>
        <w:tc>
          <w:tcPr>
            <w:tcW w:w="0" w:type="auto"/>
            <w:shd w:val="clear" w:color="auto" w:fill="auto"/>
            <w:noWrap/>
            <w:vAlign w:val="center"/>
            <w:hideMark/>
          </w:tcPr>
          <w:p w14:paraId="6E7C59E2"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0,04</w:t>
            </w:r>
          </w:p>
        </w:tc>
        <w:tc>
          <w:tcPr>
            <w:tcW w:w="0" w:type="auto"/>
            <w:shd w:val="clear" w:color="auto" w:fill="auto"/>
            <w:noWrap/>
            <w:vAlign w:val="center"/>
            <w:hideMark/>
          </w:tcPr>
          <w:p w14:paraId="3391288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0,4</w:t>
            </w:r>
          </w:p>
        </w:tc>
        <w:tc>
          <w:tcPr>
            <w:tcW w:w="0" w:type="auto"/>
            <w:shd w:val="clear" w:color="auto" w:fill="auto"/>
            <w:noWrap/>
            <w:vAlign w:val="center"/>
            <w:hideMark/>
          </w:tcPr>
          <w:p w14:paraId="62CC1BB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0,3</w:t>
            </w:r>
          </w:p>
        </w:tc>
      </w:tr>
      <w:tr w:rsidR="00067161" w:rsidRPr="00BF51BB" w14:paraId="51DEC2F1" w14:textId="77777777" w:rsidTr="00BF51BB">
        <w:trPr>
          <w:trHeight w:val="320"/>
        </w:trPr>
        <w:tc>
          <w:tcPr>
            <w:tcW w:w="0" w:type="auto"/>
            <w:vMerge/>
            <w:vAlign w:val="center"/>
            <w:hideMark/>
          </w:tcPr>
          <w:p w14:paraId="4CBB78D1" w14:textId="77777777" w:rsidR="00067161" w:rsidRPr="00BF51B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4F16BE72"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Prosječna ponderisana kamata  (%)</w:t>
            </w:r>
          </w:p>
        </w:tc>
        <w:tc>
          <w:tcPr>
            <w:tcW w:w="0" w:type="auto"/>
            <w:shd w:val="clear" w:color="auto" w:fill="auto"/>
            <w:noWrap/>
            <w:vAlign w:val="center"/>
            <w:hideMark/>
          </w:tcPr>
          <w:p w14:paraId="3694F10F"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1,4</w:t>
            </w:r>
          </w:p>
        </w:tc>
        <w:tc>
          <w:tcPr>
            <w:tcW w:w="0" w:type="auto"/>
            <w:shd w:val="clear" w:color="auto" w:fill="auto"/>
            <w:noWrap/>
            <w:vAlign w:val="center"/>
            <w:hideMark/>
          </w:tcPr>
          <w:p w14:paraId="0AF09788"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1,2</w:t>
            </w:r>
          </w:p>
        </w:tc>
        <w:tc>
          <w:tcPr>
            <w:tcW w:w="0" w:type="auto"/>
            <w:shd w:val="clear" w:color="auto" w:fill="auto"/>
            <w:noWrap/>
            <w:vAlign w:val="center"/>
            <w:hideMark/>
          </w:tcPr>
          <w:p w14:paraId="4AF1F008"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1,7</w:t>
            </w:r>
          </w:p>
        </w:tc>
        <w:tc>
          <w:tcPr>
            <w:tcW w:w="0" w:type="auto"/>
            <w:shd w:val="clear" w:color="auto" w:fill="auto"/>
            <w:noWrap/>
            <w:vAlign w:val="center"/>
            <w:hideMark/>
          </w:tcPr>
          <w:p w14:paraId="3E92428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1,2</w:t>
            </w:r>
          </w:p>
        </w:tc>
        <w:tc>
          <w:tcPr>
            <w:tcW w:w="0" w:type="auto"/>
            <w:shd w:val="clear" w:color="auto" w:fill="auto"/>
            <w:noWrap/>
            <w:vAlign w:val="center"/>
            <w:hideMark/>
          </w:tcPr>
          <w:p w14:paraId="0C0E931B"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1,5</w:t>
            </w:r>
          </w:p>
        </w:tc>
        <w:tc>
          <w:tcPr>
            <w:tcW w:w="0" w:type="auto"/>
            <w:shd w:val="clear" w:color="auto" w:fill="auto"/>
            <w:noWrap/>
            <w:vAlign w:val="center"/>
            <w:hideMark/>
          </w:tcPr>
          <w:p w14:paraId="262E1B6C"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1,2</w:t>
            </w:r>
          </w:p>
        </w:tc>
      </w:tr>
      <w:tr w:rsidR="00067161" w:rsidRPr="00BF51BB" w14:paraId="0A2ADFE4" w14:textId="77777777" w:rsidTr="00BF51BB">
        <w:trPr>
          <w:trHeight w:val="320"/>
        </w:trPr>
        <w:tc>
          <w:tcPr>
            <w:tcW w:w="0" w:type="auto"/>
            <w:vMerge w:val="restart"/>
            <w:shd w:val="clear" w:color="auto" w:fill="auto"/>
            <w:noWrap/>
            <w:vAlign w:val="center"/>
            <w:hideMark/>
          </w:tcPr>
          <w:p w14:paraId="69E9870B"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Rizik refinansiranja</w:t>
            </w:r>
          </w:p>
        </w:tc>
        <w:tc>
          <w:tcPr>
            <w:tcW w:w="0" w:type="auto"/>
            <w:shd w:val="clear" w:color="auto" w:fill="auto"/>
            <w:noWrap/>
            <w:vAlign w:val="center"/>
            <w:hideMark/>
          </w:tcPr>
          <w:p w14:paraId="3EEE95A0"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Prosječno vrijeme dospijeća (godine)</w:t>
            </w:r>
          </w:p>
        </w:tc>
        <w:tc>
          <w:tcPr>
            <w:tcW w:w="0" w:type="auto"/>
            <w:shd w:val="clear" w:color="auto" w:fill="auto"/>
            <w:noWrap/>
            <w:vAlign w:val="center"/>
            <w:hideMark/>
          </w:tcPr>
          <w:p w14:paraId="61EEF2CA"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6,2</w:t>
            </w:r>
          </w:p>
        </w:tc>
        <w:tc>
          <w:tcPr>
            <w:tcW w:w="0" w:type="auto"/>
            <w:shd w:val="clear" w:color="auto" w:fill="auto"/>
            <w:noWrap/>
            <w:vAlign w:val="center"/>
            <w:hideMark/>
          </w:tcPr>
          <w:p w14:paraId="26E51D28"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6,6</w:t>
            </w:r>
          </w:p>
        </w:tc>
        <w:tc>
          <w:tcPr>
            <w:tcW w:w="0" w:type="auto"/>
            <w:shd w:val="clear" w:color="auto" w:fill="auto"/>
            <w:noWrap/>
            <w:vAlign w:val="center"/>
            <w:hideMark/>
          </w:tcPr>
          <w:p w14:paraId="3E9C3EFB"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3,3</w:t>
            </w:r>
          </w:p>
        </w:tc>
        <w:tc>
          <w:tcPr>
            <w:tcW w:w="0" w:type="auto"/>
            <w:shd w:val="clear" w:color="auto" w:fill="auto"/>
            <w:noWrap/>
            <w:vAlign w:val="center"/>
            <w:hideMark/>
          </w:tcPr>
          <w:p w14:paraId="0B28E68C"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3,6</w:t>
            </w:r>
          </w:p>
        </w:tc>
        <w:tc>
          <w:tcPr>
            <w:tcW w:w="0" w:type="auto"/>
            <w:shd w:val="clear" w:color="auto" w:fill="auto"/>
            <w:noWrap/>
            <w:vAlign w:val="center"/>
            <w:hideMark/>
          </w:tcPr>
          <w:p w14:paraId="3B2147A6"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5,8</w:t>
            </w:r>
          </w:p>
        </w:tc>
        <w:tc>
          <w:tcPr>
            <w:tcW w:w="0" w:type="auto"/>
            <w:shd w:val="clear" w:color="auto" w:fill="auto"/>
            <w:noWrap/>
            <w:vAlign w:val="center"/>
            <w:hideMark/>
          </w:tcPr>
          <w:p w14:paraId="06C68D6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6,2</w:t>
            </w:r>
          </w:p>
        </w:tc>
      </w:tr>
      <w:tr w:rsidR="00067161" w:rsidRPr="00BF51BB" w14:paraId="35E087AC" w14:textId="77777777" w:rsidTr="00BF51BB">
        <w:trPr>
          <w:trHeight w:val="320"/>
        </w:trPr>
        <w:tc>
          <w:tcPr>
            <w:tcW w:w="0" w:type="auto"/>
            <w:vMerge/>
            <w:vAlign w:val="center"/>
            <w:hideMark/>
          </w:tcPr>
          <w:p w14:paraId="29DBE7E6" w14:textId="77777777" w:rsidR="00067161" w:rsidRPr="00BF51B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745C33A0"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Dospijeće duga u sljedećoj godini  (% ukupnog)</w:t>
            </w:r>
          </w:p>
        </w:tc>
        <w:tc>
          <w:tcPr>
            <w:tcW w:w="0" w:type="auto"/>
            <w:shd w:val="clear" w:color="auto" w:fill="auto"/>
            <w:noWrap/>
            <w:vAlign w:val="center"/>
            <w:hideMark/>
          </w:tcPr>
          <w:p w14:paraId="10356F7F"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8,9</w:t>
            </w:r>
          </w:p>
        </w:tc>
        <w:tc>
          <w:tcPr>
            <w:tcW w:w="0" w:type="auto"/>
            <w:shd w:val="clear" w:color="auto" w:fill="auto"/>
            <w:noWrap/>
            <w:vAlign w:val="center"/>
            <w:hideMark/>
          </w:tcPr>
          <w:p w14:paraId="6D03240A"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8,2</w:t>
            </w:r>
          </w:p>
        </w:tc>
        <w:tc>
          <w:tcPr>
            <w:tcW w:w="0" w:type="auto"/>
            <w:shd w:val="clear" w:color="auto" w:fill="auto"/>
            <w:noWrap/>
            <w:vAlign w:val="center"/>
            <w:hideMark/>
          </w:tcPr>
          <w:p w14:paraId="2C8A89B9"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27,7</w:t>
            </w:r>
          </w:p>
        </w:tc>
        <w:tc>
          <w:tcPr>
            <w:tcW w:w="0" w:type="auto"/>
            <w:shd w:val="clear" w:color="auto" w:fill="auto"/>
            <w:noWrap/>
            <w:vAlign w:val="center"/>
            <w:hideMark/>
          </w:tcPr>
          <w:p w14:paraId="59D23BDF"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33,9</w:t>
            </w:r>
          </w:p>
        </w:tc>
        <w:tc>
          <w:tcPr>
            <w:tcW w:w="0" w:type="auto"/>
            <w:shd w:val="clear" w:color="auto" w:fill="auto"/>
            <w:noWrap/>
            <w:vAlign w:val="center"/>
            <w:hideMark/>
          </w:tcPr>
          <w:p w14:paraId="714FC6A8"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11,6</w:t>
            </w:r>
          </w:p>
        </w:tc>
        <w:tc>
          <w:tcPr>
            <w:tcW w:w="0" w:type="auto"/>
            <w:shd w:val="clear" w:color="auto" w:fill="auto"/>
            <w:noWrap/>
            <w:vAlign w:val="center"/>
            <w:hideMark/>
          </w:tcPr>
          <w:p w14:paraId="1C850369"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11,5</w:t>
            </w:r>
          </w:p>
        </w:tc>
      </w:tr>
      <w:tr w:rsidR="00067161" w:rsidRPr="00BF51BB" w14:paraId="7317900A" w14:textId="77777777" w:rsidTr="00BF51BB">
        <w:trPr>
          <w:trHeight w:val="320"/>
        </w:trPr>
        <w:tc>
          <w:tcPr>
            <w:tcW w:w="0" w:type="auto"/>
            <w:vMerge/>
            <w:vAlign w:val="center"/>
            <w:hideMark/>
          </w:tcPr>
          <w:p w14:paraId="01C191A1" w14:textId="77777777" w:rsidR="00067161" w:rsidRPr="00BF51B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79FC6D2E"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Dospijeće duga u sljedećoj godini  (% BDP)</w:t>
            </w:r>
          </w:p>
        </w:tc>
        <w:tc>
          <w:tcPr>
            <w:tcW w:w="0" w:type="auto"/>
            <w:shd w:val="clear" w:color="auto" w:fill="auto"/>
            <w:noWrap/>
            <w:vAlign w:val="center"/>
            <w:hideMark/>
          </w:tcPr>
          <w:p w14:paraId="63F5778B"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w:t>
            </w:r>
          </w:p>
        </w:tc>
        <w:tc>
          <w:tcPr>
            <w:tcW w:w="0" w:type="auto"/>
            <w:shd w:val="clear" w:color="auto" w:fill="auto"/>
            <w:noWrap/>
            <w:vAlign w:val="center"/>
            <w:hideMark/>
          </w:tcPr>
          <w:p w14:paraId="5AF80DC0"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1,9</w:t>
            </w:r>
          </w:p>
        </w:tc>
        <w:tc>
          <w:tcPr>
            <w:tcW w:w="0" w:type="auto"/>
            <w:shd w:val="clear" w:color="auto" w:fill="auto"/>
            <w:noWrap/>
            <w:vAlign w:val="center"/>
            <w:hideMark/>
          </w:tcPr>
          <w:p w14:paraId="79345B0F"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1,1</w:t>
            </w:r>
          </w:p>
        </w:tc>
        <w:tc>
          <w:tcPr>
            <w:tcW w:w="0" w:type="auto"/>
            <w:shd w:val="clear" w:color="auto" w:fill="auto"/>
            <w:noWrap/>
            <w:vAlign w:val="center"/>
            <w:hideMark/>
          </w:tcPr>
          <w:p w14:paraId="68964642"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1,1</w:t>
            </w:r>
          </w:p>
        </w:tc>
        <w:tc>
          <w:tcPr>
            <w:tcW w:w="0" w:type="auto"/>
            <w:shd w:val="clear" w:color="auto" w:fill="auto"/>
            <w:noWrap/>
            <w:vAlign w:val="center"/>
            <w:hideMark/>
          </w:tcPr>
          <w:p w14:paraId="68123CE6"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3,1</w:t>
            </w:r>
          </w:p>
        </w:tc>
        <w:tc>
          <w:tcPr>
            <w:tcW w:w="0" w:type="auto"/>
            <w:shd w:val="clear" w:color="auto" w:fill="auto"/>
            <w:noWrap/>
            <w:vAlign w:val="center"/>
            <w:hideMark/>
          </w:tcPr>
          <w:p w14:paraId="1EB7251D"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3,0</w:t>
            </w:r>
          </w:p>
        </w:tc>
      </w:tr>
      <w:tr w:rsidR="00067161" w:rsidRPr="00BF51BB" w14:paraId="334BC7A3" w14:textId="77777777" w:rsidTr="00BF51BB">
        <w:trPr>
          <w:trHeight w:val="320"/>
        </w:trPr>
        <w:tc>
          <w:tcPr>
            <w:tcW w:w="0" w:type="auto"/>
            <w:vMerge w:val="restart"/>
            <w:shd w:val="clear" w:color="auto" w:fill="auto"/>
            <w:noWrap/>
            <w:vAlign w:val="center"/>
            <w:hideMark/>
          </w:tcPr>
          <w:p w14:paraId="69FDCCE9"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Kamatni rizik</w:t>
            </w:r>
          </w:p>
        </w:tc>
        <w:tc>
          <w:tcPr>
            <w:tcW w:w="0" w:type="auto"/>
            <w:shd w:val="clear" w:color="auto" w:fill="auto"/>
            <w:noWrap/>
            <w:vAlign w:val="center"/>
            <w:hideMark/>
          </w:tcPr>
          <w:p w14:paraId="48AAFB75"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Prosječno vrijeme refiksiranja (godine)</w:t>
            </w:r>
          </w:p>
        </w:tc>
        <w:tc>
          <w:tcPr>
            <w:tcW w:w="0" w:type="auto"/>
            <w:shd w:val="clear" w:color="auto" w:fill="auto"/>
            <w:noWrap/>
            <w:vAlign w:val="center"/>
            <w:hideMark/>
          </w:tcPr>
          <w:p w14:paraId="627D9829"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3,3</w:t>
            </w:r>
          </w:p>
        </w:tc>
        <w:tc>
          <w:tcPr>
            <w:tcW w:w="0" w:type="auto"/>
            <w:shd w:val="clear" w:color="auto" w:fill="auto"/>
            <w:noWrap/>
            <w:vAlign w:val="center"/>
            <w:hideMark/>
          </w:tcPr>
          <w:p w14:paraId="074342E0"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4,2</w:t>
            </w:r>
          </w:p>
        </w:tc>
        <w:tc>
          <w:tcPr>
            <w:tcW w:w="0" w:type="auto"/>
            <w:shd w:val="clear" w:color="auto" w:fill="auto"/>
            <w:noWrap/>
            <w:vAlign w:val="center"/>
            <w:hideMark/>
          </w:tcPr>
          <w:p w14:paraId="3A694705"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3,3</w:t>
            </w:r>
          </w:p>
        </w:tc>
        <w:tc>
          <w:tcPr>
            <w:tcW w:w="0" w:type="auto"/>
            <w:shd w:val="clear" w:color="auto" w:fill="auto"/>
            <w:noWrap/>
            <w:vAlign w:val="center"/>
            <w:hideMark/>
          </w:tcPr>
          <w:p w14:paraId="73D654C5"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3,6</w:t>
            </w:r>
          </w:p>
        </w:tc>
        <w:tc>
          <w:tcPr>
            <w:tcW w:w="0" w:type="auto"/>
            <w:shd w:val="clear" w:color="auto" w:fill="auto"/>
            <w:noWrap/>
            <w:vAlign w:val="center"/>
            <w:hideMark/>
          </w:tcPr>
          <w:p w14:paraId="007EEE20"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3,7</w:t>
            </w:r>
          </w:p>
        </w:tc>
        <w:tc>
          <w:tcPr>
            <w:tcW w:w="0" w:type="auto"/>
            <w:shd w:val="clear" w:color="auto" w:fill="auto"/>
            <w:noWrap/>
            <w:vAlign w:val="center"/>
            <w:hideMark/>
          </w:tcPr>
          <w:p w14:paraId="2081EC1D"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4,1</w:t>
            </w:r>
          </w:p>
        </w:tc>
      </w:tr>
      <w:tr w:rsidR="00067161" w:rsidRPr="00BF51BB" w14:paraId="00C1C598" w14:textId="77777777" w:rsidTr="00BF51BB">
        <w:trPr>
          <w:trHeight w:val="320"/>
        </w:trPr>
        <w:tc>
          <w:tcPr>
            <w:tcW w:w="0" w:type="auto"/>
            <w:vMerge/>
            <w:vAlign w:val="center"/>
            <w:hideMark/>
          </w:tcPr>
          <w:p w14:paraId="7D3698E8" w14:textId="77777777" w:rsidR="00067161" w:rsidRPr="00BF51B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3294F8ED"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Dug koji se refiksira u sljedećoj godini (%ukupnog)</w:t>
            </w:r>
          </w:p>
        </w:tc>
        <w:tc>
          <w:tcPr>
            <w:tcW w:w="0" w:type="auto"/>
            <w:shd w:val="clear" w:color="auto" w:fill="auto"/>
            <w:noWrap/>
            <w:vAlign w:val="center"/>
            <w:hideMark/>
          </w:tcPr>
          <w:p w14:paraId="181E68E7"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49,1</w:t>
            </w:r>
          </w:p>
        </w:tc>
        <w:tc>
          <w:tcPr>
            <w:tcW w:w="0" w:type="auto"/>
            <w:shd w:val="clear" w:color="auto" w:fill="auto"/>
            <w:noWrap/>
            <w:vAlign w:val="center"/>
            <w:hideMark/>
          </w:tcPr>
          <w:p w14:paraId="61AB205C"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47,5</w:t>
            </w:r>
          </w:p>
        </w:tc>
        <w:tc>
          <w:tcPr>
            <w:tcW w:w="0" w:type="auto"/>
            <w:shd w:val="clear" w:color="auto" w:fill="auto"/>
            <w:noWrap/>
            <w:vAlign w:val="center"/>
            <w:hideMark/>
          </w:tcPr>
          <w:p w14:paraId="7D055D55"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27,7</w:t>
            </w:r>
          </w:p>
        </w:tc>
        <w:tc>
          <w:tcPr>
            <w:tcW w:w="0" w:type="auto"/>
            <w:shd w:val="clear" w:color="auto" w:fill="auto"/>
            <w:noWrap/>
            <w:vAlign w:val="center"/>
            <w:hideMark/>
          </w:tcPr>
          <w:p w14:paraId="51DA8601"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33,9</w:t>
            </w:r>
          </w:p>
        </w:tc>
        <w:tc>
          <w:tcPr>
            <w:tcW w:w="0" w:type="auto"/>
            <w:shd w:val="clear" w:color="auto" w:fill="auto"/>
            <w:noWrap/>
            <w:vAlign w:val="center"/>
            <w:hideMark/>
          </w:tcPr>
          <w:p w14:paraId="4753C59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46</w:t>
            </w:r>
          </w:p>
        </w:tc>
        <w:tc>
          <w:tcPr>
            <w:tcW w:w="0" w:type="auto"/>
            <w:shd w:val="clear" w:color="auto" w:fill="auto"/>
            <w:noWrap/>
            <w:vAlign w:val="center"/>
            <w:hideMark/>
          </w:tcPr>
          <w:p w14:paraId="73CFAA36"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45,8</w:t>
            </w:r>
          </w:p>
        </w:tc>
      </w:tr>
      <w:tr w:rsidR="00067161" w:rsidRPr="00BF51BB" w14:paraId="594FF6D0" w14:textId="77777777" w:rsidTr="00BF51BB">
        <w:trPr>
          <w:trHeight w:val="320"/>
        </w:trPr>
        <w:tc>
          <w:tcPr>
            <w:tcW w:w="0" w:type="auto"/>
            <w:vMerge/>
            <w:vAlign w:val="center"/>
            <w:hideMark/>
          </w:tcPr>
          <w:p w14:paraId="24C601F5" w14:textId="77777777" w:rsidR="00067161" w:rsidRPr="00BF51B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5B45CE26"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Dug sa fiksnom kamatnom stopom  (% ukupnog)</w:t>
            </w:r>
          </w:p>
        </w:tc>
        <w:tc>
          <w:tcPr>
            <w:tcW w:w="0" w:type="auto"/>
            <w:shd w:val="clear" w:color="auto" w:fill="auto"/>
            <w:noWrap/>
            <w:vAlign w:val="center"/>
            <w:hideMark/>
          </w:tcPr>
          <w:p w14:paraId="20026B59"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55,4</w:t>
            </w:r>
          </w:p>
        </w:tc>
        <w:tc>
          <w:tcPr>
            <w:tcW w:w="0" w:type="auto"/>
            <w:shd w:val="clear" w:color="auto" w:fill="auto"/>
            <w:noWrap/>
            <w:vAlign w:val="center"/>
            <w:hideMark/>
          </w:tcPr>
          <w:p w14:paraId="17DD07E8"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57,1</w:t>
            </w:r>
          </w:p>
        </w:tc>
        <w:tc>
          <w:tcPr>
            <w:tcW w:w="0" w:type="auto"/>
            <w:shd w:val="clear" w:color="auto" w:fill="auto"/>
            <w:noWrap/>
            <w:vAlign w:val="center"/>
            <w:hideMark/>
          </w:tcPr>
          <w:p w14:paraId="1585093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100</w:t>
            </w:r>
          </w:p>
        </w:tc>
        <w:tc>
          <w:tcPr>
            <w:tcW w:w="0" w:type="auto"/>
            <w:shd w:val="clear" w:color="auto" w:fill="auto"/>
            <w:noWrap/>
            <w:vAlign w:val="center"/>
            <w:hideMark/>
          </w:tcPr>
          <w:p w14:paraId="2BBED307"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100,0</w:t>
            </w:r>
          </w:p>
        </w:tc>
        <w:tc>
          <w:tcPr>
            <w:tcW w:w="0" w:type="auto"/>
            <w:shd w:val="clear" w:color="auto" w:fill="auto"/>
            <w:noWrap/>
            <w:vAlign w:val="center"/>
            <w:hideMark/>
          </w:tcPr>
          <w:p w14:paraId="52B283CA"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61,9</w:t>
            </w:r>
          </w:p>
        </w:tc>
        <w:tc>
          <w:tcPr>
            <w:tcW w:w="0" w:type="auto"/>
            <w:shd w:val="clear" w:color="auto" w:fill="auto"/>
            <w:noWrap/>
            <w:vAlign w:val="center"/>
            <w:hideMark/>
          </w:tcPr>
          <w:p w14:paraId="2576CAD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62,5</w:t>
            </w:r>
          </w:p>
        </w:tc>
      </w:tr>
      <w:tr w:rsidR="00067161" w:rsidRPr="00BF51BB" w14:paraId="71645FED" w14:textId="77777777" w:rsidTr="00BF51BB">
        <w:trPr>
          <w:trHeight w:val="320"/>
        </w:trPr>
        <w:tc>
          <w:tcPr>
            <w:tcW w:w="0" w:type="auto"/>
            <w:vMerge w:val="restart"/>
            <w:shd w:val="clear" w:color="auto" w:fill="auto"/>
            <w:noWrap/>
            <w:vAlign w:val="center"/>
            <w:hideMark/>
          </w:tcPr>
          <w:p w14:paraId="6BBC748F" w14:textId="77777777" w:rsidR="00067161" w:rsidRPr="00BF51BB" w:rsidRDefault="00067161" w:rsidP="00067161">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Valutni rizik</w:t>
            </w:r>
          </w:p>
        </w:tc>
        <w:tc>
          <w:tcPr>
            <w:tcW w:w="0" w:type="auto"/>
            <w:shd w:val="clear" w:color="auto" w:fill="auto"/>
            <w:noWrap/>
            <w:vAlign w:val="center"/>
            <w:hideMark/>
          </w:tcPr>
          <w:p w14:paraId="37D07A7A"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Devizni dug  (% ukupnog duga)</w:t>
            </w:r>
          </w:p>
        </w:tc>
        <w:tc>
          <w:tcPr>
            <w:tcW w:w="0" w:type="auto"/>
            <w:shd w:val="clear" w:color="auto" w:fill="auto"/>
            <w:vAlign w:val="center"/>
            <w:hideMark/>
          </w:tcPr>
          <w:p w14:paraId="53F75CC8"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 </w:t>
            </w:r>
          </w:p>
        </w:tc>
        <w:tc>
          <w:tcPr>
            <w:tcW w:w="0" w:type="auto"/>
            <w:shd w:val="clear" w:color="auto" w:fill="auto"/>
            <w:noWrap/>
            <w:vAlign w:val="center"/>
            <w:hideMark/>
          </w:tcPr>
          <w:p w14:paraId="53AF42EA"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 </w:t>
            </w:r>
          </w:p>
        </w:tc>
        <w:tc>
          <w:tcPr>
            <w:tcW w:w="0" w:type="auto"/>
            <w:shd w:val="clear" w:color="auto" w:fill="auto"/>
            <w:vAlign w:val="center"/>
            <w:hideMark/>
          </w:tcPr>
          <w:p w14:paraId="05A6F82F"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 </w:t>
            </w:r>
          </w:p>
        </w:tc>
        <w:tc>
          <w:tcPr>
            <w:tcW w:w="0" w:type="auto"/>
            <w:shd w:val="clear" w:color="auto" w:fill="auto"/>
            <w:noWrap/>
            <w:vAlign w:val="center"/>
            <w:hideMark/>
          </w:tcPr>
          <w:p w14:paraId="718BC923"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 </w:t>
            </w:r>
          </w:p>
        </w:tc>
        <w:tc>
          <w:tcPr>
            <w:tcW w:w="0" w:type="auto"/>
            <w:shd w:val="clear" w:color="auto" w:fill="auto"/>
            <w:noWrap/>
            <w:vAlign w:val="center"/>
            <w:hideMark/>
          </w:tcPr>
          <w:p w14:paraId="1AB0280C"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85,4</w:t>
            </w:r>
          </w:p>
        </w:tc>
        <w:tc>
          <w:tcPr>
            <w:tcW w:w="0" w:type="auto"/>
            <w:shd w:val="clear" w:color="auto" w:fill="auto"/>
            <w:noWrap/>
            <w:vAlign w:val="center"/>
            <w:hideMark/>
          </w:tcPr>
          <w:p w14:paraId="72FD1039"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87,8</w:t>
            </w:r>
          </w:p>
        </w:tc>
      </w:tr>
      <w:tr w:rsidR="00067161" w:rsidRPr="00BF51BB" w14:paraId="79E6B8E6" w14:textId="77777777" w:rsidTr="00BF51BB">
        <w:trPr>
          <w:trHeight w:val="320"/>
        </w:trPr>
        <w:tc>
          <w:tcPr>
            <w:tcW w:w="0" w:type="auto"/>
            <w:vMerge/>
            <w:vAlign w:val="center"/>
            <w:hideMark/>
          </w:tcPr>
          <w:p w14:paraId="32C105CD" w14:textId="77777777" w:rsidR="00067161" w:rsidRPr="00BF51BB" w:rsidRDefault="00067161" w:rsidP="00067161">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3208694F" w14:textId="77777777" w:rsidR="00067161" w:rsidRPr="00BF51BB" w:rsidRDefault="00067161" w:rsidP="00067161">
            <w:pPr>
              <w:spacing w:after="0" w:line="240" w:lineRule="auto"/>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Kratkoročni devizni dug (% rezervi)</w:t>
            </w:r>
          </w:p>
        </w:tc>
        <w:tc>
          <w:tcPr>
            <w:tcW w:w="0" w:type="auto"/>
            <w:shd w:val="clear" w:color="auto" w:fill="auto"/>
            <w:vAlign w:val="center"/>
            <w:hideMark/>
          </w:tcPr>
          <w:p w14:paraId="07BCBB6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 </w:t>
            </w:r>
          </w:p>
        </w:tc>
        <w:tc>
          <w:tcPr>
            <w:tcW w:w="0" w:type="auto"/>
            <w:shd w:val="clear" w:color="auto" w:fill="auto"/>
            <w:noWrap/>
            <w:vAlign w:val="center"/>
            <w:hideMark/>
          </w:tcPr>
          <w:p w14:paraId="6E6DADF0"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 </w:t>
            </w:r>
          </w:p>
        </w:tc>
        <w:tc>
          <w:tcPr>
            <w:tcW w:w="0" w:type="auto"/>
            <w:shd w:val="clear" w:color="auto" w:fill="auto"/>
            <w:vAlign w:val="center"/>
            <w:hideMark/>
          </w:tcPr>
          <w:p w14:paraId="00B6BC63"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 </w:t>
            </w:r>
          </w:p>
        </w:tc>
        <w:tc>
          <w:tcPr>
            <w:tcW w:w="0" w:type="auto"/>
            <w:shd w:val="clear" w:color="auto" w:fill="auto"/>
            <w:noWrap/>
            <w:vAlign w:val="center"/>
            <w:hideMark/>
          </w:tcPr>
          <w:p w14:paraId="7D65E087"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 </w:t>
            </w:r>
          </w:p>
        </w:tc>
        <w:tc>
          <w:tcPr>
            <w:tcW w:w="0" w:type="auto"/>
            <w:shd w:val="clear" w:color="auto" w:fill="auto"/>
            <w:noWrap/>
            <w:vAlign w:val="center"/>
            <w:hideMark/>
          </w:tcPr>
          <w:p w14:paraId="48638E95"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3,7</w:t>
            </w:r>
          </w:p>
        </w:tc>
        <w:tc>
          <w:tcPr>
            <w:tcW w:w="0" w:type="auto"/>
            <w:shd w:val="clear" w:color="auto" w:fill="auto"/>
            <w:noWrap/>
            <w:vAlign w:val="center"/>
            <w:hideMark/>
          </w:tcPr>
          <w:p w14:paraId="2E61D2F4" w14:textId="77777777" w:rsidR="00067161" w:rsidRPr="00BF51BB" w:rsidRDefault="00067161" w:rsidP="00067161">
            <w:pPr>
              <w:spacing w:after="0" w:line="240" w:lineRule="auto"/>
              <w:jc w:val="right"/>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3,0</w:t>
            </w:r>
          </w:p>
        </w:tc>
      </w:tr>
    </w:tbl>
    <w:p w14:paraId="79784F94" w14:textId="112BE64C" w:rsidR="00FB77C6" w:rsidRPr="00BF51BB" w:rsidRDefault="00FB77C6" w:rsidP="00CC15D4">
      <w:pPr>
        <w:pStyle w:val="Heading2"/>
        <w:spacing w:before="0"/>
        <w:rPr>
          <w:rFonts w:ascii="Arial" w:hAnsi="Arial" w:cs="Arial"/>
          <w:b w:val="0"/>
          <w:color w:val="auto"/>
        </w:rPr>
      </w:pPr>
    </w:p>
    <w:p w14:paraId="4F8D9D27" w14:textId="77777777" w:rsidR="00ED768D" w:rsidRPr="00BF51BB" w:rsidRDefault="00ED768D" w:rsidP="00050C2A">
      <w:pPr>
        <w:pStyle w:val="Heading2"/>
        <w:numPr>
          <w:ilvl w:val="1"/>
          <w:numId w:val="12"/>
        </w:numPr>
        <w:spacing w:before="0"/>
        <w:ind w:left="993" w:hanging="709"/>
        <w:rPr>
          <w:rFonts w:ascii="Arial" w:hAnsi="Arial" w:cs="Arial"/>
          <w:b w:val="0"/>
          <w:color w:val="auto"/>
          <w:sz w:val="24"/>
        </w:rPr>
      </w:pPr>
      <w:bookmarkStart w:id="102" w:name="_Toc100751750"/>
      <w:bookmarkStart w:id="103" w:name="_Toc100754207"/>
      <w:bookmarkStart w:id="104" w:name="_Toc100754651"/>
      <w:bookmarkStart w:id="105" w:name="_Toc100755043"/>
      <w:bookmarkStart w:id="106" w:name="_Toc100818774"/>
      <w:bookmarkStart w:id="107" w:name="_Toc100820480"/>
      <w:bookmarkStart w:id="108" w:name="_Toc100822768"/>
      <w:bookmarkStart w:id="109" w:name="_Toc100823307"/>
      <w:bookmarkStart w:id="110" w:name="_Toc100823750"/>
      <w:bookmarkStart w:id="111" w:name="_Toc101781037"/>
      <w:bookmarkEnd w:id="102"/>
      <w:bookmarkEnd w:id="103"/>
      <w:bookmarkEnd w:id="104"/>
      <w:bookmarkEnd w:id="105"/>
      <w:bookmarkEnd w:id="106"/>
      <w:bookmarkEnd w:id="107"/>
      <w:bookmarkEnd w:id="108"/>
      <w:bookmarkEnd w:id="109"/>
      <w:bookmarkEnd w:id="110"/>
      <w:r w:rsidRPr="00BF51BB">
        <w:rPr>
          <w:rFonts w:ascii="Arial" w:hAnsi="Arial" w:cs="Arial"/>
          <w:b w:val="0"/>
          <w:color w:val="auto"/>
          <w:sz w:val="24"/>
        </w:rPr>
        <w:t>Rizik refinansiranja</w:t>
      </w:r>
      <w:bookmarkEnd w:id="111"/>
    </w:p>
    <w:p w14:paraId="06D2B970" w14:textId="77777777" w:rsidR="00ED768D" w:rsidRPr="00BF51BB" w:rsidRDefault="00ED768D" w:rsidP="00050C2A">
      <w:pPr>
        <w:pStyle w:val="ParagraphNumbering"/>
        <w:numPr>
          <w:ilvl w:val="0"/>
          <w:numId w:val="0"/>
        </w:numPr>
        <w:spacing w:after="0" w:line="240" w:lineRule="auto"/>
        <w:jc w:val="both"/>
        <w:rPr>
          <w:rFonts w:ascii="Arial" w:hAnsi="Arial" w:cs="Arial"/>
          <w:bCs/>
        </w:rPr>
      </w:pPr>
    </w:p>
    <w:p w14:paraId="4A112BBD" w14:textId="795DFBF4" w:rsidR="00ED768D" w:rsidRPr="00BF51BB" w:rsidRDefault="00ED768D" w:rsidP="0030021E">
      <w:pPr>
        <w:pStyle w:val="ParagraphNumbering"/>
        <w:numPr>
          <w:ilvl w:val="0"/>
          <w:numId w:val="0"/>
        </w:numPr>
        <w:spacing w:after="0" w:line="276" w:lineRule="auto"/>
        <w:ind w:firstLine="284"/>
        <w:jc w:val="both"/>
        <w:rPr>
          <w:rFonts w:ascii="Arial" w:hAnsi="Arial" w:cs="Arial"/>
          <w:bCs/>
        </w:rPr>
      </w:pPr>
      <w:r w:rsidRPr="00BF51BB">
        <w:rPr>
          <w:rFonts w:ascii="Arial" w:hAnsi="Arial" w:cs="Arial"/>
          <w:bCs/>
          <w:sz w:val="22"/>
        </w:rPr>
        <w:t xml:space="preserve">Rizik refinansiranja je </w:t>
      </w:r>
      <w:r w:rsidR="00AD738E" w:rsidRPr="00BF51BB">
        <w:rPr>
          <w:rFonts w:ascii="Arial" w:hAnsi="Arial" w:cs="Arial"/>
          <w:bCs/>
          <w:sz w:val="22"/>
        </w:rPr>
        <w:t>značajan</w:t>
      </w:r>
      <w:r w:rsidRPr="00BF51BB">
        <w:rPr>
          <w:rFonts w:ascii="Arial" w:hAnsi="Arial" w:cs="Arial"/>
          <w:bCs/>
          <w:sz w:val="22"/>
        </w:rPr>
        <w:t xml:space="preserve"> i za unutrašnji i za vanjski dug i koncentriran je na kratki i srednji rok.</w:t>
      </w:r>
      <w:r w:rsidRPr="00BF51BB">
        <w:rPr>
          <w:rFonts w:ascii="Arial" w:hAnsi="Arial" w:cs="Arial"/>
          <w:b/>
          <w:bCs/>
          <w:sz w:val="22"/>
        </w:rPr>
        <w:t xml:space="preserve"> </w:t>
      </w:r>
      <w:r w:rsidRPr="00BF51BB">
        <w:rPr>
          <w:rFonts w:ascii="Arial" w:hAnsi="Arial" w:cs="Arial"/>
          <w:bCs/>
          <w:sz w:val="22"/>
        </w:rPr>
        <w:t xml:space="preserve">Prosječno vrijeme dospijeća (ATM) za unutrašnji dug </w:t>
      </w:r>
      <w:r w:rsidR="002C46EF" w:rsidRPr="00BF51BB">
        <w:rPr>
          <w:rFonts w:ascii="Arial" w:hAnsi="Arial" w:cs="Arial"/>
          <w:bCs/>
          <w:sz w:val="22"/>
        </w:rPr>
        <w:t>iznosi</w:t>
      </w:r>
      <w:r w:rsidRPr="00BF51BB">
        <w:rPr>
          <w:rFonts w:ascii="Arial" w:hAnsi="Arial" w:cs="Arial"/>
          <w:bCs/>
          <w:sz w:val="22"/>
        </w:rPr>
        <w:t xml:space="preserve"> </w:t>
      </w:r>
      <w:r w:rsidR="009B693C" w:rsidRPr="00BF51BB">
        <w:rPr>
          <w:rFonts w:ascii="Arial" w:hAnsi="Arial" w:cs="Arial"/>
          <w:bCs/>
          <w:sz w:val="22"/>
        </w:rPr>
        <w:t>3,</w:t>
      </w:r>
      <w:r w:rsidR="004740A2" w:rsidRPr="00BF51BB">
        <w:rPr>
          <w:rFonts w:ascii="Arial" w:hAnsi="Arial" w:cs="Arial"/>
          <w:bCs/>
          <w:sz w:val="22"/>
        </w:rPr>
        <w:t>6</w:t>
      </w:r>
      <w:r w:rsidR="0012277F" w:rsidRPr="00BF51BB">
        <w:rPr>
          <w:rFonts w:ascii="Arial" w:hAnsi="Arial" w:cs="Arial"/>
          <w:bCs/>
          <w:sz w:val="22"/>
        </w:rPr>
        <w:t xml:space="preserve"> godina</w:t>
      </w:r>
      <w:r w:rsidR="00D70067" w:rsidRPr="00BF51BB">
        <w:rPr>
          <w:rFonts w:ascii="Arial" w:hAnsi="Arial" w:cs="Arial"/>
          <w:bCs/>
          <w:sz w:val="22"/>
        </w:rPr>
        <w:t>, a</w:t>
      </w:r>
      <w:r w:rsidR="00AF5DED" w:rsidRPr="00BF51BB">
        <w:rPr>
          <w:rFonts w:ascii="Arial" w:hAnsi="Arial" w:cs="Arial"/>
          <w:bCs/>
          <w:sz w:val="22"/>
        </w:rPr>
        <w:t xml:space="preserve"> </w:t>
      </w:r>
      <w:r w:rsidR="003C10D3" w:rsidRPr="00BF51BB">
        <w:rPr>
          <w:rFonts w:ascii="Arial" w:hAnsi="Arial" w:cs="Arial"/>
          <w:bCs/>
          <w:sz w:val="22"/>
        </w:rPr>
        <w:t>6,</w:t>
      </w:r>
      <w:r w:rsidR="004740A2" w:rsidRPr="00BF51BB">
        <w:rPr>
          <w:rFonts w:ascii="Arial" w:hAnsi="Arial" w:cs="Arial"/>
          <w:bCs/>
          <w:sz w:val="22"/>
        </w:rPr>
        <w:t>6</w:t>
      </w:r>
      <w:r w:rsidRPr="00BF51BB">
        <w:rPr>
          <w:rFonts w:ascii="Arial" w:hAnsi="Arial" w:cs="Arial"/>
          <w:bCs/>
          <w:sz w:val="22"/>
        </w:rPr>
        <w:t xml:space="preserve"> godina </w:t>
      </w:r>
      <w:r w:rsidR="0012277F" w:rsidRPr="00BF51BB">
        <w:rPr>
          <w:rFonts w:ascii="Arial" w:hAnsi="Arial" w:cs="Arial"/>
          <w:bCs/>
          <w:sz w:val="22"/>
        </w:rPr>
        <w:t xml:space="preserve">za </w:t>
      </w:r>
      <w:r w:rsidRPr="00BF51BB">
        <w:rPr>
          <w:rFonts w:ascii="Arial" w:hAnsi="Arial" w:cs="Arial"/>
          <w:bCs/>
          <w:sz w:val="22"/>
        </w:rPr>
        <w:t xml:space="preserve">vanjski dug. </w:t>
      </w:r>
      <w:r w:rsidR="002C46EF" w:rsidRPr="00BF51BB">
        <w:rPr>
          <w:rFonts w:ascii="Arial" w:hAnsi="Arial" w:cs="Arial"/>
          <w:bCs/>
          <w:sz w:val="22"/>
        </w:rPr>
        <w:t xml:space="preserve">Prosječno vrijeme dospijeća ukupnog duga iznosi </w:t>
      </w:r>
      <w:r w:rsidR="004740A2" w:rsidRPr="00BF51BB">
        <w:rPr>
          <w:rFonts w:ascii="Arial" w:hAnsi="Arial" w:cs="Arial"/>
          <w:bCs/>
          <w:sz w:val="22"/>
        </w:rPr>
        <w:t>6,2</w:t>
      </w:r>
      <w:r w:rsidR="002C46EF" w:rsidRPr="00BF51BB">
        <w:rPr>
          <w:rFonts w:ascii="Arial" w:hAnsi="Arial" w:cs="Arial"/>
          <w:bCs/>
          <w:sz w:val="22"/>
        </w:rPr>
        <w:t xml:space="preserve"> godina. </w:t>
      </w:r>
      <w:r w:rsidRPr="00BF51BB">
        <w:rPr>
          <w:rFonts w:ascii="Arial" w:hAnsi="Arial" w:cs="Arial"/>
          <w:bCs/>
          <w:sz w:val="22"/>
        </w:rPr>
        <w:t xml:space="preserve">Kraće prosječno vrijeme dospijeća unutrašnjeg duga </w:t>
      </w:r>
      <w:r w:rsidR="00D22626" w:rsidRPr="00BF51BB">
        <w:rPr>
          <w:rFonts w:ascii="Arial" w:hAnsi="Arial" w:cs="Arial"/>
          <w:bCs/>
          <w:sz w:val="22"/>
        </w:rPr>
        <w:t xml:space="preserve">u odnosu na vanjski dug rezultat je </w:t>
      </w:r>
      <w:r w:rsidR="00345A44" w:rsidRPr="00BF51BB">
        <w:rPr>
          <w:rFonts w:ascii="Arial" w:hAnsi="Arial" w:cs="Arial"/>
          <w:bCs/>
          <w:sz w:val="22"/>
        </w:rPr>
        <w:t xml:space="preserve">stepena </w:t>
      </w:r>
      <w:r w:rsidR="00D22626" w:rsidRPr="00BF51BB">
        <w:rPr>
          <w:rFonts w:ascii="Arial" w:hAnsi="Arial" w:cs="Arial"/>
          <w:bCs/>
          <w:sz w:val="22"/>
        </w:rPr>
        <w:t>razvijenosti domaćeg tržišta vrijednosnih papira</w:t>
      </w:r>
      <w:r w:rsidR="00EA7C7A" w:rsidRPr="00BF51BB">
        <w:rPr>
          <w:rFonts w:ascii="Arial" w:hAnsi="Arial" w:cs="Arial"/>
          <w:bCs/>
          <w:sz w:val="22"/>
        </w:rPr>
        <w:t>,</w:t>
      </w:r>
      <w:r w:rsidR="00CE3C2E" w:rsidRPr="00BF51BB">
        <w:rPr>
          <w:rFonts w:ascii="Arial" w:hAnsi="Arial" w:cs="Arial"/>
          <w:bCs/>
          <w:sz w:val="22"/>
        </w:rPr>
        <w:t xml:space="preserve"> s</w:t>
      </w:r>
      <w:r w:rsidR="00D22626" w:rsidRPr="00BF51BB">
        <w:rPr>
          <w:rFonts w:ascii="Arial" w:hAnsi="Arial" w:cs="Arial"/>
          <w:bCs/>
          <w:sz w:val="22"/>
        </w:rPr>
        <w:t xml:space="preserve"> </w:t>
      </w:r>
      <w:r w:rsidR="0030021E" w:rsidRPr="00BF51BB">
        <w:rPr>
          <w:rFonts w:ascii="Arial" w:hAnsi="Arial" w:cs="Arial"/>
          <w:bCs/>
          <w:sz w:val="22"/>
        </w:rPr>
        <w:t xml:space="preserve">obzirom da </w:t>
      </w:r>
      <w:r w:rsidR="00D22626" w:rsidRPr="00BF51BB">
        <w:rPr>
          <w:rFonts w:ascii="Arial" w:hAnsi="Arial" w:cs="Arial"/>
          <w:bCs/>
          <w:sz w:val="22"/>
        </w:rPr>
        <w:t xml:space="preserve">na istom ne </w:t>
      </w:r>
      <w:r w:rsidR="00400A00" w:rsidRPr="00BF51BB">
        <w:rPr>
          <w:rFonts w:ascii="Arial" w:hAnsi="Arial" w:cs="Arial"/>
          <w:bCs/>
          <w:sz w:val="22"/>
        </w:rPr>
        <w:t xml:space="preserve">postoji </w:t>
      </w:r>
      <w:r w:rsidR="00D22626" w:rsidRPr="00BF51BB">
        <w:rPr>
          <w:rFonts w:ascii="Arial" w:hAnsi="Arial" w:cs="Arial"/>
          <w:bCs/>
          <w:sz w:val="22"/>
        </w:rPr>
        <w:t xml:space="preserve">značajniji </w:t>
      </w:r>
      <w:r w:rsidR="00DD7322" w:rsidRPr="00BF51BB">
        <w:rPr>
          <w:rFonts w:ascii="Arial" w:hAnsi="Arial" w:cs="Arial"/>
          <w:bCs/>
          <w:sz w:val="22"/>
        </w:rPr>
        <w:t xml:space="preserve">tržišni potencijal </w:t>
      </w:r>
      <w:r w:rsidR="00D22626" w:rsidRPr="00BF51BB">
        <w:rPr>
          <w:rFonts w:ascii="Arial" w:hAnsi="Arial" w:cs="Arial"/>
          <w:bCs/>
          <w:sz w:val="22"/>
        </w:rPr>
        <w:t>za izdavanjem obveznica sa dužim rokom dosp</w:t>
      </w:r>
      <w:r w:rsidR="00D945EA" w:rsidRPr="00BF51BB">
        <w:rPr>
          <w:rFonts w:ascii="Arial" w:hAnsi="Arial" w:cs="Arial"/>
          <w:bCs/>
          <w:sz w:val="22"/>
        </w:rPr>
        <w:t>i</w:t>
      </w:r>
      <w:r w:rsidR="00D22626" w:rsidRPr="00BF51BB">
        <w:rPr>
          <w:rFonts w:ascii="Arial" w:hAnsi="Arial" w:cs="Arial"/>
          <w:bCs/>
          <w:sz w:val="22"/>
        </w:rPr>
        <w:t>jeća</w:t>
      </w:r>
      <w:r w:rsidR="00EA7C7A" w:rsidRPr="00BF51BB">
        <w:rPr>
          <w:rFonts w:ascii="Arial" w:hAnsi="Arial" w:cs="Arial"/>
          <w:bCs/>
          <w:sz w:val="22"/>
        </w:rPr>
        <w:t>, i</w:t>
      </w:r>
      <w:r w:rsidRPr="00BF51BB">
        <w:rPr>
          <w:rFonts w:ascii="Arial" w:hAnsi="Arial" w:cs="Arial"/>
          <w:bCs/>
          <w:sz w:val="22"/>
        </w:rPr>
        <w:t xml:space="preserve"> </w:t>
      </w:r>
      <w:r w:rsidR="00EA7C7A" w:rsidRPr="00BF51BB">
        <w:rPr>
          <w:rFonts w:ascii="Arial" w:hAnsi="Arial" w:cs="Arial"/>
          <w:bCs/>
          <w:sz w:val="22"/>
        </w:rPr>
        <w:t>obaveza po osnovu unutrašnjeg duga utvrđenih zakonom (obveznice izdane za izmirenje ratnih potraživanja).</w:t>
      </w:r>
      <w:r w:rsidR="007A2F27" w:rsidRPr="00BF51BB">
        <w:rPr>
          <w:rFonts w:ascii="Arial" w:hAnsi="Arial" w:cs="Arial"/>
          <w:bCs/>
          <w:sz w:val="22"/>
        </w:rPr>
        <w:t xml:space="preserve"> </w:t>
      </w:r>
    </w:p>
    <w:p w14:paraId="42C61B10" w14:textId="77777777" w:rsidR="00315942" w:rsidRPr="00BF51BB" w:rsidRDefault="00315942" w:rsidP="00ED768D">
      <w:pPr>
        <w:spacing w:after="0" w:line="240" w:lineRule="auto"/>
        <w:ind w:right="-46"/>
        <w:rPr>
          <w:rFonts w:ascii="Arial" w:hAnsi="Arial" w:cs="Arial"/>
          <w:highlight w:val="green"/>
        </w:rPr>
      </w:pPr>
    </w:p>
    <w:p w14:paraId="4BE1AF39" w14:textId="4AD285C4" w:rsidR="00ED768D" w:rsidRPr="00BF51BB" w:rsidRDefault="00ED768D" w:rsidP="00ED768D">
      <w:pPr>
        <w:spacing w:after="0" w:line="240" w:lineRule="auto"/>
        <w:ind w:right="-46"/>
        <w:rPr>
          <w:rFonts w:ascii="Arial" w:hAnsi="Arial" w:cs="Arial"/>
        </w:rPr>
      </w:pPr>
      <w:r w:rsidRPr="00BF51BB">
        <w:rPr>
          <w:rFonts w:ascii="Arial" w:hAnsi="Arial" w:cs="Arial"/>
        </w:rPr>
        <w:t xml:space="preserve">Slika </w:t>
      </w:r>
      <w:r w:rsidR="008A7690" w:rsidRPr="00BF51BB">
        <w:rPr>
          <w:rFonts w:ascii="Arial" w:hAnsi="Arial" w:cs="Arial"/>
        </w:rPr>
        <w:t>5</w:t>
      </w:r>
      <w:r w:rsidRPr="00BF51BB">
        <w:rPr>
          <w:rFonts w:ascii="Arial" w:hAnsi="Arial" w:cs="Arial"/>
        </w:rPr>
        <w:t xml:space="preserve">. </w:t>
      </w:r>
      <w:r w:rsidRPr="00BF51BB">
        <w:rPr>
          <w:rFonts w:ascii="Arial" w:eastAsia="SimSun" w:hAnsi="Arial" w:cs="Arial"/>
          <w:bCs/>
          <w:szCs w:val="24"/>
        </w:rPr>
        <w:t>Profil otplate duga F</w:t>
      </w:r>
      <w:r w:rsidR="00972565" w:rsidRPr="00BF51BB">
        <w:rPr>
          <w:rFonts w:ascii="Arial" w:eastAsia="SimSun" w:hAnsi="Arial" w:cs="Arial"/>
          <w:bCs/>
          <w:szCs w:val="24"/>
        </w:rPr>
        <w:t xml:space="preserve">ederacije </w:t>
      </w:r>
      <w:r w:rsidRPr="00BF51BB">
        <w:rPr>
          <w:rFonts w:ascii="Arial" w:eastAsia="SimSun" w:hAnsi="Arial" w:cs="Arial"/>
          <w:bCs/>
          <w:szCs w:val="24"/>
        </w:rPr>
        <w:t>BiH na dan 31.12.</w:t>
      </w:r>
      <w:r w:rsidR="00014E48" w:rsidRPr="00BF51BB">
        <w:rPr>
          <w:rFonts w:ascii="Arial" w:eastAsia="SimSun" w:hAnsi="Arial" w:cs="Arial"/>
          <w:bCs/>
          <w:szCs w:val="24"/>
        </w:rPr>
        <w:t>2021</w:t>
      </w:r>
      <w:r w:rsidRPr="00BF51BB">
        <w:rPr>
          <w:rFonts w:ascii="Arial" w:eastAsia="SimSun" w:hAnsi="Arial" w:cs="Arial"/>
          <w:bCs/>
          <w:szCs w:val="24"/>
        </w:rPr>
        <w:t>. godine (mil.</w:t>
      </w:r>
      <w:r w:rsidR="00FB77C6" w:rsidRPr="00BF51BB">
        <w:rPr>
          <w:rFonts w:ascii="Arial" w:eastAsia="SimSun" w:hAnsi="Arial" w:cs="Arial"/>
          <w:bCs/>
          <w:szCs w:val="24"/>
        </w:rPr>
        <w:t xml:space="preserve"> </w:t>
      </w:r>
      <w:r w:rsidR="00E672EB" w:rsidRPr="00BF51BB">
        <w:rPr>
          <w:rFonts w:ascii="Arial" w:eastAsia="SimSun" w:hAnsi="Arial" w:cs="Arial"/>
          <w:bCs/>
          <w:szCs w:val="24"/>
        </w:rPr>
        <w:t>KM</w:t>
      </w:r>
      <w:r w:rsidRPr="00BF51BB">
        <w:rPr>
          <w:rFonts w:ascii="Arial" w:eastAsia="SimSun" w:hAnsi="Arial" w:cs="Arial"/>
          <w:bCs/>
          <w:szCs w:val="24"/>
        </w:rPr>
        <w:t>)</w:t>
      </w:r>
      <w:r w:rsidRPr="00BF51BB">
        <w:rPr>
          <w:rFonts w:ascii="Arial" w:hAnsi="Arial" w:cs="Arial"/>
        </w:rPr>
        <w:t xml:space="preserve">  </w:t>
      </w:r>
    </w:p>
    <w:p w14:paraId="4509176B" w14:textId="77777777" w:rsidR="00315942" w:rsidRPr="00BF51BB" w:rsidRDefault="00315942" w:rsidP="00ED768D">
      <w:pPr>
        <w:spacing w:after="0" w:line="240" w:lineRule="auto"/>
        <w:ind w:right="-46"/>
        <w:rPr>
          <w:rFonts w:ascii="Arial" w:hAnsi="Arial" w:cs="Arial"/>
        </w:rPr>
      </w:pPr>
    </w:p>
    <w:p w14:paraId="70CAF8AD" w14:textId="5A1679A1" w:rsidR="00014E48" w:rsidRPr="00BF51BB" w:rsidRDefault="00014E48" w:rsidP="00ED768D">
      <w:pPr>
        <w:spacing w:after="0" w:line="240" w:lineRule="auto"/>
        <w:ind w:right="-46"/>
        <w:rPr>
          <w:rFonts w:ascii="Arial" w:hAnsi="Arial" w:cs="Arial"/>
        </w:rPr>
      </w:pPr>
      <w:r w:rsidRPr="00BF51BB">
        <w:rPr>
          <w:noProof/>
          <w:lang w:val="en-US"/>
        </w:rPr>
        <w:drawing>
          <wp:inline distT="0" distB="0" distL="0" distR="0" wp14:anchorId="2B450A87" wp14:editId="110FD5CA">
            <wp:extent cx="5925600" cy="2408400"/>
            <wp:effectExtent l="0" t="0" r="18415" b="114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011C9C" w14:textId="77777777" w:rsidR="00307DFE" w:rsidRPr="00BF51BB" w:rsidRDefault="00307DFE" w:rsidP="00ED768D">
      <w:pPr>
        <w:spacing w:after="0" w:line="240" w:lineRule="auto"/>
        <w:ind w:right="-46"/>
        <w:rPr>
          <w:rFonts w:ascii="Arial" w:hAnsi="Arial" w:cs="Arial"/>
        </w:rPr>
      </w:pPr>
    </w:p>
    <w:p w14:paraId="36DE5DE8" w14:textId="77777777" w:rsidR="00CC15D4" w:rsidRDefault="00CC15D4" w:rsidP="00BF51BB">
      <w:pPr>
        <w:spacing w:after="0" w:line="240" w:lineRule="auto"/>
        <w:ind w:right="-46"/>
        <w:rPr>
          <w:rFonts w:ascii="Arial" w:hAnsi="Arial" w:cs="Arial"/>
          <w:szCs w:val="24"/>
        </w:rPr>
      </w:pPr>
    </w:p>
    <w:p w14:paraId="2A27354A" w14:textId="77777777" w:rsidR="00CC15D4" w:rsidRDefault="00CC15D4" w:rsidP="00BF51BB">
      <w:pPr>
        <w:spacing w:after="0" w:line="240" w:lineRule="auto"/>
        <w:ind w:right="-46"/>
        <w:rPr>
          <w:rFonts w:ascii="Arial" w:hAnsi="Arial" w:cs="Arial"/>
          <w:szCs w:val="24"/>
        </w:rPr>
      </w:pPr>
    </w:p>
    <w:p w14:paraId="01003643" w14:textId="2052F900" w:rsidR="00894F63" w:rsidRPr="00BF51BB" w:rsidRDefault="00ED768D" w:rsidP="00BF51BB">
      <w:pPr>
        <w:spacing w:after="0" w:line="240" w:lineRule="auto"/>
        <w:ind w:right="-46"/>
        <w:rPr>
          <w:rFonts w:ascii="Arial" w:hAnsi="Arial" w:cs="Arial"/>
          <w:szCs w:val="24"/>
        </w:rPr>
      </w:pPr>
      <w:r w:rsidRPr="00BF51BB">
        <w:rPr>
          <w:rFonts w:ascii="Arial" w:hAnsi="Arial" w:cs="Arial"/>
          <w:szCs w:val="24"/>
        </w:rPr>
        <w:lastRenderedPageBreak/>
        <w:t xml:space="preserve">Slika </w:t>
      </w:r>
      <w:r w:rsidR="008A7690" w:rsidRPr="00BF51BB">
        <w:rPr>
          <w:rFonts w:ascii="Arial" w:hAnsi="Arial" w:cs="Arial"/>
          <w:szCs w:val="24"/>
        </w:rPr>
        <w:t>6</w:t>
      </w:r>
      <w:r w:rsidRPr="00BF51BB">
        <w:rPr>
          <w:rFonts w:ascii="Arial" w:hAnsi="Arial" w:cs="Arial"/>
          <w:szCs w:val="24"/>
        </w:rPr>
        <w:t xml:space="preserve">. Profil otplate duga </w:t>
      </w:r>
      <w:r w:rsidRPr="00BF51BB">
        <w:rPr>
          <w:rFonts w:ascii="Arial" w:hAnsi="Arial" w:cs="Arial"/>
        </w:rPr>
        <w:t>F</w:t>
      </w:r>
      <w:r w:rsidR="00972565" w:rsidRPr="00BF51BB">
        <w:rPr>
          <w:rFonts w:ascii="Arial" w:hAnsi="Arial" w:cs="Arial"/>
        </w:rPr>
        <w:t xml:space="preserve">ederacije </w:t>
      </w:r>
      <w:r w:rsidRPr="00BF51BB">
        <w:rPr>
          <w:rFonts w:ascii="Arial" w:hAnsi="Arial" w:cs="Arial"/>
        </w:rPr>
        <w:t>BiH</w:t>
      </w:r>
      <w:r w:rsidRPr="00BF51BB">
        <w:rPr>
          <w:rFonts w:ascii="Arial" w:hAnsi="Arial" w:cs="Arial"/>
          <w:sz w:val="24"/>
          <w:szCs w:val="24"/>
        </w:rPr>
        <w:t xml:space="preserve"> </w:t>
      </w:r>
      <w:r w:rsidRPr="00BF51BB">
        <w:rPr>
          <w:rFonts w:ascii="Arial" w:hAnsi="Arial" w:cs="Arial"/>
          <w:szCs w:val="24"/>
        </w:rPr>
        <w:t xml:space="preserve">prema </w:t>
      </w:r>
      <w:r w:rsidR="006F06B8" w:rsidRPr="00BF51BB">
        <w:rPr>
          <w:rFonts w:ascii="Arial" w:hAnsi="Arial" w:cs="Arial"/>
          <w:szCs w:val="24"/>
        </w:rPr>
        <w:t>IMF</w:t>
      </w:r>
      <w:r w:rsidR="00692DE1" w:rsidRPr="00BF51BB">
        <w:rPr>
          <w:rFonts w:ascii="Arial" w:hAnsi="Arial" w:cs="Arial"/>
          <w:szCs w:val="24"/>
        </w:rPr>
        <w:t>-u</w:t>
      </w:r>
      <w:r w:rsidRPr="00BF51BB">
        <w:rPr>
          <w:rFonts w:ascii="Arial" w:hAnsi="Arial" w:cs="Arial"/>
          <w:szCs w:val="24"/>
        </w:rPr>
        <w:t>, na dan 31.12.</w:t>
      </w:r>
      <w:r w:rsidR="00014E48" w:rsidRPr="00BF51BB">
        <w:rPr>
          <w:rFonts w:ascii="Arial" w:hAnsi="Arial" w:cs="Arial"/>
          <w:szCs w:val="24"/>
        </w:rPr>
        <w:t>2021</w:t>
      </w:r>
      <w:r w:rsidRPr="00BF51BB">
        <w:rPr>
          <w:rFonts w:ascii="Arial" w:hAnsi="Arial" w:cs="Arial"/>
          <w:szCs w:val="24"/>
        </w:rPr>
        <w:t>. godine</w:t>
      </w:r>
      <w:r w:rsidR="006870C2" w:rsidRPr="00BF51BB">
        <w:rPr>
          <w:rFonts w:ascii="Arial" w:hAnsi="Arial" w:cs="Arial"/>
          <w:szCs w:val="24"/>
        </w:rPr>
        <w:t xml:space="preserve"> </w:t>
      </w:r>
      <w:r w:rsidR="004B4150" w:rsidRPr="00BF51BB">
        <w:rPr>
          <w:rFonts w:ascii="Arial" w:hAnsi="Arial" w:cs="Arial"/>
          <w:szCs w:val="24"/>
        </w:rPr>
        <w:t xml:space="preserve">  </w:t>
      </w:r>
      <w:r w:rsidR="006870C2" w:rsidRPr="00BF51BB">
        <w:rPr>
          <w:rFonts w:ascii="Arial" w:hAnsi="Arial" w:cs="Arial"/>
          <w:szCs w:val="24"/>
        </w:rPr>
        <w:t>(</w:t>
      </w:r>
      <w:r w:rsidR="00E672EB" w:rsidRPr="00BF51BB">
        <w:rPr>
          <w:rFonts w:ascii="Arial" w:hAnsi="Arial" w:cs="Arial"/>
          <w:szCs w:val="24"/>
        </w:rPr>
        <w:t>mil.</w:t>
      </w:r>
      <w:r w:rsidR="00FB77C6" w:rsidRPr="00BF51BB">
        <w:rPr>
          <w:rFonts w:ascii="Arial" w:hAnsi="Arial" w:cs="Arial"/>
          <w:szCs w:val="24"/>
        </w:rPr>
        <w:t xml:space="preserve"> </w:t>
      </w:r>
      <w:r w:rsidR="00E672EB" w:rsidRPr="00BF51BB">
        <w:rPr>
          <w:rFonts w:ascii="Arial" w:hAnsi="Arial" w:cs="Arial"/>
          <w:szCs w:val="24"/>
        </w:rPr>
        <w:t>KM</w:t>
      </w:r>
      <w:r w:rsidR="00692DE1" w:rsidRPr="00BF51BB">
        <w:rPr>
          <w:rFonts w:ascii="Arial" w:hAnsi="Arial" w:cs="Arial"/>
          <w:szCs w:val="24"/>
        </w:rPr>
        <w:t>)</w:t>
      </w:r>
      <w:r w:rsidRPr="00BF51BB">
        <w:rPr>
          <w:rFonts w:ascii="Arial" w:hAnsi="Arial" w:cs="Arial"/>
          <w:szCs w:val="24"/>
        </w:rPr>
        <w:t xml:space="preserve">   </w:t>
      </w:r>
    </w:p>
    <w:p w14:paraId="518453DF" w14:textId="77777777" w:rsidR="001D1E7B" w:rsidRPr="00BF51BB" w:rsidRDefault="001D1E7B" w:rsidP="008A27E2">
      <w:pPr>
        <w:pStyle w:val="NoSpacing"/>
        <w:rPr>
          <w:rFonts w:ascii="Arial" w:hAnsi="Arial" w:cs="Arial"/>
          <w:szCs w:val="24"/>
          <w:lang w:val="hr-HR"/>
        </w:rPr>
      </w:pPr>
    </w:p>
    <w:p w14:paraId="5C926328" w14:textId="5CA9F47D" w:rsidR="001D1E7B" w:rsidRPr="00BF51BB" w:rsidRDefault="00672D64" w:rsidP="008A27E2">
      <w:pPr>
        <w:pStyle w:val="NoSpacing"/>
        <w:rPr>
          <w:rFonts w:ascii="Arial" w:hAnsi="Arial" w:cs="Arial"/>
          <w:szCs w:val="24"/>
          <w:lang w:val="hr-HR"/>
        </w:rPr>
      </w:pPr>
      <w:r w:rsidRPr="00BF51BB">
        <w:rPr>
          <w:noProof/>
        </w:rPr>
        <w:drawing>
          <wp:inline distT="0" distB="0" distL="0" distR="0" wp14:anchorId="7F154B61" wp14:editId="5D1DA983">
            <wp:extent cx="5925185" cy="1907540"/>
            <wp:effectExtent l="0" t="0" r="18415" b="165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BFBDA9" w14:textId="4FE5682B" w:rsidR="00315942" w:rsidRPr="00CC15D4" w:rsidRDefault="00CC15D4" w:rsidP="00CC15D4">
      <w:pPr>
        <w:pStyle w:val="NoSpacing"/>
        <w:rPr>
          <w:rFonts w:ascii="Arial" w:hAnsi="Arial" w:cs="Arial"/>
          <w:szCs w:val="24"/>
          <w:lang w:val="hr-HR"/>
        </w:rPr>
      </w:pPr>
      <w:r>
        <w:rPr>
          <w:rFonts w:ascii="Arial" w:hAnsi="Arial" w:cs="Arial"/>
          <w:szCs w:val="24"/>
          <w:lang w:val="hr-HR"/>
        </w:rPr>
        <w:t xml:space="preserve">       </w:t>
      </w:r>
    </w:p>
    <w:p w14:paraId="31068DA5" w14:textId="19662BFE" w:rsidR="00ED768D" w:rsidRPr="00CC15D4" w:rsidRDefault="00ED768D" w:rsidP="00CC15D4">
      <w:pPr>
        <w:pStyle w:val="Heading2"/>
        <w:spacing w:before="0"/>
        <w:ind w:left="993" w:hanging="709"/>
        <w:rPr>
          <w:rFonts w:ascii="Arial" w:hAnsi="Arial" w:cs="Arial"/>
          <w:b w:val="0"/>
          <w:color w:val="auto"/>
          <w:sz w:val="24"/>
        </w:rPr>
      </w:pPr>
      <w:bookmarkStart w:id="112" w:name="_Toc101781038"/>
      <w:r w:rsidRPr="00BF51BB">
        <w:rPr>
          <w:rFonts w:ascii="Arial" w:hAnsi="Arial" w:cs="Arial"/>
          <w:b w:val="0"/>
          <w:color w:val="auto"/>
          <w:sz w:val="24"/>
        </w:rPr>
        <w:t>4.3</w:t>
      </w:r>
      <w:r w:rsidR="004457DE" w:rsidRPr="00BF51BB">
        <w:rPr>
          <w:rFonts w:ascii="Arial" w:hAnsi="Arial" w:cs="Arial"/>
          <w:b w:val="0"/>
          <w:color w:val="auto"/>
          <w:sz w:val="24"/>
        </w:rPr>
        <w:t>.</w:t>
      </w:r>
      <w:r w:rsidRPr="00BF51BB">
        <w:rPr>
          <w:rFonts w:ascii="Arial" w:hAnsi="Arial" w:cs="Arial"/>
          <w:b w:val="0"/>
          <w:color w:val="auto"/>
          <w:sz w:val="24"/>
        </w:rPr>
        <w:tab/>
        <w:t>Kamatni rizik</w:t>
      </w:r>
      <w:bookmarkEnd w:id="112"/>
    </w:p>
    <w:p w14:paraId="6374D399" w14:textId="77777777" w:rsidR="00894F63" w:rsidRPr="00BF51BB" w:rsidRDefault="00894F63" w:rsidP="00F504B8">
      <w:pPr>
        <w:pStyle w:val="NoSpacing"/>
        <w:tabs>
          <w:tab w:val="left" w:pos="2145"/>
        </w:tabs>
        <w:jc w:val="both"/>
        <w:rPr>
          <w:rFonts w:ascii="Arial" w:hAnsi="Arial" w:cs="Arial"/>
          <w:b/>
          <w:color w:val="E36C0A" w:themeColor="accent6" w:themeShade="BF"/>
          <w:sz w:val="16"/>
          <w:szCs w:val="16"/>
          <w:lang w:val="hr-HR"/>
        </w:rPr>
      </w:pPr>
    </w:p>
    <w:p w14:paraId="13E67A90" w14:textId="7563C8A8" w:rsidR="00E15551" w:rsidRPr="00BF51BB" w:rsidRDefault="00DE1780" w:rsidP="008F6496">
      <w:pPr>
        <w:pStyle w:val="ParagraphNumbering"/>
        <w:numPr>
          <w:ilvl w:val="0"/>
          <w:numId w:val="0"/>
        </w:numPr>
        <w:spacing w:after="0" w:line="276" w:lineRule="auto"/>
        <w:ind w:firstLine="284"/>
        <w:jc w:val="both"/>
        <w:rPr>
          <w:rFonts w:ascii="Arial" w:hAnsi="Arial" w:cs="Arial"/>
          <w:bCs/>
          <w:sz w:val="22"/>
          <w:szCs w:val="22"/>
        </w:rPr>
      </w:pPr>
      <w:r w:rsidRPr="00BF51BB">
        <w:rPr>
          <w:rFonts w:ascii="Arial" w:hAnsi="Arial" w:cs="Arial"/>
          <w:bCs/>
          <w:sz w:val="22"/>
          <w:szCs w:val="22"/>
        </w:rPr>
        <w:t>U</w:t>
      </w:r>
      <w:r w:rsidR="0000223F">
        <w:rPr>
          <w:rFonts w:ascii="Arial" w:hAnsi="Arial" w:cs="Arial"/>
          <w:bCs/>
          <w:sz w:val="22"/>
          <w:szCs w:val="22"/>
        </w:rPr>
        <w:t>češće</w:t>
      </w:r>
      <w:r w:rsidR="00CD0545" w:rsidRPr="00BF51BB">
        <w:rPr>
          <w:rFonts w:ascii="Arial" w:hAnsi="Arial" w:cs="Arial"/>
          <w:bCs/>
          <w:sz w:val="22"/>
          <w:szCs w:val="22"/>
        </w:rPr>
        <w:t xml:space="preserve"> </w:t>
      </w:r>
      <w:r w:rsidR="00E15551" w:rsidRPr="00BF51BB">
        <w:rPr>
          <w:rFonts w:ascii="Arial" w:hAnsi="Arial" w:cs="Arial"/>
          <w:bCs/>
          <w:sz w:val="22"/>
          <w:szCs w:val="22"/>
        </w:rPr>
        <w:t xml:space="preserve">portfolija </w:t>
      </w:r>
      <w:r w:rsidR="009C575B" w:rsidRPr="00BF51BB">
        <w:rPr>
          <w:rFonts w:ascii="Arial" w:hAnsi="Arial" w:cs="Arial"/>
          <w:bCs/>
          <w:sz w:val="22"/>
          <w:szCs w:val="22"/>
        </w:rPr>
        <w:t>duga koji</w:t>
      </w:r>
      <w:r w:rsidR="00972565" w:rsidRPr="00BF51BB">
        <w:rPr>
          <w:rFonts w:ascii="Arial" w:hAnsi="Arial" w:cs="Arial"/>
          <w:bCs/>
          <w:sz w:val="22"/>
          <w:szCs w:val="22"/>
        </w:rPr>
        <w:t xml:space="preserve"> se</w:t>
      </w:r>
      <w:r w:rsidR="009C575B" w:rsidRPr="00BF51BB">
        <w:rPr>
          <w:rFonts w:ascii="Arial" w:hAnsi="Arial" w:cs="Arial"/>
          <w:bCs/>
          <w:sz w:val="22"/>
          <w:szCs w:val="22"/>
        </w:rPr>
        <w:t xml:space="preserve"> </w:t>
      </w:r>
      <w:r w:rsidR="00ED768D" w:rsidRPr="00BF51BB">
        <w:rPr>
          <w:rFonts w:ascii="Arial" w:hAnsi="Arial" w:cs="Arial"/>
          <w:bCs/>
          <w:sz w:val="22"/>
          <w:szCs w:val="22"/>
        </w:rPr>
        <w:t xml:space="preserve">refiksira unutar </w:t>
      </w:r>
      <w:r w:rsidR="0069636A" w:rsidRPr="00BF51BB">
        <w:rPr>
          <w:rFonts w:ascii="Arial" w:hAnsi="Arial" w:cs="Arial"/>
          <w:bCs/>
          <w:sz w:val="22"/>
          <w:szCs w:val="22"/>
        </w:rPr>
        <w:t>jedne</w:t>
      </w:r>
      <w:r w:rsidR="00ED768D" w:rsidRPr="00BF51BB">
        <w:rPr>
          <w:rFonts w:ascii="Arial" w:hAnsi="Arial" w:cs="Arial"/>
          <w:bCs/>
          <w:sz w:val="22"/>
          <w:szCs w:val="22"/>
        </w:rPr>
        <w:t xml:space="preserve"> godine</w:t>
      </w:r>
      <w:r w:rsidR="009C575B" w:rsidRPr="00BF51BB">
        <w:rPr>
          <w:rFonts w:ascii="Arial" w:hAnsi="Arial" w:cs="Arial"/>
          <w:bCs/>
          <w:sz w:val="22"/>
          <w:szCs w:val="22"/>
        </w:rPr>
        <w:t xml:space="preserve"> iznosi </w:t>
      </w:r>
      <w:r w:rsidR="00345A44" w:rsidRPr="00BF51BB">
        <w:rPr>
          <w:rFonts w:ascii="Arial" w:hAnsi="Arial" w:cs="Arial"/>
          <w:bCs/>
          <w:sz w:val="22"/>
          <w:szCs w:val="22"/>
        </w:rPr>
        <w:t>4</w:t>
      </w:r>
      <w:r w:rsidR="004740A2" w:rsidRPr="00BF51BB">
        <w:rPr>
          <w:rFonts w:ascii="Arial" w:hAnsi="Arial" w:cs="Arial"/>
          <w:bCs/>
          <w:sz w:val="22"/>
          <w:szCs w:val="22"/>
        </w:rPr>
        <w:t>5,8</w:t>
      </w:r>
      <w:r w:rsidR="009C575B" w:rsidRPr="00BF51BB">
        <w:rPr>
          <w:rFonts w:ascii="Arial" w:hAnsi="Arial" w:cs="Arial"/>
          <w:bCs/>
          <w:sz w:val="22"/>
          <w:szCs w:val="22"/>
        </w:rPr>
        <w:t>%</w:t>
      </w:r>
      <w:r w:rsidRPr="00BF51BB">
        <w:rPr>
          <w:rFonts w:ascii="Arial" w:hAnsi="Arial" w:cs="Arial"/>
          <w:bCs/>
          <w:sz w:val="22"/>
          <w:szCs w:val="22"/>
        </w:rPr>
        <w:t xml:space="preserve"> </w:t>
      </w:r>
      <w:r w:rsidR="00972565" w:rsidRPr="00BF51BB">
        <w:rPr>
          <w:rFonts w:ascii="Arial" w:hAnsi="Arial" w:cs="Arial"/>
          <w:bCs/>
          <w:sz w:val="22"/>
          <w:szCs w:val="22"/>
        </w:rPr>
        <w:t>i</w:t>
      </w:r>
      <w:r w:rsidR="00ED768D" w:rsidRPr="00BF51BB">
        <w:rPr>
          <w:rFonts w:ascii="Arial" w:hAnsi="Arial" w:cs="Arial"/>
          <w:bCs/>
          <w:sz w:val="22"/>
          <w:szCs w:val="22"/>
        </w:rPr>
        <w:t xml:space="preserve"> </w:t>
      </w:r>
      <w:r w:rsidRPr="00BF51BB">
        <w:rPr>
          <w:rFonts w:ascii="Arial" w:hAnsi="Arial" w:cs="Arial"/>
          <w:bCs/>
          <w:sz w:val="22"/>
          <w:szCs w:val="22"/>
        </w:rPr>
        <w:t xml:space="preserve">rezultat je </w:t>
      </w:r>
      <w:r w:rsidR="00626DB0" w:rsidRPr="00BF51BB">
        <w:rPr>
          <w:rFonts w:ascii="Arial" w:hAnsi="Arial" w:cs="Arial"/>
          <w:bCs/>
          <w:sz w:val="22"/>
          <w:szCs w:val="22"/>
        </w:rPr>
        <w:t>činjenic</w:t>
      </w:r>
      <w:r w:rsidR="002317C5" w:rsidRPr="00BF51BB">
        <w:rPr>
          <w:rFonts w:ascii="Arial" w:hAnsi="Arial" w:cs="Arial"/>
          <w:bCs/>
          <w:sz w:val="22"/>
          <w:szCs w:val="22"/>
        </w:rPr>
        <w:t>e</w:t>
      </w:r>
      <w:r w:rsidR="00626DB0" w:rsidRPr="00BF51BB">
        <w:rPr>
          <w:rFonts w:ascii="Arial" w:hAnsi="Arial" w:cs="Arial"/>
          <w:bCs/>
          <w:sz w:val="22"/>
          <w:szCs w:val="22"/>
        </w:rPr>
        <w:t xml:space="preserve"> da</w:t>
      </w:r>
      <w:r w:rsidR="00ED768D" w:rsidRPr="00BF51BB">
        <w:rPr>
          <w:rFonts w:ascii="Arial" w:hAnsi="Arial" w:cs="Arial"/>
          <w:bCs/>
          <w:sz w:val="22"/>
          <w:szCs w:val="22"/>
        </w:rPr>
        <w:t xml:space="preserve"> je gotovo pola portfolija vanjskog duga ugovoreno sa varijabilnom kamatnom stopom</w:t>
      </w:r>
      <w:r w:rsidR="009C575B" w:rsidRPr="00BF51BB">
        <w:rPr>
          <w:rFonts w:ascii="Arial" w:hAnsi="Arial" w:cs="Arial"/>
          <w:bCs/>
          <w:sz w:val="22"/>
          <w:szCs w:val="22"/>
        </w:rPr>
        <w:t xml:space="preserve"> kao i </w:t>
      </w:r>
      <w:r w:rsidR="00124ED1" w:rsidRPr="00BF51BB">
        <w:rPr>
          <w:rFonts w:ascii="Arial" w:hAnsi="Arial" w:cs="Arial"/>
          <w:bCs/>
          <w:sz w:val="22"/>
          <w:szCs w:val="22"/>
        </w:rPr>
        <w:t>kraćih rokova</w:t>
      </w:r>
      <w:r w:rsidR="009C575B" w:rsidRPr="00BF51BB">
        <w:rPr>
          <w:rFonts w:ascii="Arial" w:hAnsi="Arial" w:cs="Arial"/>
          <w:bCs/>
          <w:sz w:val="22"/>
          <w:szCs w:val="22"/>
        </w:rPr>
        <w:t xml:space="preserve"> dosp</w:t>
      </w:r>
      <w:r w:rsidR="00D945EA" w:rsidRPr="00BF51BB">
        <w:rPr>
          <w:rFonts w:ascii="Arial" w:hAnsi="Arial" w:cs="Arial"/>
          <w:bCs/>
          <w:sz w:val="22"/>
          <w:szCs w:val="22"/>
        </w:rPr>
        <w:t>i</w:t>
      </w:r>
      <w:r w:rsidR="009C575B" w:rsidRPr="00BF51BB">
        <w:rPr>
          <w:rFonts w:ascii="Arial" w:hAnsi="Arial" w:cs="Arial"/>
          <w:bCs/>
          <w:sz w:val="22"/>
          <w:szCs w:val="22"/>
        </w:rPr>
        <w:t>jeća tržišnih vrijednosnih papira</w:t>
      </w:r>
      <w:r w:rsidRPr="00BF51BB">
        <w:rPr>
          <w:rFonts w:ascii="Arial" w:hAnsi="Arial" w:cs="Arial"/>
          <w:bCs/>
          <w:sz w:val="22"/>
          <w:szCs w:val="22"/>
        </w:rPr>
        <w:t xml:space="preserve"> emitovanih na domaćem tržištu</w:t>
      </w:r>
      <w:r w:rsidR="00E15551" w:rsidRPr="00BF51BB">
        <w:rPr>
          <w:rFonts w:ascii="Arial" w:hAnsi="Arial" w:cs="Arial"/>
          <w:bCs/>
          <w:sz w:val="22"/>
          <w:szCs w:val="22"/>
        </w:rPr>
        <w:t xml:space="preserve">. </w:t>
      </w:r>
    </w:p>
    <w:p w14:paraId="5C69FDF5" w14:textId="67E96EA4" w:rsidR="00894F63" w:rsidRDefault="00345A44" w:rsidP="00CC15D4">
      <w:pPr>
        <w:pStyle w:val="ParagraphNumbering"/>
        <w:numPr>
          <w:ilvl w:val="0"/>
          <w:numId w:val="0"/>
        </w:numPr>
        <w:spacing w:after="0" w:line="276" w:lineRule="auto"/>
        <w:ind w:firstLine="284"/>
        <w:jc w:val="both"/>
        <w:rPr>
          <w:rFonts w:ascii="Arial" w:hAnsi="Arial" w:cs="Arial"/>
          <w:bCs/>
          <w:sz w:val="22"/>
          <w:szCs w:val="22"/>
        </w:rPr>
      </w:pPr>
      <w:r w:rsidRPr="00BF51BB">
        <w:rPr>
          <w:rFonts w:ascii="Arial" w:hAnsi="Arial" w:cs="Arial"/>
          <w:bCs/>
          <w:sz w:val="22"/>
          <w:szCs w:val="22"/>
        </w:rPr>
        <w:t>Prosječno vrijeme refiksiranja portfoli</w:t>
      </w:r>
      <w:r w:rsidR="009A2717">
        <w:rPr>
          <w:rFonts w:ascii="Arial" w:hAnsi="Arial" w:cs="Arial"/>
          <w:bCs/>
          <w:sz w:val="22"/>
          <w:szCs w:val="22"/>
        </w:rPr>
        <w:t>j</w:t>
      </w:r>
      <w:r w:rsidRPr="00BF51BB">
        <w:rPr>
          <w:rFonts w:ascii="Arial" w:hAnsi="Arial" w:cs="Arial"/>
          <w:bCs/>
          <w:sz w:val="22"/>
          <w:szCs w:val="22"/>
        </w:rPr>
        <w:t xml:space="preserve">a duga Federacije BiH iznosi </w:t>
      </w:r>
      <w:r w:rsidR="004740A2" w:rsidRPr="00BF51BB">
        <w:rPr>
          <w:rFonts w:ascii="Arial" w:hAnsi="Arial" w:cs="Arial"/>
          <w:bCs/>
          <w:sz w:val="22"/>
          <w:szCs w:val="22"/>
        </w:rPr>
        <w:t>4,15</w:t>
      </w:r>
      <w:r w:rsidRPr="00BF51BB">
        <w:rPr>
          <w:rFonts w:ascii="Arial" w:hAnsi="Arial" w:cs="Arial"/>
          <w:bCs/>
          <w:sz w:val="22"/>
          <w:szCs w:val="22"/>
        </w:rPr>
        <w:t xml:space="preserve"> godina od čega je</w:t>
      </w:r>
      <w:r w:rsidR="00972565" w:rsidRPr="00BF51BB">
        <w:rPr>
          <w:rFonts w:ascii="Arial" w:hAnsi="Arial" w:cs="Arial"/>
          <w:bCs/>
          <w:sz w:val="22"/>
          <w:szCs w:val="22"/>
        </w:rPr>
        <w:t xml:space="preserve"> </w:t>
      </w:r>
      <w:r w:rsidRPr="00BF51BB">
        <w:rPr>
          <w:rFonts w:ascii="Arial" w:hAnsi="Arial" w:cs="Arial"/>
          <w:bCs/>
          <w:sz w:val="22"/>
          <w:szCs w:val="22"/>
        </w:rPr>
        <w:t xml:space="preserve">za </w:t>
      </w:r>
      <w:r w:rsidR="00972565" w:rsidRPr="00BF51BB">
        <w:rPr>
          <w:rFonts w:ascii="Arial" w:hAnsi="Arial" w:cs="Arial"/>
          <w:bCs/>
          <w:sz w:val="22"/>
          <w:szCs w:val="22"/>
        </w:rPr>
        <w:t>refiksiranje vanjskog duga p</w:t>
      </w:r>
      <w:r w:rsidR="00ED768D" w:rsidRPr="00BF51BB">
        <w:rPr>
          <w:rFonts w:ascii="Arial" w:hAnsi="Arial" w:cs="Arial"/>
          <w:bCs/>
          <w:sz w:val="22"/>
          <w:szCs w:val="22"/>
        </w:rPr>
        <w:t xml:space="preserve">rosječno potrebno </w:t>
      </w:r>
      <w:r w:rsidR="004740A2" w:rsidRPr="00BF51BB">
        <w:rPr>
          <w:rFonts w:ascii="Arial" w:hAnsi="Arial" w:cs="Arial"/>
          <w:bCs/>
          <w:sz w:val="22"/>
          <w:szCs w:val="22"/>
        </w:rPr>
        <w:t>4,22</w:t>
      </w:r>
      <w:r w:rsidR="00ED768D" w:rsidRPr="00BF51BB">
        <w:rPr>
          <w:rFonts w:ascii="Arial" w:hAnsi="Arial" w:cs="Arial"/>
          <w:bCs/>
          <w:sz w:val="22"/>
          <w:szCs w:val="22"/>
        </w:rPr>
        <w:t xml:space="preserve"> godina,</w:t>
      </w:r>
      <w:r w:rsidR="00B85DE7" w:rsidRPr="00BF51BB">
        <w:rPr>
          <w:rFonts w:ascii="Arial" w:hAnsi="Arial" w:cs="Arial"/>
          <w:bCs/>
          <w:sz w:val="22"/>
          <w:szCs w:val="22"/>
        </w:rPr>
        <w:t xml:space="preserve"> </w:t>
      </w:r>
      <w:r w:rsidR="003F79ED" w:rsidRPr="00BF51BB">
        <w:rPr>
          <w:rFonts w:ascii="Arial" w:hAnsi="Arial" w:cs="Arial"/>
          <w:bCs/>
          <w:sz w:val="22"/>
          <w:szCs w:val="22"/>
        </w:rPr>
        <w:t>a</w:t>
      </w:r>
      <w:r w:rsidR="009C575B" w:rsidRPr="00BF51BB">
        <w:rPr>
          <w:rFonts w:ascii="Arial" w:hAnsi="Arial" w:cs="Arial"/>
          <w:bCs/>
          <w:sz w:val="22"/>
          <w:szCs w:val="22"/>
        </w:rPr>
        <w:t xml:space="preserve"> </w:t>
      </w:r>
      <w:r w:rsidRPr="00BF51BB">
        <w:rPr>
          <w:rFonts w:ascii="Arial" w:hAnsi="Arial" w:cs="Arial"/>
          <w:bCs/>
          <w:sz w:val="22"/>
          <w:szCs w:val="22"/>
        </w:rPr>
        <w:t>3,</w:t>
      </w:r>
      <w:r w:rsidR="004740A2" w:rsidRPr="00BF51BB">
        <w:rPr>
          <w:rFonts w:ascii="Arial" w:hAnsi="Arial" w:cs="Arial"/>
          <w:bCs/>
          <w:sz w:val="22"/>
          <w:szCs w:val="22"/>
        </w:rPr>
        <w:t>63</w:t>
      </w:r>
      <w:r w:rsidR="00ED768D" w:rsidRPr="00BF51BB">
        <w:rPr>
          <w:rFonts w:ascii="Arial" w:hAnsi="Arial" w:cs="Arial"/>
          <w:bCs/>
          <w:sz w:val="22"/>
          <w:szCs w:val="22"/>
        </w:rPr>
        <w:t xml:space="preserve"> godina za </w:t>
      </w:r>
      <w:r w:rsidR="004B4150" w:rsidRPr="00BF51BB">
        <w:rPr>
          <w:rFonts w:ascii="Arial" w:hAnsi="Arial" w:cs="Arial"/>
          <w:bCs/>
          <w:sz w:val="22"/>
          <w:szCs w:val="22"/>
        </w:rPr>
        <w:t>refiksiranje unutrašnjeg</w:t>
      </w:r>
      <w:r w:rsidR="00ED768D" w:rsidRPr="00BF51BB">
        <w:rPr>
          <w:rFonts w:ascii="Arial" w:hAnsi="Arial" w:cs="Arial"/>
          <w:bCs/>
          <w:sz w:val="22"/>
          <w:szCs w:val="22"/>
        </w:rPr>
        <w:t>.</w:t>
      </w:r>
      <w:r w:rsidR="00ED768D" w:rsidRPr="00BF51BB">
        <w:rPr>
          <w:rFonts w:ascii="Arial" w:hAnsi="Arial" w:cs="Arial"/>
          <w:sz w:val="22"/>
          <w:szCs w:val="22"/>
        </w:rPr>
        <w:t xml:space="preserve"> </w:t>
      </w:r>
      <w:r w:rsidR="00CC15D4">
        <w:rPr>
          <w:rFonts w:ascii="Arial" w:hAnsi="Arial" w:cs="Arial"/>
          <w:bCs/>
          <w:sz w:val="22"/>
          <w:szCs w:val="22"/>
        </w:rPr>
        <w:t xml:space="preserve"> </w:t>
      </w:r>
    </w:p>
    <w:p w14:paraId="014671F5" w14:textId="77777777" w:rsidR="00CC15D4" w:rsidRPr="00BF51BB" w:rsidRDefault="00CC15D4" w:rsidP="00CC15D4">
      <w:pPr>
        <w:pStyle w:val="ParagraphNumbering"/>
        <w:numPr>
          <w:ilvl w:val="0"/>
          <w:numId w:val="0"/>
        </w:numPr>
        <w:spacing w:after="0" w:line="276" w:lineRule="auto"/>
        <w:ind w:firstLine="284"/>
        <w:jc w:val="both"/>
        <w:rPr>
          <w:rFonts w:ascii="Arial" w:hAnsi="Arial" w:cs="Arial"/>
          <w:bCs/>
          <w:sz w:val="22"/>
          <w:szCs w:val="22"/>
        </w:rPr>
      </w:pPr>
    </w:p>
    <w:p w14:paraId="6940848E" w14:textId="42C1E9F6" w:rsidR="00ED768D" w:rsidRPr="00BF51BB" w:rsidRDefault="00ED768D" w:rsidP="00627D74">
      <w:pPr>
        <w:pStyle w:val="Heading2"/>
        <w:numPr>
          <w:ilvl w:val="1"/>
          <w:numId w:val="11"/>
        </w:numPr>
        <w:spacing w:before="40"/>
        <w:rPr>
          <w:rFonts w:ascii="Arial" w:hAnsi="Arial" w:cs="Arial"/>
          <w:b w:val="0"/>
          <w:color w:val="auto"/>
          <w:sz w:val="22"/>
          <w:szCs w:val="22"/>
        </w:rPr>
      </w:pPr>
      <w:bookmarkStart w:id="113" w:name="_Toc101781039"/>
      <w:r w:rsidRPr="00BF51BB">
        <w:rPr>
          <w:rFonts w:ascii="Arial" w:hAnsi="Arial" w:cs="Arial"/>
          <w:b w:val="0"/>
          <w:color w:val="auto"/>
          <w:sz w:val="22"/>
          <w:szCs w:val="22"/>
        </w:rPr>
        <w:t>Valutni rizik</w:t>
      </w:r>
      <w:r w:rsidR="006E2490" w:rsidRPr="00BF51BB">
        <w:rPr>
          <w:rFonts w:ascii="Arial" w:hAnsi="Arial" w:cs="Arial"/>
          <w:b w:val="0"/>
          <w:color w:val="auto"/>
          <w:sz w:val="22"/>
          <w:szCs w:val="22"/>
        </w:rPr>
        <w:t xml:space="preserve"> portfoli</w:t>
      </w:r>
      <w:r w:rsidR="00CB30D9" w:rsidRPr="00BF51BB">
        <w:rPr>
          <w:rFonts w:ascii="Arial" w:hAnsi="Arial" w:cs="Arial"/>
          <w:b w:val="0"/>
          <w:color w:val="auto"/>
          <w:sz w:val="22"/>
          <w:szCs w:val="22"/>
        </w:rPr>
        <w:t>j</w:t>
      </w:r>
      <w:r w:rsidR="006E2490" w:rsidRPr="00BF51BB">
        <w:rPr>
          <w:rFonts w:ascii="Arial" w:hAnsi="Arial" w:cs="Arial"/>
          <w:b w:val="0"/>
          <w:color w:val="auto"/>
          <w:sz w:val="22"/>
          <w:szCs w:val="22"/>
        </w:rPr>
        <w:t>a dug</w:t>
      </w:r>
      <w:r w:rsidR="00CB30D9" w:rsidRPr="00BF51BB">
        <w:rPr>
          <w:rFonts w:ascii="Arial" w:hAnsi="Arial" w:cs="Arial"/>
          <w:b w:val="0"/>
          <w:color w:val="auto"/>
          <w:sz w:val="22"/>
          <w:szCs w:val="22"/>
        </w:rPr>
        <w:t>a</w:t>
      </w:r>
      <w:r w:rsidR="006E2490" w:rsidRPr="00BF51BB">
        <w:rPr>
          <w:rFonts w:ascii="Arial" w:hAnsi="Arial" w:cs="Arial"/>
          <w:b w:val="0"/>
          <w:color w:val="auto"/>
          <w:sz w:val="22"/>
          <w:szCs w:val="22"/>
        </w:rPr>
        <w:t xml:space="preserve"> Federacije BiH</w:t>
      </w:r>
      <w:bookmarkEnd w:id="113"/>
    </w:p>
    <w:p w14:paraId="6B2A32A5" w14:textId="77777777" w:rsidR="00ED768D" w:rsidRPr="00BF51BB" w:rsidRDefault="00ED768D" w:rsidP="00ED768D">
      <w:pPr>
        <w:pStyle w:val="NoSpacing"/>
        <w:jc w:val="both"/>
        <w:rPr>
          <w:rFonts w:ascii="Arial" w:hAnsi="Arial" w:cs="Arial"/>
          <w:lang w:val="hr-HR"/>
        </w:rPr>
      </w:pPr>
    </w:p>
    <w:p w14:paraId="4CE5D5D5" w14:textId="3D52F7F1" w:rsidR="00DA47B3" w:rsidRPr="00BF51BB" w:rsidRDefault="00306D23" w:rsidP="008F6496">
      <w:pPr>
        <w:pStyle w:val="ParagraphNumbering"/>
        <w:numPr>
          <w:ilvl w:val="0"/>
          <w:numId w:val="0"/>
        </w:numPr>
        <w:spacing w:after="0" w:line="276" w:lineRule="auto"/>
        <w:ind w:firstLine="284"/>
        <w:jc w:val="both"/>
        <w:rPr>
          <w:rFonts w:ascii="Arial" w:hAnsi="Arial" w:cs="Arial"/>
          <w:bCs/>
          <w:sz w:val="22"/>
          <w:szCs w:val="22"/>
        </w:rPr>
      </w:pPr>
      <w:r w:rsidRPr="00BF51BB">
        <w:rPr>
          <w:rFonts w:ascii="Arial" w:hAnsi="Arial" w:cs="Arial"/>
          <w:bCs/>
          <w:sz w:val="22"/>
          <w:szCs w:val="22"/>
        </w:rPr>
        <w:t>Najzastupljenije</w:t>
      </w:r>
      <w:r w:rsidR="00ED768D" w:rsidRPr="00BF51BB">
        <w:rPr>
          <w:rFonts w:ascii="Arial" w:hAnsi="Arial" w:cs="Arial"/>
          <w:bCs/>
          <w:sz w:val="22"/>
          <w:szCs w:val="22"/>
        </w:rPr>
        <w:t xml:space="preserve"> valute u </w:t>
      </w:r>
      <w:r w:rsidR="001A2E52" w:rsidRPr="00BF51BB">
        <w:rPr>
          <w:rFonts w:ascii="Arial" w:hAnsi="Arial" w:cs="Arial"/>
          <w:bCs/>
          <w:sz w:val="22"/>
          <w:szCs w:val="22"/>
        </w:rPr>
        <w:t>portfoliju</w:t>
      </w:r>
      <w:r w:rsidR="00ED768D" w:rsidRPr="00BF51BB">
        <w:rPr>
          <w:rFonts w:ascii="Arial" w:hAnsi="Arial" w:cs="Arial"/>
          <w:bCs/>
          <w:sz w:val="22"/>
          <w:szCs w:val="22"/>
        </w:rPr>
        <w:t xml:space="preserve"> duga F</w:t>
      </w:r>
      <w:r w:rsidR="00AF5DED" w:rsidRPr="00BF51BB">
        <w:rPr>
          <w:rFonts w:ascii="Arial" w:hAnsi="Arial" w:cs="Arial"/>
          <w:bCs/>
          <w:sz w:val="22"/>
          <w:szCs w:val="22"/>
        </w:rPr>
        <w:t xml:space="preserve">ederacije </w:t>
      </w:r>
      <w:r w:rsidR="00ED768D" w:rsidRPr="00BF51BB">
        <w:rPr>
          <w:rFonts w:ascii="Arial" w:hAnsi="Arial" w:cs="Arial"/>
          <w:bCs/>
          <w:sz w:val="22"/>
          <w:szCs w:val="22"/>
        </w:rPr>
        <w:t xml:space="preserve">BiH </w:t>
      </w:r>
      <w:r w:rsidR="00AF5DED" w:rsidRPr="00BF51BB">
        <w:rPr>
          <w:rFonts w:ascii="Arial" w:hAnsi="Arial" w:cs="Arial"/>
          <w:bCs/>
          <w:sz w:val="22"/>
          <w:szCs w:val="22"/>
        </w:rPr>
        <w:t>su</w:t>
      </w:r>
      <w:r w:rsidR="00ED768D" w:rsidRPr="00BF51BB">
        <w:rPr>
          <w:rFonts w:ascii="Arial" w:hAnsi="Arial" w:cs="Arial"/>
          <w:bCs/>
          <w:sz w:val="22"/>
          <w:szCs w:val="22"/>
        </w:rPr>
        <w:t xml:space="preserve"> EUR (</w:t>
      </w:r>
      <w:r w:rsidR="00944CC1" w:rsidRPr="00BF51BB">
        <w:rPr>
          <w:rFonts w:ascii="Arial" w:hAnsi="Arial" w:cs="Arial"/>
          <w:bCs/>
          <w:sz w:val="22"/>
          <w:szCs w:val="22"/>
        </w:rPr>
        <w:t>52,92</w:t>
      </w:r>
      <w:r w:rsidR="00ED768D" w:rsidRPr="00BF51BB">
        <w:rPr>
          <w:rFonts w:ascii="Arial" w:hAnsi="Arial" w:cs="Arial"/>
          <w:bCs/>
          <w:sz w:val="22"/>
          <w:szCs w:val="22"/>
        </w:rPr>
        <w:t>%), SDR (</w:t>
      </w:r>
      <w:r w:rsidR="00944CC1" w:rsidRPr="00BF51BB">
        <w:rPr>
          <w:rFonts w:ascii="Arial" w:hAnsi="Arial" w:cs="Arial"/>
          <w:bCs/>
          <w:sz w:val="22"/>
          <w:szCs w:val="22"/>
        </w:rPr>
        <w:t>24,07</w:t>
      </w:r>
      <w:r w:rsidR="004C71E5" w:rsidRPr="00BF51BB">
        <w:rPr>
          <w:rFonts w:ascii="Arial" w:hAnsi="Arial" w:cs="Arial"/>
          <w:bCs/>
          <w:sz w:val="22"/>
          <w:szCs w:val="22"/>
        </w:rPr>
        <w:t xml:space="preserve">%), </w:t>
      </w:r>
      <w:r w:rsidR="00ED768D" w:rsidRPr="00BF51BB">
        <w:rPr>
          <w:rFonts w:ascii="Arial" w:hAnsi="Arial" w:cs="Arial"/>
          <w:bCs/>
          <w:sz w:val="22"/>
          <w:szCs w:val="22"/>
        </w:rPr>
        <w:t>USD (</w:t>
      </w:r>
      <w:r w:rsidR="004C2C15" w:rsidRPr="00BF51BB">
        <w:rPr>
          <w:rFonts w:ascii="Arial" w:hAnsi="Arial" w:cs="Arial"/>
          <w:bCs/>
          <w:sz w:val="22"/>
          <w:szCs w:val="22"/>
        </w:rPr>
        <w:t>1</w:t>
      </w:r>
      <w:r w:rsidR="00944CC1" w:rsidRPr="00BF51BB">
        <w:rPr>
          <w:rFonts w:ascii="Arial" w:hAnsi="Arial" w:cs="Arial"/>
          <w:bCs/>
          <w:sz w:val="22"/>
          <w:szCs w:val="22"/>
        </w:rPr>
        <w:t>0,29</w:t>
      </w:r>
      <w:r w:rsidR="00ED768D" w:rsidRPr="00BF51BB">
        <w:rPr>
          <w:rFonts w:ascii="Arial" w:hAnsi="Arial" w:cs="Arial"/>
          <w:bCs/>
          <w:sz w:val="22"/>
          <w:szCs w:val="22"/>
        </w:rPr>
        <w:t>%)</w:t>
      </w:r>
      <w:r w:rsidR="00400A00" w:rsidRPr="00BF51BB">
        <w:rPr>
          <w:rFonts w:ascii="Arial" w:hAnsi="Arial" w:cs="Arial"/>
          <w:bCs/>
          <w:sz w:val="22"/>
          <w:szCs w:val="22"/>
        </w:rPr>
        <w:t xml:space="preserve"> i KM (</w:t>
      </w:r>
      <w:r w:rsidR="00717D0A" w:rsidRPr="00BF51BB">
        <w:rPr>
          <w:rFonts w:ascii="Arial" w:hAnsi="Arial" w:cs="Arial"/>
          <w:bCs/>
          <w:sz w:val="22"/>
          <w:szCs w:val="22"/>
        </w:rPr>
        <w:t>1</w:t>
      </w:r>
      <w:r w:rsidR="00944CC1" w:rsidRPr="00BF51BB">
        <w:rPr>
          <w:rFonts w:ascii="Arial" w:hAnsi="Arial" w:cs="Arial"/>
          <w:bCs/>
          <w:sz w:val="22"/>
          <w:szCs w:val="22"/>
        </w:rPr>
        <w:t>2,25</w:t>
      </w:r>
      <w:r w:rsidR="00400A00" w:rsidRPr="00BF51BB">
        <w:rPr>
          <w:rFonts w:ascii="Arial" w:hAnsi="Arial" w:cs="Arial"/>
          <w:bCs/>
          <w:sz w:val="22"/>
          <w:szCs w:val="22"/>
        </w:rPr>
        <w:t>%)</w:t>
      </w:r>
      <w:r w:rsidR="00ED768D" w:rsidRPr="00BF51BB">
        <w:rPr>
          <w:rFonts w:ascii="Arial" w:hAnsi="Arial" w:cs="Arial"/>
          <w:bCs/>
          <w:sz w:val="22"/>
          <w:szCs w:val="22"/>
        </w:rPr>
        <w:t>. Dekompozicijom SDR-a</w:t>
      </w:r>
      <w:r w:rsidR="00E241FC" w:rsidRPr="00BF51BB">
        <w:rPr>
          <w:rFonts w:ascii="Arial" w:hAnsi="Arial" w:cs="Arial"/>
          <w:bCs/>
          <w:sz w:val="22"/>
          <w:szCs w:val="22"/>
        </w:rPr>
        <w:t>,</w:t>
      </w:r>
      <w:r w:rsidR="0042278A" w:rsidRPr="00BF51BB">
        <w:rPr>
          <w:rFonts w:ascii="Arial" w:hAnsi="Arial" w:cs="Arial"/>
          <w:bCs/>
          <w:sz w:val="22"/>
          <w:szCs w:val="22"/>
        </w:rPr>
        <w:t xml:space="preserve"> </w:t>
      </w:r>
      <w:r w:rsidR="00ED768D" w:rsidRPr="00BF51BB">
        <w:rPr>
          <w:rFonts w:ascii="Arial" w:hAnsi="Arial" w:cs="Arial"/>
          <w:bCs/>
          <w:sz w:val="22"/>
          <w:szCs w:val="22"/>
        </w:rPr>
        <w:t>u</w:t>
      </w:r>
      <w:r w:rsidR="0000223F">
        <w:rPr>
          <w:rFonts w:ascii="Arial" w:hAnsi="Arial" w:cs="Arial"/>
          <w:bCs/>
          <w:sz w:val="22"/>
          <w:szCs w:val="22"/>
        </w:rPr>
        <w:t>češće</w:t>
      </w:r>
      <w:r w:rsidR="00ED768D" w:rsidRPr="00BF51BB">
        <w:rPr>
          <w:rFonts w:ascii="Arial" w:hAnsi="Arial" w:cs="Arial"/>
          <w:bCs/>
          <w:sz w:val="22"/>
          <w:szCs w:val="22"/>
        </w:rPr>
        <w:t xml:space="preserve"> EUR valute raste na </w:t>
      </w:r>
      <w:r w:rsidR="0019081D" w:rsidRPr="00BF51BB">
        <w:rPr>
          <w:rFonts w:ascii="Arial" w:hAnsi="Arial" w:cs="Arial"/>
          <w:bCs/>
          <w:sz w:val="22"/>
          <w:szCs w:val="22"/>
        </w:rPr>
        <w:t>68,80</w:t>
      </w:r>
      <w:r w:rsidR="00ED768D" w:rsidRPr="00BF51BB">
        <w:rPr>
          <w:rFonts w:ascii="Arial" w:hAnsi="Arial" w:cs="Arial"/>
          <w:bCs/>
          <w:sz w:val="22"/>
          <w:szCs w:val="22"/>
        </w:rPr>
        <w:t>% ukupnog duga</w:t>
      </w:r>
      <w:r w:rsidR="00FB77C6" w:rsidRPr="00BF51BB">
        <w:rPr>
          <w:rFonts w:ascii="Arial" w:hAnsi="Arial" w:cs="Arial"/>
          <w:bCs/>
          <w:sz w:val="22"/>
          <w:szCs w:val="22"/>
        </w:rPr>
        <w:t>,</w:t>
      </w:r>
      <w:r w:rsidR="00400A00" w:rsidRPr="00BF51BB">
        <w:rPr>
          <w:rFonts w:ascii="Arial" w:hAnsi="Arial" w:cs="Arial"/>
          <w:bCs/>
          <w:sz w:val="22"/>
          <w:szCs w:val="22"/>
        </w:rPr>
        <w:t xml:space="preserve"> a</w:t>
      </w:r>
      <w:r w:rsidR="00B62997" w:rsidRPr="00BF51BB">
        <w:rPr>
          <w:rFonts w:ascii="Arial" w:hAnsi="Arial" w:cs="Arial"/>
          <w:bCs/>
          <w:sz w:val="22"/>
          <w:szCs w:val="22"/>
        </w:rPr>
        <w:t xml:space="preserve"> </w:t>
      </w:r>
      <w:r w:rsidR="004C71E5" w:rsidRPr="00BF51BB">
        <w:rPr>
          <w:rFonts w:ascii="Arial" w:hAnsi="Arial" w:cs="Arial"/>
          <w:bCs/>
          <w:sz w:val="22"/>
          <w:szCs w:val="22"/>
        </w:rPr>
        <w:t>u</w:t>
      </w:r>
      <w:r w:rsidR="0000223F">
        <w:rPr>
          <w:rFonts w:ascii="Arial" w:hAnsi="Arial" w:cs="Arial"/>
          <w:bCs/>
          <w:sz w:val="22"/>
          <w:szCs w:val="22"/>
        </w:rPr>
        <w:t>češće</w:t>
      </w:r>
      <w:r w:rsidR="004C71E5" w:rsidRPr="00BF51BB">
        <w:rPr>
          <w:rFonts w:ascii="Arial" w:hAnsi="Arial" w:cs="Arial"/>
          <w:bCs/>
          <w:sz w:val="22"/>
          <w:szCs w:val="22"/>
        </w:rPr>
        <w:t xml:space="preserve"> </w:t>
      </w:r>
      <w:r w:rsidR="00ED768D" w:rsidRPr="00BF51BB">
        <w:rPr>
          <w:rFonts w:ascii="Arial" w:hAnsi="Arial" w:cs="Arial"/>
          <w:bCs/>
          <w:sz w:val="22"/>
          <w:szCs w:val="22"/>
        </w:rPr>
        <w:t xml:space="preserve">USD </w:t>
      </w:r>
      <w:r w:rsidR="00400A00" w:rsidRPr="00BF51BB">
        <w:rPr>
          <w:rFonts w:ascii="Arial" w:hAnsi="Arial" w:cs="Arial"/>
          <w:bCs/>
          <w:sz w:val="22"/>
          <w:szCs w:val="22"/>
        </w:rPr>
        <w:t>na</w:t>
      </w:r>
      <w:r w:rsidR="00ED768D" w:rsidRPr="00BF51BB">
        <w:rPr>
          <w:rFonts w:ascii="Arial" w:hAnsi="Arial" w:cs="Arial"/>
          <w:bCs/>
          <w:sz w:val="22"/>
          <w:szCs w:val="22"/>
        </w:rPr>
        <w:t xml:space="preserve"> </w:t>
      </w:r>
      <w:r w:rsidR="0019081D" w:rsidRPr="00BF51BB">
        <w:rPr>
          <w:rFonts w:ascii="Arial" w:hAnsi="Arial" w:cs="Arial"/>
          <w:bCs/>
          <w:sz w:val="22"/>
          <w:szCs w:val="22"/>
        </w:rPr>
        <w:t>23,17</w:t>
      </w:r>
      <w:r w:rsidR="00ED768D" w:rsidRPr="00BF51BB">
        <w:rPr>
          <w:rFonts w:ascii="Arial" w:hAnsi="Arial" w:cs="Arial"/>
          <w:bCs/>
          <w:sz w:val="22"/>
          <w:szCs w:val="22"/>
        </w:rPr>
        <w:t>%</w:t>
      </w:r>
      <w:r w:rsidR="004D6A4D" w:rsidRPr="00BF51BB">
        <w:rPr>
          <w:rFonts w:ascii="Arial" w:hAnsi="Arial" w:cs="Arial"/>
          <w:bCs/>
          <w:sz w:val="22"/>
          <w:szCs w:val="22"/>
        </w:rPr>
        <w:t xml:space="preserve"> (Slika 7.)</w:t>
      </w:r>
      <w:r w:rsidR="00ED768D" w:rsidRPr="00BF51BB">
        <w:rPr>
          <w:rFonts w:ascii="Arial" w:hAnsi="Arial" w:cs="Arial"/>
          <w:bCs/>
          <w:sz w:val="22"/>
          <w:szCs w:val="22"/>
        </w:rPr>
        <w:t xml:space="preserve">. </w:t>
      </w:r>
    </w:p>
    <w:p w14:paraId="284929D1" w14:textId="77777777" w:rsidR="00A631B8" w:rsidRPr="00BF51BB" w:rsidRDefault="00A631B8" w:rsidP="008F6496">
      <w:pPr>
        <w:pStyle w:val="ParagraphNumbering"/>
        <w:numPr>
          <w:ilvl w:val="0"/>
          <w:numId w:val="0"/>
        </w:numPr>
        <w:spacing w:after="0" w:line="276" w:lineRule="auto"/>
        <w:ind w:firstLine="284"/>
        <w:jc w:val="both"/>
        <w:rPr>
          <w:rFonts w:ascii="Arial" w:hAnsi="Arial" w:cs="Arial"/>
          <w:bCs/>
          <w:sz w:val="22"/>
          <w:szCs w:val="22"/>
        </w:rPr>
      </w:pPr>
    </w:p>
    <w:p w14:paraId="31DFFECC" w14:textId="026CCBC7" w:rsidR="00497247" w:rsidRDefault="008A7690" w:rsidP="008F6496">
      <w:pPr>
        <w:pStyle w:val="NoSpacing"/>
        <w:spacing w:line="276" w:lineRule="auto"/>
        <w:jc w:val="both"/>
        <w:rPr>
          <w:rFonts w:ascii="Arial" w:hAnsi="Arial" w:cs="Arial"/>
          <w:lang w:val="hr-HR"/>
        </w:rPr>
      </w:pPr>
      <w:r w:rsidRPr="00BF51BB">
        <w:rPr>
          <w:rFonts w:ascii="Arial" w:hAnsi="Arial" w:cs="Arial"/>
          <w:lang w:val="hr-HR"/>
        </w:rPr>
        <w:t>Slika 7</w:t>
      </w:r>
      <w:r w:rsidR="00284A87" w:rsidRPr="00BF51BB">
        <w:rPr>
          <w:rFonts w:ascii="Arial" w:hAnsi="Arial" w:cs="Arial"/>
          <w:lang w:val="hr-HR"/>
        </w:rPr>
        <w:t xml:space="preserve">. Valutna struktura </w:t>
      </w:r>
      <w:r w:rsidR="00DD7322" w:rsidRPr="00BF51BB">
        <w:rPr>
          <w:rFonts w:ascii="Arial" w:hAnsi="Arial" w:cs="Arial"/>
          <w:lang w:val="hr-HR"/>
        </w:rPr>
        <w:t>ukupnog</w:t>
      </w:r>
      <w:r w:rsidR="00284A87" w:rsidRPr="00BF51BB">
        <w:rPr>
          <w:rFonts w:ascii="Arial" w:hAnsi="Arial" w:cs="Arial"/>
          <w:lang w:val="hr-HR"/>
        </w:rPr>
        <w:t xml:space="preserve"> duga F</w:t>
      </w:r>
      <w:r w:rsidR="00D864A3" w:rsidRPr="00BF51BB">
        <w:rPr>
          <w:rFonts w:ascii="Arial" w:hAnsi="Arial" w:cs="Arial"/>
          <w:lang w:val="hr-HR"/>
        </w:rPr>
        <w:t xml:space="preserve">ederacije </w:t>
      </w:r>
      <w:r w:rsidR="00284A87" w:rsidRPr="00BF51BB">
        <w:rPr>
          <w:rFonts w:ascii="Arial" w:hAnsi="Arial" w:cs="Arial"/>
          <w:lang w:val="hr-HR"/>
        </w:rPr>
        <w:t xml:space="preserve">BiH prema stanju </w:t>
      </w:r>
      <w:r w:rsidR="00C820B5" w:rsidRPr="00BF51BB">
        <w:rPr>
          <w:rFonts w:ascii="Arial" w:hAnsi="Arial" w:cs="Arial"/>
          <w:lang w:val="hr-HR"/>
        </w:rPr>
        <w:t>na dan 31.12.</w:t>
      </w:r>
      <w:r w:rsidR="00CD4194" w:rsidRPr="00BF51BB">
        <w:rPr>
          <w:rFonts w:ascii="Arial" w:hAnsi="Arial" w:cs="Arial"/>
          <w:lang w:val="hr-HR"/>
        </w:rPr>
        <w:t>2021</w:t>
      </w:r>
      <w:r w:rsidR="00284A87" w:rsidRPr="00BF51BB">
        <w:rPr>
          <w:rFonts w:ascii="Arial" w:hAnsi="Arial" w:cs="Arial"/>
          <w:lang w:val="hr-HR"/>
        </w:rPr>
        <w:t>. godine, prije i poslije dekompozicije</w:t>
      </w:r>
      <w:r w:rsidR="00CE3C2E" w:rsidRPr="00BF51BB">
        <w:rPr>
          <w:rFonts w:ascii="Arial" w:hAnsi="Arial" w:cs="Arial"/>
          <w:lang w:val="hr-HR"/>
        </w:rPr>
        <w:t xml:space="preserve"> SDR-a</w:t>
      </w:r>
      <w:r w:rsidR="00307DFE" w:rsidRPr="00BF51BB">
        <w:rPr>
          <w:rFonts w:ascii="Arial" w:hAnsi="Arial" w:cs="Arial"/>
          <w:lang w:val="hr-HR"/>
        </w:rPr>
        <w:t>.</w:t>
      </w:r>
    </w:p>
    <w:p w14:paraId="22D24D3D" w14:textId="77777777" w:rsidR="00CC15D4" w:rsidRPr="00BF51BB" w:rsidRDefault="00CC15D4" w:rsidP="008F6496">
      <w:pPr>
        <w:pStyle w:val="NoSpacing"/>
        <w:spacing w:line="276" w:lineRule="auto"/>
        <w:jc w:val="both"/>
        <w:rPr>
          <w:rFonts w:ascii="Arial" w:hAnsi="Arial" w:cs="Arial"/>
          <w:lang w:val="hr-HR"/>
        </w:rPr>
      </w:pPr>
    </w:p>
    <w:p w14:paraId="4FB64E50" w14:textId="1D4483E2" w:rsidR="00497247" w:rsidRPr="00BF51BB" w:rsidRDefault="00497247" w:rsidP="00BF51BB">
      <w:pPr>
        <w:pStyle w:val="NoSpacing"/>
        <w:spacing w:line="276" w:lineRule="auto"/>
        <w:jc w:val="center"/>
        <w:rPr>
          <w:rFonts w:ascii="Arial" w:hAnsi="Arial" w:cs="Arial"/>
          <w:szCs w:val="24"/>
          <w:lang w:val="hr-HR"/>
        </w:rPr>
      </w:pPr>
      <w:r w:rsidRPr="00BF51BB">
        <w:rPr>
          <w:noProof/>
        </w:rPr>
        <w:drawing>
          <wp:inline distT="0" distB="0" distL="0" distR="0" wp14:anchorId="36808021" wp14:editId="3D1BA1D8">
            <wp:extent cx="2943225" cy="1787525"/>
            <wp:effectExtent l="0" t="0" r="9525" b="317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F51BB">
        <w:rPr>
          <w:noProof/>
        </w:rPr>
        <w:drawing>
          <wp:inline distT="0" distB="0" distL="0" distR="0" wp14:anchorId="68842CEC" wp14:editId="1DEDAABD">
            <wp:extent cx="2874047" cy="1787525"/>
            <wp:effectExtent l="0" t="0" r="2540" b="317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217277B" w14:textId="77777777" w:rsidR="00345A44" w:rsidRPr="00BF51BB" w:rsidRDefault="00345A44" w:rsidP="008F6496">
      <w:pPr>
        <w:pStyle w:val="NoSpacing"/>
        <w:spacing w:line="276" w:lineRule="auto"/>
        <w:jc w:val="both"/>
        <w:rPr>
          <w:rFonts w:ascii="Arial" w:hAnsi="Arial" w:cs="Arial"/>
          <w:sz w:val="24"/>
          <w:szCs w:val="24"/>
          <w:lang w:val="hr-HR"/>
        </w:rPr>
      </w:pPr>
    </w:p>
    <w:p w14:paraId="772FA39C" w14:textId="444AB507" w:rsidR="00124ED1" w:rsidRPr="00BF51BB" w:rsidRDefault="00124ED1" w:rsidP="00124ED1">
      <w:pPr>
        <w:pStyle w:val="ParagraphNumbering"/>
        <w:numPr>
          <w:ilvl w:val="0"/>
          <w:numId w:val="0"/>
        </w:numPr>
        <w:spacing w:after="0" w:line="276" w:lineRule="auto"/>
        <w:ind w:firstLine="284"/>
        <w:jc w:val="both"/>
        <w:rPr>
          <w:rFonts w:ascii="Arial" w:hAnsi="Arial" w:cs="Arial"/>
          <w:sz w:val="22"/>
          <w:szCs w:val="22"/>
        </w:rPr>
      </w:pPr>
      <w:r w:rsidRPr="00BF51BB">
        <w:rPr>
          <w:rFonts w:ascii="Arial" w:hAnsi="Arial" w:cs="Arial"/>
          <w:bCs/>
          <w:sz w:val="22"/>
          <w:szCs w:val="22"/>
        </w:rPr>
        <w:t>Valutni rizik portfolija vanjskog duga Federacije BiH je relativno velik. Nešto preko 35% vanjskog duga je osjetljivo na promjene deviznih kurseva uzimajući u obzir njegovu valutnu strukturu (EUR – 60,31%, SDR – 27,43% i USD – 11,73%), u kojoj, nakon dekompozicije SDR-a, u</w:t>
      </w:r>
      <w:r w:rsidR="0000223F">
        <w:rPr>
          <w:rFonts w:ascii="Arial" w:hAnsi="Arial" w:cs="Arial"/>
          <w:bCs/>
          <w:sz w:val="22"/>
          <w:szCs w:val="22"/>
        </w:rPr>
        <w:t>češće</w:t>
      </w:r>
      <w:r w:rsidRPr="00BF51BB">
        <w:rPr>
          <w:rFonts w:ascii="Arial" w:hAnsi="Arial" w:cs="Arial"/>
          <w:bCs/>
          <w:sz w:val="22"/>
          <w:szCs w:val="22"/>
        </w:rPr>
        <w:t xml:space="preserve"> EUR valute u ukupnom vanjskom dugu iznosi 68,80%.</w:t>
      </w:r>
      <w:r w:rsidRPr="00BF51BB">
        <w:rPr>
          <w:rFonts w:ascii="Arial" w:hAnsi="Arial" w:cs="Arial"/>
          <w:sz w:val="22"/>
          <w:szCs w:val="22"/>
        </w:rPr>
        <w:t xml:space="preserve"> </w:t>
      </w:r>
    </w:p>
    <w:p w14:paraId="03EDC46E" w14:textId="1A342DA7" w:rsidR="004E3974" w:rsidRPr="00BF51BB" w:rsidRDefault="004E3974" w:rsidP="008F6496">
      <w:pPr>
        <w:pStyle w:val="NoSpacing"/>
        <w:spacing w:line="276" w:lineRule="auto"/>
        <w:jc w:val="both"/>
        <w:rPr>
          <w:rFonts w:ascii="Arial" w:hAnsi="Arial" w:cs="Arial"/>
          <w:sz w:val="24"/>
          <w:szCs w:val="24"/>
          <w:lang w:val="hr-HR"/>
        </w:rPr>
      </w:pPr>
    </w:p>
    <w:p w14:paraId="7A037B24" w14:textId="77777777" w:rsidR="00CC15D4" w:rsidRDefault="00284A87" w:rsidP="00337B91">
      <w:pPr>
        <w:pStyle w:val="Heading2"/>
        <w:spacing w:before="0" w:line="240" w:lineRule="auto"/>
        <w:rPr>
          <w:rFonts w:ascii="Arial" w:hAnsi="Arial" w:cs="Arial"/>
          <w:b w:val="0"/>
          <w:color w:val="auto"/>
          <w:sz w:val="28"/>
          <w:szCs w:val="24"/>
        </w:rPr>
      </w:pPr>
      <w:r w:rsidRPr="00BF51BB">
        <w:rPr>
          <w:rFonts w:ascii="Arial" w:hAnsi="Arial" w:cs="Arial"/>
          <w:b w:val="0"/>
          <w:color w:val="auto"/>
          <w:sz w:val="28"/>
          <w:szCs w:val="24"/>
        </w:rPr>
        <w:t xml:space="preserve"> </w:t>
      </w:r>
    </w:p>
    <w:p w14:paraId="4F37E0F0" w14:textId="77777777" w:rsidR="00CC15D4" w:rsidRDefault="00CC15D4">
      <w:pPr>
        <w:rPr>
          <w:rFonts w:ascii="Arial" w:eastAsiaTheme="majorEastAsia" w:hAnsi="Arial" w:cs="Arial"/>
          <w:bCs/>
          <w:sz w:val="28"/>
          <w:szCs w:val="24"/>
        </w:rPr>
      </w:pPr>
      <w:r>
        <w:rPr>
          <w:rFonts w:ascii="Arial" w:hAnsi="Arial" w:cs="Arial"/>
          <w:b/>
          <w:sz w:val="28"/>
          <w:szCs w:val="24"/>
        </w:rPr>
        <w:br w:type="page"/>
      </w:r>
    </w:p>
    <w:p w14:paraId="19014B22" w14:textId="729813AE" w:rsidR="00ED768D" w:rsidRPr="00BF51BB" w:rsidRDefault="00ED768D" w:rsidP="00337B91">
      <w:pPr>
        <w:pStyle w:val="Heading2"/>
        <w:spacing w:before="0" w:line="240" w:lineRule="auto"/>
        <w:rPr>
          <w:rFonts w:ascii="Arial" w:hAnsi="Arial" w:cs="Arial"/>
          <w:b w:val="0"/>
        </w:rPr>
      </w:pPr>
      <w:bookmarkStart w:id="114" w:name="_Toc101781040"/>
      <w:r w:rsidRPr="00BF51BB">
        <w:rPr>
          <w:rFonts w:ascii="Arial" w:hAnsi="Arial" w:cs="Arial"/>
          <w:b w:val="0"/>
          <w:color w:val="auto"/>
          <w:sz w:val="24"/>
        </w:rPr>
        <w:lastRenderedPageBreak/>
        <w:t>4.5</w:t>
      </w:r>
      <w:r w:rsidR="004457DE" w:rsidRPr="00BF51BB">
        <w:rPr>
          <w:rFonts w:ascii="Arial" w:hAnsi="Arial" w:cs="Arial"/>
          <w:b w:val="0"/>
          <w:color w:val="auto"/>
          <w:sz w:val="24"/>
        </w:rPr>
        <w:t>.</w:t>
      </w:r>
      <w:r w:rsidR="008373F4" w:rsidRPr="00BF51BB">
        <w:rPr>
          <w:rFonts w:ascii="Arial" w:hAnsi="Arial" w:cs="Arial"/>
          <w:b w:val="0"/>
          <w:color w:val="auto"/>
          <w:sz w:val="22"/>
        </w:rPr>
        <w:tab/>
        <w:t>Poten</w:t>
      </w:r>
      <w:r w:rsidRPr="00BF51BB">
        <w:rPr>
          <w:rFonts w:ascii="Arial" w:hAnsi="Arial" w:cs="Arial"/>
          <w:b w:val="0"/>
          <w:color w:val="auto"/>
          <w:sz w:val="22"/>
        </w:rPr>
        <w:t>cijalne obaveze</w:t>
      </w:r>
      <w:bookmarkEnd w:id="114"/>
    </w:p>
    <w:p w14:paraId="6679CB6F" w14:textId="3089311C" w:rsidR="003D793D" w:rsidRPr="00BF51BB" w:rsidRDefault="003D793D" w:rsidP="00ED768D">
      <w:pPr>
        <w:pStyle w:val="ParagraphNumbering"/>
        <w:numPr>
          <w:ilvl w:val="0"/>
          <w:numId w:val="0"/>
        </w:numPr>
        <w:spacing w:after="0" w:line="240" w:lineRule="auto"/>
        <w:jc w:val="both"/>
        <w:rPr>
          <w:rFonts w:ascii="Arial" w:hAnsi="Arial" w:cs="Arial"/>
          <w:sz w:val="22"/>
        </w:rPr>
      </w:pPr>
    </w:p>
    <w:p w14:paraId="1F2E23F1" w14:textId="4FADC186" w:rsidR="00ED768D" w:rsidRPr="00BF51BB" w:rsidRDefault="00ED768D" w:rsidP="00205074">
      <w:pPr>
        <w:pStyle w:val="NoSpacing"/>
        <w:spacing w:line="276" w:lineRule="auto"/>
        <w:ind w:firstLine="420"/>
        <w:jc w:val="both"/>
        <w:rPr>
          <w:rFonts w:ascii="Arial" w:hAnsi="Arial" w:cs="Arial"/>
          <w:szCs w:val="24"/>
          <w:lang w:val="hr-HR"/>
        </w:rPr>
      </w:pPr>
      <w:r w:rsidRPr="00BF51BB">
        <w:rPr>
          <w:rFonts w:ascii="Arial" w:hAnsi="Arial" w:cs="Arial"/>
          <w:szCs w:val="24"/>
          <w:lang w:val="hr-HR"/>
        </w:rPr>
        <w:t xml:space="preserve">Potencijalne obaveze </w:t>
      </w:r>
      <w:r w:rsidR="005B669A" w:rsidRPr="00BF51BB">
        <w:rPr>
          <w:rFonts w:ascii="Arial" w:hAnsi="Arial" w:cs="Arial"/>
          <w:szCs w:val="24"/>
          <w:lang w:val="hr-HR"/>
        </w:rPr>
        <w:t>F</w:t>
      </w:r>
      <w:r w:rsidR="002461C4" w:rsidRPr="00BF51BB">
        <w:rPr>
          <w:rFonts w:ascii="Arial" w:hAnsi="Arial" w:cs="Arial"/>
          <w:szCs w:val="24"/>
          <w:lang w:val="hr-HR"/>
        </w:rPr>
        <w:t xml:space="preserve">ederacije </w:t>
      </w:r>
      <w:r w:rsidR="005B669A" w:rsidRPr="00BF51BB">
        <w:rPr>
          <w:rFonts w:ascii="Arial" w:hAnsi="Arial" w:cs="Arial"/>
          <w:szCs w:val="24"/>
          <w:lang w:val="hr-HR"/>
        </w:rPr>
        <w:t xml:space="preserve">BiH </w:t>
      </w:r>
      <w:r w:rsidRPr="00BF51BB">
        <w:rPr>
          <w:rFonts w:ascii="Arial" w:hAnsi="Arial" w:cs="Arial"/>
          <w:szCs w:val="24"/>
          <w:lang w:val="hr-HR"/>
        </w:rPr>
        <w:t>su finansijske obaveze po osnovu izdatih garancija ili odluka Parlament</w:t>
      </w:r>
      <w:r w:rsidR="00E579C0" w:rsidRPr="00BF51BB">
        <w:rPr>
          <w:rFonts w:ascii="Arial" w:hAnsi="Arial" w:cs="Arial"/>
          <w:szCs w:val="24"/>
          <w:lang w:val="hr-HR"/>
        </w:rPr>
        <w:t>a F</w:t>
      </w:r>
      <w:r w:rsidR="002461C4" w:rsidRPr="00BF51BB">
        <w:rPr>
          <w:rFonts w:ascii="Arial" w:hAnsi="Arial" w:cs="Arial"/>
          <w:szCs w:val="24"/>
          <w:lang w:val="hr-HR"/>
        </w:rPr>
        <w:t xml:space="preserve">ederacije </w:t>
      </w:r>
      <w:r w:rsidR="00E579C0" w:rsidRPr="00BF51BB">
        <w:rPr>
          <w:rFonts w:ascii="Arial" w:hAnsi="Arial" w:cs="Arial"/>
          <w:szCs w:val="24"/>
          <w:lang w:val="hr-HR"/>
        </w:rPr>
        <w:t>BiH o eventualnom preuzimanju</w:t>
      </w:r>
      <w:r w:rsidR="00124ED1" w:rsidRPr="00BF51BB">
        <w:rPr>
          <w:rFonts w:ascii="Arial" w:hAnsi="Arial" w:cs="Arial"/>
          <w:szCs w:val="24"/>
          <w:lang w:val="hr-HR"/>
        </w:rPr>
        <w:t xml:space="preserve"> finansijskih</w:t>
      </w:r>
      <w:r w:rsidRPr="00BF51BB">
        <w:rPr>
          <w:rFonts w:ascii="Arial" w:hAnsi="Arial" w:cs="Arial"/>
          <w:szCs w:val="24"/>
          <w:lang w:val="hr-HR"/>
        </w:rPr>
        <w:t xml:space="preserve"> obaveza kantona, </w:t>
      </w:r>
      <w:r w:rsidR="00A6424F" w:rsidRPr="00BF51BB">
        <w:rPr>
          <w:rFonts w:ascii="Arial" w:hAnsi="Arial" w:cs="Arial"/>
          <w:szCs w:val="24"/>
          <w:lang w:val="hr-HR"/>
        </w:rPr>
        <w:t>gradova, općina</w:t>
      </w:r>
      <w:r w:rsidRPr="00BF51BB">
        <w:rPr>
          <w:rFonts w:ascii="Arial" w:hAnsi="Arial" w:cs="Arial"/>
          <w:szCs w:val="24"/>
          <w:lang w:val="hr-HR"/>
        </w:rPr>
        <w:t xml:space="preserve"> ili javnih kompanija </w:t>
      </w:r>
      <w:r w:rsidR="00A6424F" w:rsidRPr="00BF51BB">
        <w:rPr>
          <w:rFonts w:ascii="Arial" w:hAnsi="Arial" w:cs="Arial"/>
          <w:szCs w:val="24"/>
          <w:lang w:val="hr-HR"/>
        </w:rPr>
        <w:t>i</w:t>
      </w:r>
      <w:r w:rsidR="005B669A" w:rsidRPr="00BF51BB">
        <w:rPr>
          <w:rFonts w:ascii="Arial" w:hAnsi="Arial" w:cs="Arial"/>
          <w:szCs w:val="24"/>
          <w:lang w:val="hr-HR"/>
        </w:rPr>
        <w:t xml:space="preserve"> </w:t>
      </w:r>
      <w:r w:rsidR="00E86486" w:rsidRPr="00BF51BB">
        <w:rPr>
          <w:rFonts w:ascii="Arial" w:hAnsi="Arial" w:cs="Arial"/>
          <w:szCs w:val="24"/>
          <w:lang w:val="hr-HR"/>
        </w:rPr>
        <w:t xml:space="preserve">koje bi </w:t>
      </w:r>
      <w:r w:rsidR="005B669A" w:rsidRPr="00BF51BB">
        <w:rPr>
          <w:rFonts w:ascii="Arial" w:hAnsi="Arial" w:cs="Arial"/>
          <w:szCs w:val="24"/>
          <w:lang w:val="hr-HR"/>
        </w:rPr>
        <w:t>mogle postati obaveza budžeta</w:t>
      </w:r>
      <w:r w:rsidR="002B10F6" w:rsidRPr="00BF51BB">
        <w:rPr>
          <w:rFonts w:ascii="Arial" w:hAnsi="Arial" w:cs="Arial"/>
          <w:szCs w:val="24"/>
          <w:lang w:val="hr-HR"/>
        </w:rPr>
        <w:t xml:space="preserve"> </w:t>
      </w:r>
      <w:r w:rsidR="005B669A" w:rsidRPr="00BF51BB">
        <w:rPr>
          <w:rFonts w:ascii="Arial" w:hAnsi="Arial" w:cs="Arial"/>
          <w:szCs w:val="24"/>
          <w:lang w:val="hr-HR"/>
        </w:rPr>
        <w:t>F</w:t>
      </w:r>
      <w:r w:rsidR="00A6424F" w:rsidRPr="00BF51BB">
        <w:rPr>
          <w:rFonts w:ascii="Arial" w:hAnsi="Arial" w:cs="Arial"/>
          <w:szCs w:val="24"/>
          <w:lang w:val="hr-HR"/>
        </w:rPr>
        <w:t xml:space="preserve">ederacije </w:t>
      </w:r>
      <w:r w:rsidR="005B669A" w:rsidRPr="00BF51BB">
        <w:rPr>
          <w:rFonts w:ascii="Arial" w:hAnsi="Arial" w:cs="Arial"/>
          <w:szCs w:val="24"/>
          <w:lang w:val="hr-HR"/>
        </w:rPr>
        <w:t>BiH.</w:t>
      </w:r>
    </w:p>
    <w:p w14:paraId="6D5FA7D8" w14:textId="45727CB9" w:rsidR="00E86486" w:rsidRPr="00BF51BB" w:rsidRDefault="00E86486" w:rsidP="00AB45F2">
      <w:pPr>
        <w:pStyle w:val="NoSpacing"/>
        <w:jc w:val="both"/>
        <w:rPr>
          <w:rFonts w:ascii="Arial" w:hAnsi="Arial" w:cs="Arial"/>
          <w:color w:val="E36C0A" w:themeColor="accent6" w:themeShade="BF"/>
          <w:szCs w:val="24"/>
          <w:lang w:val="hr-HR"/>
        </w:rPr>
      </w:pPr>
    </w:p>
    <w:p w14:paraId="64CBD019" w14:textId="64D1DE34" w:rsidR="00ED768D" w:rsidRPr="00BF51BB" w:rsidRDefault="00ED768D" w:rsidP="00AB45F2">
      <w:pPr>
        <w:pStyle w:val="Heading3"/>
        <w:spacing w:before="0"/>
        <w:ind w:firstLine="709"/>
        <w:rPr>
          <w:b w:val="0"/>
          <w:color w:val="auto"/>
          <w:sz w:val="24"/>
        </w:rPr>
      </w:pPr>
      <w:bookmarkStart w:id="115" w:name="_Toc101781041"/>
      <w:r w:rsidRPr="00BF51BB">
        <w:rPr>
          <w:rFonts w:ascii="Arial" w:hAnsi="Arial" w:cs="Arial"/>
          <w:b w:val="0"/>
          <w:color w:val="auto"/>
        </w:rPr>
        <w:t>4.5.1</w:t>
      </w:r>
      <w:r w:rsidR="004457DE" w:rsidRPr="00BF51BB">
        <w:rPr>
          <w:rFonts w:ascii="Arial" w:hAnsi="Arial" w:cs="Arial"/>
          <w:b w:val="0"/>
          <w:color w:val="auto"/>
        </w:rPr>
        <w:t>.</w:t>
      </w:r>
      <w:r w:rsidRPr="00BF51BB">
        <w:rPr>
          <w:b w:val="0"/>
          <w:color w:val="auto"/>
        </w:rPr>
        <w:tab/>
      </w:r>
      <w:r w:rsidRPr="00BF51BB">
        <w:rPr>
          <w:rFonts w:ascii="Arial" w:hAnsi="Arial" w:cs="Arial"/>
          <w:b w:val="0"/>
          <w:color w:val="auto"/>
        </w:rPr>
        <w:t>Garancije</w:t>
      </w:r>
      <w:bookmarkEnd w:id="115"/>
    </w:p>
    <w:p w14:paraId="79FB40AC" w14:textId="77777777" w:rsidR="00ED768D" w:rsidRPr="00BF51BB" w:rsidRDefault="00ED768D" w:rsidP="00ED768D">
      <w:pPr>
        <w:pStyle w:val="NoSpacing"/>
        <w:jc w:val="both"/>
        <w:rPr>
          <w:rFonts w:ascii="Arial" w:hAnsi="Arial" w:cs="Arial"/>
          <w:szCs w:val="24"/>
          <w:lang w:val="hr-HR"/>
        </w:rPr>
      </w:pPr>
    </w:p>
    <w:p w14:paraId="3A830996" w14:textId="15487D2B" w:rsidR="00DA47B3" w:rsidRPr="00BF51BB" w:rsidRDefault="008A089D">
      <w:pPr>
        <w:pStyle w:val="NoSpacing"/>
        <w:spacing w:line="276" w:lineRule="auto"/>
        <w:ind w:firstLine="420"/>
        <w:jc w:val="both"/>
        <w:rPr>
          <w:rFonts w:ascii="Arial" w:hAnsi="Arial" w:cs="Arial"/>
          <w:szCs w:val="24"/>
          <w:lang w:val="hr-HR"/>
        </w:rPr>
      </w:pPr>
      <w:r w:rsidRPr="00BF51BB">
        <w:rPr>
          <w:rFonts w:ascii="Arial" w:hAnsi="Arial" w:cs="Arial"/>
          <w:szCs w:val="24"/>
          <w:lang w:val="hr-HR"/>
        </w:rPr>
        <w:t>Federacija BiH je tokom 2019. godine</w:t>
      </w:r>
      <w:r w:rsidR="001D1542" w:rsidRPr="00BF51BB">
        <w:rPr>
          <w:rFonts w:ascii="Arial" w:hAnsi="Arial" w:cs="Arial"/>
          <w:szCs w:val="24"/>
          <w:lang w:val="hr-HR"/>
        </w:rPr>
        <w:t xml:space="preserve">, na zahtjev JP Elektroprivreda BiH </w:t>
      </w:r>
      <w:r w:rsidRPr="00BF51BB">
        <w:rPr>
          <w:rFonts w:ascii="Arial" w:hAnsi="Arial" w:cs="Arial"/>
          <w:szCs w:val="24"/>
          <w:lang w:val="hr-HR"/>
        </w:rPr>
        <w:t xml:space="preserve">izdala </w:t>
      </w:r>
      <w:r w:rsidR="00476D44" w:rsidRPr="00BF51BB">
        <w:rPr>
          <w:rFonts w:ascii="Arial" w:hAnsi="Arial" w:cs="Arial"/>
          <w:szCs w:val="24"/>
          <w:lang w:val="hr-HR"/>
        </w:rPr>
        <w:t xml:space="preserve">vanjsku garanciju </w:t>
      </w:r>
      <w:r w:rsidR="001D1542" w:rsidRPr="00BF51BB">
        <w:rPr>
          <w:rFonts w:ascii="Arial" w:hAnsi="Arial" w:cs="Arial"/>
          <w:szCs w:val="24"/>
          <w:lang w:val="hr-HR"/>
        </w:rPr>
        <w:t xml:space="preserve">u korist Kineske izvozno-uvozne banke (Exim Bank of China) na iznos od </w:t>
      </w:r>
      <w:r w:rsidR="00EB3959" w:rsidRPr="00BF51BB">
        <w:rPr>
          <w:rFonts w:ascii="Arial" w:hAnsi="Arial" w:cs="Arial"/>
          <w:szCs w:val="24"/>
          <w:lang w:val="hr-HR"/>
        </w:rPr>
        <w:t>613,99 mil</w:t>
      </w:r>
      <w:r w:rsidR="00CD4194" w:rsidRPr="00BF51BB">
        <w:rPr>
          <w:rFonts w:ascii="Arial" w:hAnsi="Arial" w:cs="Arial"/>
          <w:szCs w:val="24"/>
          <w:lang w:val="hr-HR"/>
        </w:rPr>
        <w:t>.</w:t>
      </w:r>
      <w:r w:rsidR="00EB3959" w:rsidRPr="00BF51BB">
        <w:rPr>
          <w:rFonts w:ascii="Arial" w:hAnsi="Arial" w:cs="Arial"/>
          <w:szCs w:val="24"/>
          <w:lang w:val="hr-HR"/>
        </w:rPr>
        <w:t xml:space="preserve"> EUR (</w:t>
      </w:r>
      <w:r w:rsidR="001D1542" w:rsidRPr="00BF51BB">
        <w:rPr>
          <w:rFonts w:ascii="Arial" w:hAnsi="Arial" w:cs="Arial"/>
          <w:szCs w:val="24"/>
          <w:lang w:val="hr-HR"/>
        </w:rPr>
        <w:t>1.200,86 mil. KM</w:t>
      </w:r>
      <w:r w:rsidR="00EB3959" w:rsidRPr="00BF51BB">
        <w:rPr>
          <w:rFonts w:ascii="Arial" w:hAnsi="Arial" w:cs="Arial"/>
          <w:szCs w:val="24"/>
          <w:lang w:val="hr-HR"/>
        </w:rPr>
        <w:t>)</w:t>
      </w:r>
      <w:r w:rsidR="00D20EE1">
        <w:rPr>
          <w:rFonts w:ascii="Arial" w:hAnsi="Arial" w:cs="Arial"/>
          <w:szCs w:val="24"/>
          <w:lang w:val="hr-HR"/>
        </w:rPr>
        <w:t>,</w:t>
      </w:r>
      <w:r w:rsidR="001D1542" w:rsidRPr="00BF51BB">
        <w:rPr>
          <w:rFonts w:ascii="Arial" w:hAnsi="Arial" w:cs="Arial"/>
          <w:szCs w:val="24"/>
          <w:lang w:val="hr-HR"/>
        </w:rPr>
        <w:t xml:space="preserve"> </w:t>
      </w:r>
      <w:r w:rsidR="00476D44" w:rsidRPr="00BF51BB">
        <w:rPr>
          <w:rFonts w:ascii="Arial" w:hAnsi="Arial" w:cs="Arial"/>
          <w:szCs w:val="24"/>
          <w:lang w:val="hr-HR"/>
        </w:rPr>
        <w:t xml:space="preserve">a u cilju izgradnje bloka 7 Termoelektrane Tuzla. </w:t>
      </w:r>
      <w:r w:rsidR="00AF3BB6" w:rsidRPr="00BF51BB">
        <w:rPr>
          <w:rFonts w:ascii="Arial" w:hAnsi="Arial" w:cs="Arial"/>
          <w:szCs w:val="24"/>
          <w:lang w:val="hr-HR"/>
        </w:rPr>
        <w:t>Iako je kredit postao efektivan 5.12.2019. godine</w:t>
      </w:r>
      <w:r w:rsidR="00D20EE1">
        <w:rPr>
          <w:rFonts w:ascii="Arial" w:hAnsi="Arial" w:cs="Arial"/>
          <w:szCs w:val="24"/>
          <w:lang w:val="hr-HR"/>
        </w:rPr>
        <w:t>,</w:t>
      </w:r>
      <w:r w:rsidR="00EA5371" w:rsidRPr="00BF51BB">
        <w:rPr>
          <w:rFonts w:ascii="Arial" w:hAnsi="Arial" w:cs="Arial"/>
          <w:szCs w:val="24"/>
          <w:lang w:val="hr-HR"/>
        </w:rPr>
        <w:t xml:space="preserve"> </w:t>
      </w:r>
      <w:r w:rsidR="001D1542" w:rsidRPr="00BF51BB">
        <w:rPr>
          <w:rFonts w:ascii="Arial" w:hAnsi="Arial" w:cs="Arial"/>
          <w:szCs w:val="24"/>
          <w:lang w:val="hr-HR"/>
        </w:rPr>
        <w:t>do 31.12.</w:t>
      </w:r>
      <w:r w:rsidR="00EB3959" w:rsidRPr="00BF51BB">
        <w:rPr>
          <w:rFonts w:ascii="Arial" w:hAnsi="Arial" w:cs="Arial"/>
          <w:szCs w:val="24"/>
          <w:lang w:val="hr-HR"/>
        </w:rPr>
        <w:t>2021</w:t>
      </w:r>
      <w:r w:rsidR="001D1542" w:rsidRPr="00BF51BB">
        <w:rPr>
          <w:rFonts w:ascii="Arial" w:hAnsi="Arial" w:cs="Arial"/>
          <w:szCs w:val="24"/>
          <w:lang w:val="hr-HR"/>
        </w:rPr>
        <w:t>. godine nije bilo angažovanja sredstva</w:t>
      </w:r>
      <w:r w:rsidR="00AF3BB6" w:rsidRPr="00BF51BB">
        <w:rPr>
          <w:rFonts w:ascii="Arial" w:hAnsi="Arial" w:cs="Arial"/>
          <w:szCs w:val="24"/>
          <w:lang w:val="hr-HR"/>
        </w:rPr>
        <w:t xml:space="preserve">, </w:t>
      </w:r>
      <w:r w:rsidR="00D20EE1">
        <w:rPr>
          <w:rFonts w:ascii="Arial" w:hAnsi="Arial" w:cs="Arial"/>
          <w:szCs w:val="24"/>
          <w:lang w:val="hr-HR"/>
        </w:rPr>
        <w:t>tako da</w:t>
      </w:r>
      <w:r w:rsidR="00E43420" w:rsidRPr="00BF51BB">
        <w:rPr>
          <w:rFonts w:ascii="Arial" w:hAnsi="Arial" w:cs="Arial"/>
          <w:szCs w:val="24"/>
          <w:lang w:val="hr-HR"/>
        </w:rPr>
        <w:t xml:space="preserve"> </w:t>
      </w:r>
      <w:r w:rsidRPr="00BF51BB">
        <w:rPr>
          <w:rFonts w:ascii="Arial" w:hAnsi="Arial" w:cs="Arial"/>
          <w:szCs w:val="24"/>
          <w:lang w:val="hr-HR"/>
        </w:rPr>
        <w:t xml:space="preserve">stanje duga po ovoj garanciji </w:t>
      </w:r>
      <w:r w:rsidR="001D1542" w:rsidRPr="00BF51BB">
        <w:rPr>
          <w:rFonts w:ascii="Arial" w:hAnsi="Arial" w:cs="Arial"/>
          <w:szCs w:val="24"/>
          <w:lang w:val="hr-HR"/>
        </w:rPr>
        <w:t>iznosi nula (</w:t>
      </w:r>
      <w:r w:rsidRPr="00BF51BB">
        <w:rPr>
          <w:rFonts w:ascii="Arial" w:hAnsi="Arial" w:cs="Arial"/>
          <w:szCs w:val="24"/>
          <w:lang w:val="hr-HR"/>
        </w:rPr>
        <w:t>0</w:t>
      </w:r>
      <w:r w:rsidR="001D1542" w:rsidRPr="00BF51BB">
        <w:rPr>
          <w:rFonts w:ascii="Arial" w:hAnsi="Arial" w:cs="Arial"/>
          <w:szCs w:val="24"/>
          <w:lang w:val="hr-HR"/>
        </w:rPr>
        <w:t>)</w:t>
      </w:r>
      <w:r w:rsidRPr="00BF51BB">
        <w:rPr>
          <w:rFonts w:ascii="Arial" w:hAnsi="Arial" w:cs="Arial"/>
          <w:szCs w:val="24"/>
          <w:lang w:val="hr-HR"/>
        </w:rPr>
        <w:t xml:space="preserve"> KM.</w:t>
      </w:r>
    </w:p>
    <w:p w14:paraId="4CE3C5C7" w14:textId="7D201FF9" w:rsidR="001D1542" w:rsidRPr="00BF51BB" w:rsidRDefault="001D1542">
      <w:pPr>
        <w:pStyle w:val="NoSpacing"/>
        <w:spacing w:line="276" w:lineRule="auto"/>
        <w:ind w:firstLine="420"/>
        <w:jc w:val="both"/>
        <w:rPr>
          <w:rFonts w:ascii="Arial" w:hAnsi="Arial" w:cs="Arial"/>
          <w:szCs w:val="24"/>
          <w:lang w:val="hr-HR"/>
        </w:rPr>
      </w:pPr>
      <w:r w:rsidRPr="00BF51BB">
        <w:rPr>
          <w:rFonts w:ascii="Arial" w:hAnsi="Arial" w:cs="Arial"/>
          <w:szCs w:val="24"/>
          <w:lang w:val="hr-HR"/>
        </w:rPr>
        <w:t>U kontekstu mjera na prevenciji posljedica izazvanih pandemijom</w:t>
      </w:r>
      <w:r w:rsidR="00EB3959" w:rsidRPr="00BF51BB">
        <w:rPr>
          <w:rFonts w:ascii="Arial" w:hAnsi="Arial" w:cs="Arial"/>
          <w:szCs w:val="24"/>
          <w:lang w:val="hr-HR"/>
        </w:rPr>
        <w:t xml:space="preserve"> COVID-19</w:t>
      </w:r>
      <w:r w:rsidRPr="00BF51BB">
        <w:rPr>
          <w:rFonts w:ascii="Arial" w:hAnsi="Arial" w:cs="Arial"/>
          <w:szCs w:val="24"/>
          <w:lang w:val="hr-HR"/>
        </w:rPr>
        <w:t>, Vlada Federacije</w:t>
      </w:r>
      <w:r w:rsidR="00EA5371" w:rsidRPr="00BF51BB">
        <w:rPr>
          <w:rFonts w:ascii="Arial" w:hAnsi="Arial" w:cs="Arial"/>
          <w:szCs w:val="24"/>
          <w:lang w:val="hr-HR"/>
        </w:rPr>
        <w:t xml:space="preserve"> BiH</w:t>
      </w:r>
      <w:r w:rsidRPr="00BF51BB">
        <w:rPr>
          <w:rFonts w:ascii="Arial" w:hAnsi="Arial" w:cs="Arial"/>
          <w:szCs w:val="24"/>
          <w:lang w:val="hr-HR"/>
        </w:rPr>
        <w:t xml:space="preserve"> osnovala je Garan</w:t>
      </w:r>
      <w:r w:rsidR="00D20EE1">
        <w:rPr>
          <w:rFonts w:ascii="Arial" w:hAnsi="Arial" w:cs="Arial"/>
          <w:szCs w:val="24"/>
          <w:lang w:val="hr-HR"/>
        </w:rPr>
        <w:t>cijski</w:t>
      </w:r>
      <w:r w:rsidRPr="00BF51BB">
        <w:rPr>
          <w:rFonts w:ascii="Arial" w:hAnsi="Arial" w:cs="Arial"/>
          <w:szCs w:val="24"/>
          <w:lang w:val="hr-HR"/>
        </w:rPr>
        <w:t xml:space="preserve"> fond pri Razvojnoj banci</w:t>
      </w:r>
      <w:r w:rsidR="00EB3959" w:rsidRPr="00BF51BB">
        <w:rPr>
          <w:rFonts w:ascii="Arial" w:hAnsi="Arial" w:cs="Arial"/>
          <w:szCs w:val="24"/>
          <w:lang w:val="hr-HR"/>
        </w:rPr>
        <w:t xml:space="preserve"> Federacije B</w:t>
      </w:r>
      <w:r w:rsidR="00EA5371" w:rsidRPr="00BF51BB">
        <w:rPr>
          <w:rFonts w:ascii="Arial" w:hAnsi="Arial" w:cs="Arial"/>
          <w:szCs w:val="24"/>
          <w:lang w:val="hr-HR"/>
        </w:rPr>
        <w:t>iH</w:t>
      </w:r>
      <w:r w:rsidRPr="00BF51BB">
        <w:rPr>
          <w:rFonts w:ascii="Arial" w:hAnsi="Arial" w:cs="Arial"/>
          <w:szCs w:val="24"/>
          <w:lang w:val="hr-HR"/>
        </w:rPr>
        <w:t xml:space="preserve">, sa ukupnim </w:t>
      </w:r>
      <w:r w:rsidR="00D20EE1" w:rsidRPr="00D912D1">
        <w:rPr>
          <w:rFonts w:ascii="Arial" w:hAnsi="Arial" w:cs="Arial"/>
          <w:szCs w:val="24"/>
          <w:lang w:val="hr-HR"/>
        </w:rPr>
        <w:t>garan</w:t>
      </w:r>
      <w:r w:rsidR="00D20EE1">
        <w:rPr>
          <w:rFonts w:ascii="Arial" w:hAnsi="Arial" w:cs="Arial"/>
          <w:szCs w:val="24"/>
          <w:lang w:val="hr-HR"/>
        </w:rPr>
        <w:t>cijskim</w:t>
      </w:r>
      <w:r w:rsidR="00D20EE1" w:rsidRPr="00BF51BB">
        <w:rPr>
          <w:rFonts w:ascii="Arial" w:hAnsi="Arial" w:cs="Arial"/>
          <w:szCs w:val="24"/>
          <w:lang w:val="hr-HR"/>
        </w:rPr>
        <w:t xml:space="preserve"> </w:t>
      </w:r>
      <w:r w:rsidRPr="00BF51BB">
        <w:rPr>
          <w:rFonts w:ascii="Arial" w:hAnsi="Arial" w:cs="Arial"/>
          <w:szCs w:val="24"/>
          <w:lang w:val="hr-HR"/>
        </w:rPr>
        <w:t xml:space="preserve">potencijalom od 500 mil. KM. </w:t>
      </w:r>
      <w:r w:rsidR="00EB3959" w:rsidRPr="00BF51BB">
        <w:rPr>
          <w:rFonts w:ascii="Arial" w:hAnsi="Arial" w:cs="Arial"/>
          <w:szCs w:val="24"/>
          <w:lang w:val="hr-HR"/>
        </w:rPr>
        <w:t>Ukupna sredstva fon</w:t>
      </w:r>
      <w:r w:rsidR="00610D14" w:rsidRPr="00BF51BB">
        <w:rPr>
          <w:rFonts w:ascii="Arial" w:hAnsi="Arial" w:cs="Arial"/>
          <w:szCs w:val="24"/>
          <w:lang w:val="hr-HR"/>
        </w:rPr>
        <w:t xml:space="preserve">da na 31.12.2021. godine su iznosila </w:t>
      </w:r>
      <w:r w:rsidR="00EB3959" w:rsidRPr="00BF51BB">
        <w:rPr>
          <w:rFonts w:ascii="Arial" w:hAnsi="Arial" w:cs="Arial"/>
          <w:szCs w:val="24"/>
          <w:lang w:val="hr-HR"/>
        </w:rPr>
        <w:t>100,09</w:t>
      </w:r>
      <w:r w:rsidR="00610D14" w:rsidRPr="00BF51BB">
        <w:rPr>
          <w:rFonts w:ascii="Arial" w:hAnsi="Arial" w:cs="Arial"/>
          <w:szCs w:val="24"/>
          <w:lang w:val="hr-HR"/>
        </w:rPr>
        <w:t xml:space="preserve"> </w:t>
      </w:r>
      <w:r w:rsidR="00EB3959" w:rsidRPr="00BF51BB">
        <w:rPr>
          <w:rFonts w:ascii="Arial" w:hAnsi="Arial" w:cs="Arial"/>
          <w:szCs w:val="24"/>
          <w:lang w:val="hr-HR"/>
        </w:rPr>
        <w:t xml:space="preserve">mil. </w:t>
      </w:r>
      <w:r w:rsidR="00EA5371" w:rsidRPr="00BF51BB">
        <w:rPr>
          <w:rFonts w:ascii="Arial" w:hAnsi="Arial" w:cs="Arial"/>
          <w:szCs w:val="24"/>
          <w:lang w:val="hr-HR"/>
        </w:rPr>
        <w:t>KM,</w:t>
      </w:r>
      <w:r w:rsidR="00610D14" w:rsidRPr="00BF51BB">
        <w:rPr>
          <w:rFonts w:ascii="Arial" w:hAnsi="Arial" w:cs="Arial"/>
          <w:szCs w:val="24"/>
          <w:lang w:val="hr-HR"/>
        </w:rPr>
        <w:t xml:space="preserve"> </w:t>
      </w:r>
      <w:r w:rsidR="00EA5371" w:rsidRPr="00BF51BB">
        <w:rPr>
          <w:rFonts w:ascii="Arial" w:hAnsi="Arial" w:cs="Arial"/>
          <w:szCs w:val="24"/>
          <w:lang w:val="hr-HR"/>
        </w:rPr>
        <w:t xml:space="preserve">dok stanje izloženosti fonda prema stanju izdatih garancija iznosi </w:t>
      </w:r>
      <w:r w:rsidR="00EA5371" w:rsidRPr="00BF51BB">
        <w:rPr>
          <w:rFonts w:ascii="Arial" w:hAnsi="Arial" w:cs="Arial"/>
          <w:szCs w:val="24"/>
          <w:lang w:val="hr-HR"/>
        </w:rPr>
        <w:br/>
        <w:t>83,76 mil KM</w:t>
      </w:r>
      <w:r w:rsidR="00610D14" w:rsidRPr="00BF51BB">
        <w:rPr>
          <w:rFonts w:ascii="Arial" w:hAnsi="Arial" w:cs="Arial"/>
          <w:szCs w:val="24"/>
          <w:lang w:val="hr-HR"/>
        </w:rPr>
        <w:t xml:space="preserve">. </w:t>
      </w:r>
      <w:r w:rsidR="00EB3959" w:rsidRPr="00BF51BB">
        <w:rPr>
          <w:rFonts w:ascii="Arial" w:hAnsi="Arial" w:cs="Arial"/>
          <w:szCs w:val="24"/>
          <w:lang w:val="hr-HR"/>
        </w:rPr>
        <w:t>Imajući u vidu da sredstva Gara</w:t>
      </w:r>
      <w:r w:rsidR="00EA5371" w:rsidRPr="00BF51BB">
        <w:rPr>
          <w:rFonts w:ascii="Arial" w:hAnsi="Arial" w:cs="Arial"/>
          <w:szCs w:val="24"/>
          <w:lang w:val="hr-HR"/>
        </w:rPr>
        <w:t>n</w:t>
      </w:r>
      <w:r w:rsidR="00D20EE1">
        <w:rPr>
          <w:rFonts w:ascii="Arial" w:hAnsi="Arial" w:cs="Arial"/>
          <w:szCs w:val="24"/>
          <w:lang w:val="hr-HR"/>
        </w:rPr>
        <w:t>cijskog</w:t>
      </w:r>
      <w:r w:rsidR="00EB3959" w:rsidRPr="00BF51BB">
        <w:rPr>
          <w:rFonts w:ascii="Arial" w:hAnsi="Arial" w:cs="Arial"/>
          <w:szCs w:val="24"/>
          <w:lang w:val="hr-HR"/>
        </w:rPr>
        <w:t xml:space="preserve"> fonda</w:t>
      </w:r>
      <w:r w:rsidR="00CF521A" w:rsidRPr="00BF51BB">
        <w:rPr>
          <w:rFonts w:ascii="Arial" w:hAnsi="Arial" w:cs="Arial"/>
          <w:szCs w:val="24"/>
          <w:lang w:val="hr-HR"/>
        </w:rPr>
        <w:t xml:space="preserve"> prelaze iznos garantovanih obaveza, obaveze po osnovu garancija</w:t>
      </w:r>
      <w:r w:rsidR="00971028" w:rsidRPr="00BF51BB">
        <w:rPr>
          <w:rFonts w:ascii="Arial" w:hAnsi="Arial" w:cs="Arial"/>
          <w:szCs w:val="24"/>
          <w:lang w:val="hr-HR"/>
        </w:rPr>
        <w:t xml:space="preserve"> nemaju nikakvog ut</w:t>
      </w:r>
      <w:r w:rsidR="009A2717">
        <w:rPr>
          <w:rFonts w:ascii="Arial" w:hAnsi="Arial" w:cs="Arial"/>
          <w:szCs w:val="24"/>
          <w:lang w:val="hr-HR"/>
        </w:rPr>
        <w:t>je</w:t>
      </w:r>
      <w:r w:rsidR="00971028" w:rsidRPr="00BF51BB">
        <w:rPr>
          <w:rFonts w:ascii="Arial" w:hAnsi="Arial" w:cs="Arial"/>
          <w:szCs w:val="24"/>
          <w:lang w:val="hr-HR"/>
        </w:rPr>
        <w:t>caja na budžet Federacije BiH</w:t>
      </w:r>
      <w:r w:rsidR="00CF521A" w:rsidRPr="00BF51BB">
        <w:rPr>
          <w:rFonts w:ascii="Arial" w:hAnsi="Arial" w:cs="Arial"/>
          <w:szCs w:val="24"/>
          <w:lang w:val="hr-HR"/>
        </w:rPr>
        <w:t xml:space="preserve"> u periodu na koji se odnosi strategija</w:t>
      </w:r>
      <w:r w:rsidR="00971028" w:rsidRPr="00BF51BB">
        <w:rPr>
          <w:rFonts w:ascii="Arial" w:hAnsi="Arial" w:cs="Arial"/>
          <w:szCs w:val="24"/>
          <w:lang w:val="hr-HR"/>
        </w:rPr>
        <w:t>.</w:t>
      </w:r>
      <w:r w:rsidR="009F7274" w:rsidRPr="00BF51BB">
        <w:rPr>
          <w:rFonts w:ascii="Arial" w:hAnsi="Arial" w:cs="Arial"/>
          <w:szCs w:val="24"/>
          <w:lang w:val="hr-HR"/>
        </w:rPr>
        <w:t xml:space="preserve"> </w:t>
      </w:r>
    </w:p>
    <w:p w14:paraId="5013985B" w14:textId="0B19B937" w:rsidR="00ED768D" w:rsidRPr="00BF51BB" w:rsidRDefault="00ED768D" w:rsidP="00BF51BB">
      <w:pPr>
        <w:pStyle w:val="NoSpacing"/>
        <w:spacing w:line="276" w:lineRule="auto"/>
        <w:ind w:firstLine="420"/>
        <w:jc w:val="both"/>
        <w:rPr>
          <w:rFonts w:ascii="Arial" w:hAnsi="Arial" w:cs="Arial"/>
          <w:szCs w:val="24"/>
          <w:lang w:val="hr-HR"/>
        </w:rPr>
      </w:pPr>
      <w:r w:rsidRPr="00BF51BB">
        <w:rPr>
          <w:rFonts w:ascii="Arial" w:hAnsi="Arial" w:cs="Arial"/>
          <w:szCs w:val="24"/>
          <w:lang w:val="hr-HR"/>
        </w:rPr>
        <w:t xml:space="preserve">U periodu </w:t>
      </w:r>
      <w:r w:rsidR="00C54B5C" w:rsidRPr="00BF51BB">
        <w:rPr>
          <w:rFonts w:ascii="Arial" w:hAnsi="Arial" w:cs="Arial"/>
          <w:szCs w:val="24"/>
          <w:lang w:val="hr-HR"/>
        </w:rPr>
        <w:t xml:space="preserve">na </w:t>
      </w:r>
      <w:r w:rsidR="00626DB0" w:rsidRPr="00BF51BB">
        <w:rPr>
          <w:rFonts w:ascii="Arial" w:hAnsi="Arial" w:cs="Arial"/>
          <w:szCs w:val="24"/>
          <w:lang w:val="hr-HR"/>
        </w:rPr>
        <w:t xml:space="preserve">koji </w:t>
      </w:r>
      <w:r w:rsidR="00C54B5C" w:rsidRPr="00BF51BB">
        <w:rPr>
          <w:rFonts w:ascii="Arial" w:hAnsi="Arial" w:cs="Arial"/>
          <w:szCs w:val="24"/>
          <w:lang w:val="hr-HR"/>
        </w:rPr>
        <w:t>se odnosi</w:t>
      </w:r>
      <w:r w:rsidRPr="00BF51BB">
        <w:rPr>
          <w:rFonts w:ascii="Arial" w:hAnsi="Arial" w:cs="Arial"/>
          <w:szCs w:val="24"/>
          <w:lang w:val="hr-HR"/>
        </w:rPr>
        <w:t xml:space="preserve"> ova Strategija ne </w:t>
      </w:r>
      <w:r w:rsidR="003A71C9" w:rsidRPr="00BF51BB">
        <w:rPr>
          <w:rFonts w:ascii="Arial" w:hAnsi="Arial" w:cs="Arial"/>
          <w:szCs w:val="24"/>
          <w:lang w:val="hr-HR"/>
        </w:rPr>
        <w:t>očekuje se akt</w:t>
      </w:r>
      <w:r w:rsidR="007B1E0F" w:rsidRPr="00BF51BB">
        <w:rPr>
          <w:rFonts w:ascii="Arial" w:hAnsi="Arial" w:cs="Arial"/>
          <w:szCs w:val="24"/>
          <w:lang w:val="hr-HR"/>
        </w:rPr>
        <w:t>iviranje garancij</w:t>
      </w:r>
      <w:r w:rsidR="00971028" w:rsidRPr="00BF51BB">
        <w:rPr>
          <w:rFonts w:ascii="Arial" w:hAnsi="Arial" w:cs="Arial"/>
          <w:szCs w:val="24"/>
          <w:lang w:val="hr-HR"/>
        </w:rPr>
        <w:t>a</w:t>
      </w:r>
      <w:r w:rsidR="00EA5371" w:rsidRPr="00BF51BB">
        <w:rPr>
          <w:rFonts w:ascii="Arial" w:hAnsi="Arial" w:cs="Arial"/>
          <w:szCs w:val="24"/>
          <w:lang w:val="hr-HR"/>
        </w:rPr>
        <w:t xml:space="preserve"> u mjeri u kojoj bi bilo potrebno osigurat</w:t>
      </w:r>
      <w:r w:rsidR="00610D14" w:rsidRPr="00BF51BB">
        <w:rPr>
          <w:rFonts w:ascii="Arial" w:hAnsi="Arial" w:cs="Arial"/>
          <w:szCs w:val="24"/>
          <w:lang w:val="hr-HR"/>
        </w:rPr>
        <w:t>i</w:t>
      </w:r>
      <w:r w:rsidR="00EA5371" w:rsidRPr="00BF51BB">
        <w:rPr>
          <w:rFonts w:ascii="Arial" w:hAnsi="Arial" w:cs="Arial"/>
          <w:szCs w:val="24"/>
          <w:lang w:val="hr-HR"/>
        </w:rPr>
        <w:t xml:space="preserve"> dodatna budžetska sredstva</w:t>
      </w:r>
      <w:r w:rsidR="007B1E0F" w:rsidRPr="00BF51BB">
        <w:rPr>
          <w:rFonts w:ascii="Arial" w:hAnsi="Arial" w:cs="Arial"/>
          <w:szCs w:val="24"/>
          <w:lang w:val="hr-HR"/>
        </w:rPr>
        <w:t>, te stoga ni</w:t>
      </w:r>
      <w:r w:rsidR="00971028" w:rsidRPr="00BF51BB">
        <w:rPr>
          <w:rFonts w:ascii="Arial" w:hAnsi="Arial" w:cs="Arial"/>
          <w:szCs w:val="24"/>
          <w:lang w:val="hr-HR"/>
        </w:rPr>
        <w:t>su</w:t>
      </w:r>
      <w:r w:rsidR="007B1E0F" w:rsidRPr="00BF51BB">
        <w:rPr>
          <w:rFonts w:ascii="Arial" w:hAnsi="Arial" w:cs="Arial"/>
          <w:szCs w:val="24"/>
          <w:lang w:val="hr-HR"/>
        </w:rPr>
        <w:t xml:space="preserve"> uključen</w:t>
      </w:r>
      <w:r w:rsidR="00971028" w:rsidRPr="00BF51BB">
        <w:rPr>
          <w:rFonts w:ascii="Arial" w:hAnsi="Arial" w:cs="Arial"/>
          <w:szCs w:val="24"/>
          <w:lang w:val="hr-HR"/>
        </w:rPr>
        <w:t>e</w:t>
      </w:r>
      <w:r w:rsidRPr="00BF51BB">
        <w:rPr>
          <w:rFonts w:ascii="Arial" w:hAnsi="Arial" w:cs="Arial"/>
          <w:szCs w:val="24"/>
          <w:lang w:val="hr-HR"/>
        </w:rPr>
        <w:t xml:space="preserve"> u njen </w:t>
      </w:r>
      <w:r w:rsidR="00B96CF8" w:rsidRPr="00BF51BB">
        <w:rPr>
          <w:rFonts w:ascii="Arial" w:hAnsi="Arial" w:cs="Arial"/>
          <w:szCs w:val="24"/>
          <w:lang w:val="hr-HR"/>
        </w:rPr>
        <w:t>obuhvat</w:t>
      </w:r>
      <w:r w:rsidRPr="00BF51BB">
        <w:rPr>
          <w:rFonts w:ascii="Arial" w:hAnsi="Arial" w:cs="Arial"/>
          <w:szCs w:val="24"/>
          <w:lang w:val="hr-HR"/>
        </w:rPr>
        <w:t xml:space="preserve">. </w:t>
      </w:r>
    </w:p>
    <w:p w14:paraId="1AC8C53C" w14:textId="77777777" w:rsidR="00680559" w:rsidRPr="00BF51BB" w:rsidRDefault="00680559" w:rsidP="00E86486">
      <w:pPr>
        <w:pStyle w:val="NoSpacing"/>
        <w:spacing w:line="276" w:lineRule="auto"/>
        <w:ind w:firstLine="284"/>
        <w:jc w:val="both"/>
        <w:rPr>
          <w:rFonts w:ascii="Arial" w:hAnsi="Arial" w:cs="Arial"/>
          <w:lang w:val="hr-HR"/>
        </w:rPr>
      </w:pPr>
    </w:p>
    <w:p w14:paraId="23435109" w14:textId="624652BF" w:rsidR="00ED768D" w:rsidRPr="00BF51BB" w:rsidRDefault="00ED768D" w:rsidP="00E86486">
      <w:pPr>
        <w:pStyle w:val="Heading3"/>
        <w:spacing w:before="0"/>
        <w:ind w:firstLine="709"/>
        <w:rPr>
          <w:b w:val="0"/>
          <w:color w:val="auto"/>
          <w:sz w:val="24"/>
        </w:rPr>
      </w:pPr>
      <w:bookmarkStart w:id="116" w:name="_Toc101781042"/>
      <w:r w:rsidRPr="00BF51BB">
        <w:rPr>
          <w:rFonts w:ascii="Arial" w:hAnsi="Arial" w:cs="Arial"/>
          <w:b w:val="0"/>
          <w:color w:val="auto"/>
        </w:rPr>
        <w:t>4.5.2</w:t>
      </w:r>
      <w:r w:rsidR="004457DE" w:rsidRPr="00BF51BB">
        <w:rPr>
          <w:rFonts w:ascii="Arial" w:hAnsi="Arial" w:cs="Arial"/>
          <w:b w:val="0"/>
          <w:color w:val="auto"/>
        </w:rPr>
        <w:t>.</w:t>
      </w:r>
      <w:r w:rsidRPr="00BF51BB">
        <w:rPr>
          <w:b w:val="0"/>
          <w:color w:val="auto"/>
        </w:rPr>
        <w:tab/>
      </w:r>
      <w:r w:rsidRPr="00BF51BB">
        <w:rPr>
          <w:rFonts w:ascii="Arial" w:hAnsi="Arial" w:cs="Arial"/>
          <w:b w:val="0"/>
          <w:color w:val="auto"/>
        </w:rPr>
        <w:t>Preuzimanje obaveza krajnjih korisnika</w:t>
      </w:r>
      <w:bookmarkEnd w:id="116"/>
      <w:r w:rsidR="00A24BB0" w:rsidRPr="00BF51BB">
        <w:rPr>
          <w:rFonts w:ascii="Arial" w:hAnsi="Arial" w:cs="Arial"/>
          <w:b w:val="0"/>
          <w:color w:val="auto"/>
        </w:rPr>
        <w:t xml:space="preserve"> </w:t>
      </w:r>
    </w:p>
    <w:p w14:paraId="68888F9F" w14:textId="77777777" w:rsidR="00B60AE7" w:rsidRPr="00BF51BB" w:rsidRDefault="00B60AE7" w:rsidP="00E86486">
      <w:pPr>
        <w:pStyle w:val="NoSpacing"/>
        <w:rPr>
          <w:rFonts w:ascii="Arial" w:hAnsi="Arial" w:cs="Arial"/>
          <w:sz w:val="24"/>
          <w:szCs w:val="24"/>
          <w:lang w:val="hr-HR"/>
        </w:rPr>
      </w:pPr>
    </w:p>
    <w:p w14:paraId="7681D1EF" w14:textId="72211E54" w:rsidR="00E86486" w:rsidRPr="00BF51BB" w:rsidRDefault="00CC0A22" w:rsidP="00E01E9C">
      <w:pPr>
        <w:pStyle w:val="NoSpacing"/>
        <w:spacing w:line="276" w:lineRule="auto"/>
        <w:ind w:firstLine="420"/>
        <w:jc w:val="both"/>
        <w:rPr>
          <w:rFonts w:ascii="Arial" w:hAnsi="Arial" w:cs="Arial"/>
          <w:sz w:val="24"/>
          <w:szCs w:val="24"/>
          <w:lang w:val="hr-HR"/>
        </w:rPr>
      </w:pPr>
      <w:r w:rsidRPr="00BF51BB">
        <w:rPr>
          <w:rFonts w:ascii="Arial" w:hAnsi="Arial" w:cs="Arial"/>
          <w:szCs w:val="24"/>
          <w:lang w:val="hr-HR"/>
        </w:rPr>
        <w:t xml:space="preserve">Iako </w:t>
      </w:r>
      <w:r w:rsidR="00ED768D" w:rsidRPr="00BF51BB">
        <w:rPr>
          <w:rFonts w:ascii="Arial" w:hAnsi="Arial" w:cs="Arial"/>
          <w:szCs w:val="24"/>
          <w:lang w:val="hr-HR"/>
        </w:rPr>
        <w:t>Zakon o dugu u FB</w:t>
      </w:r>
      <w:r w:rsidR="00D20EE1">
        <w:rPr>
          <w:rFonts w:ascii="Arial" w:hAnsi="Arial" w:cs="Arial"/>
          <w:szCs w:val="24"/>
          <w:lang w:val="hr-HR"/>
        </w:rPr>
        <w:t>i</w:t>
      </w:r>
      <w:r w:rsidR="00ED768D" w:rsidRPr="00BF51BB">
        <w:rPr>
          <w:rFonts w:ascii="Arial" w:hAnsi="Arial" w:cs="Arial"/>
          <w:szCs w:val="24"/>
          <w:lang w:val="hr-HR"/>
        </w:rPr>
        <w:t xml:space="preserve">H propisuje da dug kantona, gradova, općina i javnih </w:t>
      </w:r>
      <w:r w:rsidR="00764674" w:rsidRPr="00BF51BB">
        <w:rPr>
          <w:rFonts w:ascii="Arial" w:hAnsi="Arial" w:cs="Arial"/>
          <w:szCs w:val="24"/>
          <w:lang w:val="hr-HR"/>
        </w:rPr>
        <w:t xml:space="preserve">preduzeća </w:t>
      </w:r>
      <w:r w:rsidR="00ED768D" w:rsidRPr="00BF51BB">
        <w:rPr>
          <w:rFonts w:ascii="Arial" w:hAnsi="Arial" w:cs="Arial"/>
          <w:szCs w:val="24"/>
          <w:lang w:val="hr-HR"/>
        </w:rPr>
        <w:t xml:space="preserve">predstavlja </w:t>
      </w:r>
      <w:r w:rsidR="00AC2BD3" w:rsidRPr="00BF51BB">
        <w:rPr>
          <w:rFonts w:ascii="Arial" w:hAnsi="Arial" w:cs="Arial"/>
          <w:szCs w:val="24"/>
          <w:lang w:val="hr-HR"/>
        </w:rPr>
        <w:t>njihovu apsolutnu i bezu</w:t>
      </w:r>
      <w:r w:rsidR="00D20EE1">
        <w:rPr>
          <w:rFonts w:ascii="Arial" w:hAnsi="Arial" w:cs="Arial"/>
          <w:szCs w:val="24"/>
          <w:lang w:val="hr-HR"/>
        </w:rPr>
        <w:t>slovnu</w:t>
      </w:r>
      <w:r w:rsidR="00AC2BD3" w:rsidRPr="00BF51BB">
        <w:rPr>
          <w:rFonts w:ascii="Arial" w:hAnsi="Arial" w:cs="Arial"/>
          <w:szCs w:val="24"/>
          <w:lang w:val="hr-HR"/>
        </w:rPr>
        <w:t xml:space="preserve"> obavezu i ne predstavlja ni direktnu ni indirektnu obavezu F</w:t>
      </w:r>
      <w:r w:rsidR="0070171F" w:rsidRPr="00BF51BB">
        <w:rPr>
          <w:rFonts w:ascii="Arial" w:hAnsi="Arial" w:cs="Arial"/>
          <w:szCs w:val="24"/>
          <w:lang w:val="hr-HR"/>
        </w:rPr>
        <w:t xml:space="preserve">ederacije </w:t>
      </w:r>
      <w:r w:rsidR="00AC2BD3" w:rsidRPr="00BF51BB">
        <w:rPr>
          <w:rFonts w:ascii="Arial" w:hAnsi="Arial" w:cs="Arial"/>
          <w:szCs w:val="24"/>
          <w:lang w:val="hr-HR"/>
        </w:rPr>
        <w:t>BiH,</w:t>
      </w:r>
      <w:r w:rsidR="00ED768D" w:rsidRPr="00BF51BB">
        <w:rPr>
          <w:rFonts w:ascii="Arial" w:hAnsi="Arial" w:cs="Arial"/>
          <w:szCs w:val="24"/>
          <w:lang w:val="hr-HR"/>
        </w:rPr>
        <w:t xml:space="preserve"> trenutna finansijska pozicija nekoliko kantona, općina i javnih </w:t>
      </w:r>
      <w:r w:rsidR="0070171F" w:rsidRPr="00BF51BB">
        <w:rPr>
          <w:rFonts w:ascii="Arial" w:hAnsi="Arial" w:cs="Arial"/>
          <w:szCs w:val="24"/>
          <w:lang w:val="hr-HR"/>
        </w:rPr>
        <w:t>preduzeća</w:t>
      </w:r>
      <w:r w:rsidR="00ED768D" w:rsidRPr="00BF51BB">
        <w:rPr>
          <w:rFonts w:ascii="Arial" w:hAnsi="Arial" w:cs="Arial"/>
          <w:szCs w:val="24"/>
          <w:lang w:val="hr-HR"/>
        </w:rPr>
        <w:t xml:space="preserve"> kojima je F</w:t>
      </w:r>
      <w:r w:rsidR="0070171F" w:rsidRPr="00BF51BB">
        <w:rPr>
          <w:rFonts w:ascii="Arial" w:hAnsi="Arial" w:cs="Arial"/>
          <w:szCs w:val="24"/>
          <w:lang w:val="hr-HR"/>
        </w:rPr>
        <w:t xml:space="preserve">ederacija </w:t>
      </w:r>
      <w:r w:rsidR="00ED768D" w:rsidRPr="00BF51BB">
        <w:rPr>
          <w:rFonts w:ascii="Arial" w:hAnsi="Arial" w:cs="Arial"/>
          <w:szCs w:val="24"/>
          <w:lang w:val="hr-HR"/>
        </w:rPr>
        <w:t>BiH proslijedila kredite</w:t>
      </w:r>
      <w:r w:rsidR="00AC2BD3" w:rsidRPr="00BF51BB">
        <w:rPr>
          <w:rFonts w:ascii="Arial" w:hAnsi="Arial" w:cs="Arial"/>
          <w:szCs w:val="24"/>
          <w:lang w:val="hr-HR"/>
        </w:rPr>
        <w:t>,</w:t>
      </w:r>
      <w:r w:rsidR="00ED768D" w:rsidRPr="00BF51BB">
        <w:rPr>
          <w:rFonts w:ascii="Arial" w:hAnsi="Arial" w:cs="Arial"/>
          <w:szCs w:val="24"/>
          <w:lang w:val="hr-HR"/>
        </w:rPr>
        <w:t xml:space="preserve"> ukazuje na moguće teškoće u servisiranju njihovih obaveza.</w:t>
      </w:r>
    </w:p>
    <w:p w14:paraId="506F74CF" w14:textId="59693871" w:rsidR="005B3433" w:rsidRDefault="005B3433" w:rsidP="00E01E9C">
      <w:pPr>
        <w:pStyle w:val="NoSpacing"/>
        <w:spacing w:line="276" w:lineRule="auto"/>
        <w:ind w:firstLine="420"/>
        <w:jc w:val="both"/>
        <w:rPr>
          <w:rFonts w:ascii="Arial" w:hAnsi="Arial" w:cs="Arial"/>
          <w:sz w:val="24"/>
          <w:szCs w:val="24"/>
          <w:lang w:val="hr-HR"/>
        </w:rPr>
      </w:pPr>
    </w:p>
    <w:p w14:paraId="34A72A08" w14:textId="77777777" w:rsidR="00CC15D4" w:rsidRPr="00BF51BB" w:rsidRDefault="00CC15D4" w:rsidP="00E01E9C">
      <w:pPr>
        <w:pStyle w:val="NoSpacing"/>
        <w:spacing w:line="276" w:lineRule="auto"/>
        <w:ind w:firstLine="420"/>
        <w:jc w:val="both"/>
        <w:rPr>
          <w:rFonts w:ascii="Arial" w:hAnsi="Arial" w:cs="Arial"/>
          <w:sz w:val="24"/>
          <w:szCs w:val="24"/>
          <w:lang w:val="hr-HR"/>
        </w:rPr>
      </w:pPr>
    </w:p>
    <w:p w14:paraId="03AFEEEB" w14:textId="7EF88806" w:rsidR="00ED768D" w:rsidRPr="00BF51BB" w:rsidRDefault="00ED768D" w:rsidP="00ED768D">
      <w:pPr>
        <w:pStyle w:val="Heading1"/>
        <w:numPr>
          <w:ilvl w:val="0"/>
          <w:numId w:val="10"/>
        </w:numPr>
        <w:spacing w:before="0" w:line="240" w:lineRule="auto"/>
        <w:rPr>
          <w:rFonts w:ascii="Arial" w:hAnsi="Arial" w:cs="Arial"/>
          <w:b w:val="0"/>
          <w:color w:val="auto"/>
        </w:rPr>
      </w:pPr>
      <w:bookmarkStart w:id="117" w:name="_Toc101781043"/>
      <w:r w:rsidRPr="00BF51BB">
        <w:rPr>
          <w:rFonts w:ascii="Arial" w:hAnsi="Arial" w:cs="Arial"/>
          <w:b w:val="0"/>
          <w:color w:val="auto"/>
          <w:sz w:val="24"/>
        </w:rPr>
        <w:t>MAKROEKONOMSKI OKVIR</w:t>
      </w:r>
      <w:bookmarkEnd w:id="117"/>
    </w:p>
    <w:p w14:paraId="6F913460" w14:textId="1A88645E" w:rsidR="00104779" w:rsidRPr="00BF51BB" w:rsidRDefault="00104779" w:rsidP="00ED768D">
      <w:pPr>
        <w:pStyle w:val="NoSpacing"/>
        <w:rPr>
          <w:rFonts w:ascii="Arial" w:hAnsi="Arial" w:cs="Arial"/>
          <w:color w:val="E36C0A" w:themeColor="accent6" w:themeShade="BF"/>
          <w:lang w:val="hr-HR"/>
        </w:rPr>
      </w:pPr>
    </w:p>
    <w:p w14:paraId="68B50550" w14:textId="77777777" w:rsidR="005B244F" w:rsidRPr="00BF51BB" w:rsidRDefault="005B244F" w:rsidP="00BF51BB">
      <w:pPr>
        <w:ind w:firstLine="420"/>
        <w:jc w:val="both"/>
        <w:rPr>
          <w:rFonts w:ascii="Arial" w:hAnsi="Arial" w:cs="Arial"/>
        </w:rPr>
      </w:pPr>
      <w:r w:rsidRPr="00BF51BB">
        <w:rPr>
          <w:rFonts w:ascii="Arial" w:hAnsi="Arial" w:cs="Arial"/>
        </w:rPr>
        <w:t xml:space="preserve">U 2021. godini se projicira oporavak i rast  globalne ekonomije, ekonomije EU pa tako i BH ekonomije. </w:t>
      </w:r>
    </w:p>
    <w:p w14:paraId="51795D91" w14:textId="627863FE" w:rsidR="00347DA9" w:rsidRPr="00BF51BB" w:rsidRDefault="005B244F" w:rsidP="00D20EE1">
      <w:pPr>
        <w:ind w:firstLine="420"/>
        <w:jc w:val="both"/>
        <w:rPr>
          <w:rFonts w:ascii="Arial" w:hAnsi="Arial" w:cs="Arial"/>
        </w:rPr>
      </w:pPr>
      <w:r w:rsidRPr="00BF51BB">
        <w:rPr>
          <w:rFonts w:ascii="Arial" w:hAnsi="Arial" w:cs="Arial"/>
        </w:rPr>
        <w:t>U jesen 2021. godine Direkcija za ekonomsko planiranje (DEP)</w:t>
      </w:r>
      <w:r w:rsidRPr="00BF51BB">
        <w:rPr>
          <w:rStyle w:val="FootnoteReference"/>
          <w:rFonts w:ascii="Arial" w:hAnsi="Arial" w:cs="Arial"/>
        </w:rPr>
        <w:footnoteReference w:id="7"/>
      </w:r>
      <w:r w:rsidRPr="00BF51BB">
        <w:rPr>
          <w:rFonts w:ascii="Arial" w:hAnsi="Arial" w:cs="Arial"/>
        </w:rPr>
        <w:t xml:space="preserve"> pri Vijeću ministara BiH je projicirala oporavak ekonomije BiH u 2021. godini sa rastom BDP</w:t>
      </w:r>
      <w:r w:rsidR="002F02CB">
        <w:rPr>
          <w:rFonts w:ascii="Arial" w:hAnsi="Arial" w:cs="Arial"/>
        </w:rPr>
        <w:t>-</w:t>
      </w:r>
      <w:r w:rsidRPr="00BF51BB">
        <w:rPr>
          <w:rFonts w:ascii="Arial" w:hAnsi="Arial" w:cs="Arial"/>
        </w:rPr>
        <w:t>a od 3,1%, a u periodu 2022 - 2024. prosječan rast BDP</w:t>
      </w:r>
      <w:r w:rsidR="002F02CB">
        <w:rPr>
          <w:rFonts w:ascii="Arial" w:hAnsi="Arial" w:cs="Arial"/>
        </w:rPr>
        <w:t>-a</w:t>
      </w:r>
      <w:r w:rsidRPr="00BF51BB">
        <w:rPr>
          <w:rFonts w:ascii="Arial" w:hAnsi="Arial" w:cs="Arial"/>
        </w:rPr>
        <w:t xml:space="preserve"> bi trebao rasti od 3,5%. Prognozira se da će na ovakav rast ekonomije najveći utjecaj imati poboljšanje ekonomskih kretanja u okruženju, koje predstavljaju najvažniju odrednicu ekonomskog rasta, i za koje se očekuje da će pozitivno utjecati na rast domaće proizvodnje, potrošnje, zaposlenosti i i</w:t>
      </w:r>
      <w:r w:rsidR="00D20EE1">
        <w:rPr>
          <w:rFonts w:ascii="Arial" w:hAnsi="Arial" w:cs="Arial"/>
        </w:rPr>
        <w:t>nvesticija.</w:t>
      </w:r>
    </w:p>
    <w:p w14:paraId="3A9CC5A4" w14:textId="77777777" w:rsidR="005B244F" w:rsidRPr="00BF51BB" w:rsidRDefault="005B244F" w:rsidP="00BF51BB">
      <w:pPr>
        <w:ind w:firstLine="420"/>
        <w:jc w:val="both"/>
        <w:rPr>
          <w:rFonts w:ascii="Arial" w:hAnsi="Arial" w:cs="Arial"/>
        </w:rPr>
      </w:pPr>
      <w:r w:rsidRPr="00BF51BB">
        <w:rPr>
          <w:rFonts w:ascii="Arial" w:hAnsi="Arial" w:cs="Arial"/>
        </w:rPr>
        <w:t>Prema zvanično objavljenim rezultatima, u prvom kvartalu 2021. godine u odnosu na isti kvartal prethodne godine, u BiH je ostvaren realan rast od 2,5%, dok je u drugom kvartalu došlo do rasta od 11,6%</w:t>
      </w:r>
      <w:r w:rsidRPr="00BF51BB">
        <w:rPr>
          <w:rStyle w:val="FootnoteReference"/>
          <w:rFonts w:ascii="Arial" w:hAnsi="Arial" w:cs="Arial"/>
        </w:rPr>
        <w:footnoteReference w:id="8"/>
      </w:r>
      <w:r w:rsidRPr="00BF51BB">
        <w:rPr>
          <w:rFonts w:ascii="Arial" w:hAnsi="Arial" w:cs="Arial"/>
        </w:rPr>
        <w:t xml:space="preserve">. Ovakav rast u drugom kvartalu je nastao uslijed rasta svih djelatnosti od kojih </w:t>
      </w:r>
      <w:r w:rsidRPr="00BF51BB">
        <w:rPr>
          <w:rFonts w:ascii="Arial" w:hAnsi="Arial" w:cs="Arial"/>
        </w:rPr>
        <w:lastRenderedPageBreak/>
        <w:t xml:space="preserve">su najveći rast ostvaren kod izvoza roba i usluga od 51,3%, uvoza 38,8%, bruto investicija od 14,9%, te potrošnje domaćinstava od 13,2%. </w:t>
      </w:r>
    </w:p>
    <w:p w14:paraId="486AF4D2" w14:textId="366A2790" w:rsidR="00347DA9" w:rsidRPr="00BF51BB" w:rsidRDefault="005B244F" w:rsidP="00D20EE1">
      <w:pPr>
        <w:ind w:firstLine="420"/>
        <w:jc w:val="both"/>
        <w:rPr>
          <w:rFonts w:ascii="Arial" w:hAnsi="Arial" w:cs="Arial"/>
        </w:rPr>
      </w:pPr>
      <w:r w:rsidRPr="00BF51BB">
        <w:rPr>
          <w:rFonts w:ascii="Arial" w:hAnsi="Arial" w:cs="Arial"/>
        </w:rPr>
        <w:t>Za period 2021</w:t>
      </w:r>
      <w:r w:rsidR="00CD4194" w:rsidRPr="00BF51BB">
        <w:rPr>
          <w:rFonts w:ascii="Arial" w:hAnsi="Arial" w:cs="Arial"/>
        </w:rPr>
        <w:t xml:space="preserve"> </w:t>
      </w:r>
      <w:r w:rsidRPr="00BF51BB">
        <w:rPr>
          <w:rFonts w:ascii="Arial" w:hAnsi="Arial" w:cs="Arial"/>
        </w:rPr>
        <w:t>-</w:t>
      </w:r>
      <w:r w:rsidR="00CD4194" w:rsidRPr="00BF51BB">
        <w:rPr>
          <w:rFonts w:ascii="Arial" w:hAnsi="Arial" w:cs="Arial"/>
        </w:rPr>
        <w:t xml:space="preserve"> </w:t>
      </w:r>
      <w:r w:rsidRPr="00BF51BB">
        <w:rPr>
          <w:rFonts w:ascii="Arial" w:hAnsi="Arial" w:cs="Arial"/>
        </w:rPr>
        <w:t>2023. godin</w:t>
      </w:r>
      <w:r w:rsidR="00D20EE1">
        <w:rPr>
          <w:rFonts w:ascii="Arial" w:hAnsi="Arial" w:cs="Arial"/>
        </w:rPr>
        <w:t>a</w:t>
      </w:r>
      <w:r w:rsidRPr="00BF51BB">
        <w:rPr>
          <w:rFonts w:ascii="Arial" w:hAnsi="Arial" w:cs="Arial"/>
        </w:rPr>
        <w:t xml:space="preserve"> DEP je projicirao oporavak BiH od 3,4%, 3,5% i 3,7% respektivno uz pretpostavku poboljšanja situacije sa pandemijom, unapređenje ekonomskih kretanja u okruženju koje će dovesti do povoljnijeg poslovnog ambijenta u BiH.</w:t>
      </w:r>
      <w:r w:rsidR="00D20EE1">
        <w:rPr>
          <w:rFonts w:ascii="Arial" w:hAnsi="Arial" w:cs="Arial"/>
        </w:rPr>
        <w:t xml:space="preserve">  </w:t>
      </w:r>
    </w:p>
    <w:p w14:paraId="4109BBF6" w14:textId="77777777" w:rsidR="005B244F" w:rsidRPr="00BF51BB" w:rsidRDefault="005B244F" w:rsidP="005B244F">
      <w:pPr>
        <w:jc w:val="center"/>
        <w:rPr>
          <w:rFonts w:ascii="Arial" w:hAnsi="Arial" w:cs="Arial"/>
        </w:rPr>
      </w:pPr>
      <w:r w:rsidRPr="00BF51BB">
        <w:rPr>
          <w:rFonts w:ascii="Arial" w:hAnsi="Arial" w:cs="Arial"/>
        </w:rPr>
        <w:t>Pregled rasta BDP-a u zemljama Zapadnog Balkana</w:t>
      </w:r>
    </w:p>
    <w:tbl>
      <w:tblPr>
        <w:tblW w:w="5000" w:type="pct"/>
        <w:jc w:val="center"/>
        <w:tblLook w:val="04A0" w:firstRow="1" w:lastRow="0" w:firstColumn="1" w:lastColumn="0" w:noHBand="0" w:noVBand="1"/>
      </w:tblPr>
      <w:tblGrid>
        <w:gridCol w:w="4102"/>
        <w:gridCol w:w="1317"/>
        <w:gridCol w:w="1298"/>
        <w:gridCol w:w="1298"/>
        <w:gridCol w:w="1298"/>
      </w:tblGrid>
      <w:tr w:rsidR="00347DA9" w:rsidRPr="00BF51BB" w14:paraId="2E158ED3" w14:textId="77777777" w:rsidTr="00BF51BB">
        <w:trPr>
          <w:trHeight w:val="339"/>
          <w:jc w:val="center"/>
        </w:trPr>
        <w:tc>
          <w:tcPr>
            <w:tcW w:w="2202" w:type="pct"/>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1B192EC4" w14:textId="77777777" w:rsidR="00124ED1" w:rsidRPr="00BF51BB" w:rsidRDefault="00124ED1" w:rsidP="00124ED1">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Projekcije</w:t>
            </w:r>
          </w:p>
        </w:tc>
        <w:tc>
          <w:tcPr>
            <w:tcW w:w="707" w:type="pct"/>
            <w:tcBorders>
              <w:top w:val="single" w:sz="8" w:space="0" w:color="95B3D7"/>
              <w:left w:val="nil"/>
              <w:bottom w:val="single" w:sz="8" w:space="0" w:color="95B3D7"/>
              <w:right w:val="single" w:sz="8" w:space="0" w:color="95B3D7"/>
            </w:tcBorders>
            <w:shd w:val="clear" w:color="auto" w:fill="auto"/>
            <w:noWrap/>
            <w:vAlign w:val="center"/>
            <w:hideMark/>
          </w:tcPr>
          <w:p w14:paraId="3023DA84" w14:textId="77777777" w:rsidR="00124ED1" w:rsidRPr="00BF51BB" w:rsidRDefault="00124ED1" w:rsidP="00124ED1">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2020</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6A82C51B" w14:textId="77777777" w:rsidR="00124ED1" w:rsidRPr="00BF51BB" w:rsidRDefault="00124ED1" w:rsidP="00124ED1">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2021</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35D07DC4" w14:textId="77777777" w:rsidR="00124ED1" w:rsidRPr="00BF51BB" w:rsidRDefault="00124ED1" w:rsidP="00124ED1">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2022</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1A75A3B1" w14:textId="77777777" w:rsidR="00124ED1" w:rsidRPr="00BF51BB" w:rsidRDefault="00124ED1" w:rsidP="00124ED1">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2023</w:t>
            </w:r>
          </w:p>
        </w:tc>
      </w:tr>
      <w:tr w:rsidR="00347DA9" w:rsidRPr="00BF51BB" w14:paraId="0E70B99F" w14:textId="77777777" w:rsidTr="00BF51BB">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0C15001C" w14:textId="77777777" w:rsidR="00124ED1" w:rsidRPr="00BF51BB" w:rsidRDefault="00124ED1" w:rsidP="00124ED1">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Albanija</w:t>
            </w:r>
          </w:p>
        </w:tc>
        <w:tc>
          <w:tcPr>
            <w:tcW w:w="707" w:type="pct"/>
            <w:tcBorders>
              <w:top w:val="nil"/>
              <w:left w:val="nil"/>
              <w:bottom w:val="single" w:sz="8" w:space="0" w:color="95B3D7"/>
              <w:right w:val="single" w:sz="8" w:space="0" w:color="95B3D7"/>
            </w:tcBorders>
            <w:shd w:val="clear" w:color="000000" w:fill="DBE5F1"/>
            <w:noWrap/>
            <w:vAlign w:val="center"/>
            <w:hideMark/>
          </w:tcPr>
          <w:p w14:paraId="1CB1E247"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-4,0</w:t>
            </w:r>
          </w:p>
        </w:tc>
        <w:tc>
          <w:tcPr>
            <w:tcW w:w="697" w:type="pct"/>
            <w:tcBorders>
              <w:top w:val="nil"/>
              <w:left w:val="nil"/>
              <w:bottom w:val="single" w:sz="8" w:space="0" w:color="95B3D7"/>
              <w:right w:val="single" w:sz="8" w:space="0" w:color="95B3D7"/>
            </w:tcBorders>
            <w:shd w:val="clear" w:color="000000" w:fill="DBE5F1"/>
            <w:noWrap/>
            <w:vAlign w:val="center"/>
            <w:hideMark/>
          </w:tcPr>
          <w:p w14:paraId="6F4288CB"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7,2</w:t>
            </w:r>
          </w:p>
        </w:tc>
        <w:tc>
          <w:tcPr>
            <w:tcW w:w="697" w:type="pct"/>
            <w:tcBorders>
              <w:top w:val="nil"/>
              <w:left w:val="nil"/>
              <w:bottom w:val="single" w:sz="8" w:space="0" w:color="95B3D7"/>
              <w:right w:val="single" w:sz="8" w:space="0" w:color="95B3D7"/>
            </w:tcBorders>
            <w:shd w:val="clear" w:color="000000" w:fill="DBE5F1"/>
            <w:noWrap/>
            <w:vAlign w:val="center"/>
            <w:hideMark/>
          </w:tcPr>
          <w:p w14:paraId="6686CD21"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3,8</w:t>
            </w:r>
          </w:p>
        </w:tc>
        <w:tc>
          <w:tcPr>
            <w:tcW w:w="697" w:type="pct"/>
            <w:tcBorders>
              <w:top w:val="nil"/>
              <w:left w:val="nil"/>
              <w:bottom w:val="single" w:sz="8" w:space="0" w:color="95B3D7"/>
              <w:right w:val="single" w:sz="8" w:space="0" w:color="95B3D7"/>
            </w:tcBorders>
            <w:shd w:val="clear" w:color="000000" w:fill="DBE5F1"/>
            <w:noWrap/>
            <w:vAlign w:val="center"/>
            <w:hideMark/>
          </w:tcPr>
          <w:p w14:paraId="5C784EB7"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3,7</w:t>
            </w:r>
          </w:p>
        </w:tc>
      </w:tr>
      <w:tr w:rsidR="00347DA9" w:rsidRPr="00BF51BB" w14:paraId="0D66D28A" w14:textId="77777777" w:rsidTr="00BF51BB">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158DB4E6" w14:textId="77777777" w:rsidR="00124ED1" w:rsidRPr="00BF51BB" w:rsidRDefault="00124ED1" w:rsidP="00124ED1">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BiH</w:t>
            </w:r>
          </w:p>
        </w:tc>
        <w:tc>
          <w:tcPr>
            <w:tcW w:w="707" w:type="pct"/>
            <w:tcBorders>
              <w:top w:val="nil"/>
              <w:left w:val="nil"/>
              <w:bottom w:val="single" w:sz="8" w:space="0" w:color="95B3D7"/>
              <w:right w:val="single" w:sz="8" w:space="0" w:color="95B3D7"/>
            </w:tcBorders>
            <w:shd w:val="clear" w:color="auto" w:fill="auto"/>
            <w:noWrap/>
            <w:vAlign w:val="center"/>
            <w:hideMark/>
          </w:tcPr>
          <w:p w14:paraId="78618E81"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-3,2</w:t>
            </w:r>
          </w:p>
        </w:tc>
        <w:tc>
          <w:tcPr>
            <w:tcW w:w="697" w:type="pct"/>
            <w:tcBorders>
              <w:top w:val="nil"/>
              <w:left w:val="nil"/>
              <w:bottom w:val="single" w:sz="8" w:space="0" w:color="95B3D7"/>
              <w:right w:val="single" w:sz="8" w:space="0" w:color="95B3D7"/>
            </w:tcBorders>
            <w:shd w:val="clear" w:color="auto" w:fill="auto"/>
            <w:noWrap/>
            <w:vAlign w:val="center"/>
            <w:hideMark/>
          </w:tcPr>
          <w:p w14:paraId="51A4D87C"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4,0</w:t>
            </w:r>
          </w:p>
        </w:tc>
        <w:tc>
          <w:tcPr>
            <w:tcW w:w="697" w:type="pct"/>
            <w:tcBorders>
              <w:top w:val="nil"/>
              <w:left w:val="nil"/>
              <w:bottom w:val="single" w:sz="8" w:space="0" w:color="95B3D7"/>
              <w:right w:val="single" w:sz="8" w:space="0" w:color="95B3D7"/>
            </w:tcBorders>
            <w:shd w:val="clear" w:color="auto" w:fill="auto"/>
            <w:noWrap/>
            <w:vAlign w:val="center"/>
            <w:hideMark/>
          </w:tcPr>
          <w:p w14:paraId="3C11DCFF"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3,0</w:t>
            </w:r>
          </w:p>
        </w:tc>
        <w:tc>
          <w:tcPr>
            <w:tcW w:w="697" w:type="pct"/>
            <w:tcBorders>
              <w:top w:val="nil"/>
              <w:left w:val="nil"/>
              <w:bottom w:val="single" w:sz="8" w:space="0" w:color="95B3D7"/>
              <w:right w:val="single" w:sz="8" w:space="0" w:color="95B3D7"/>
            </w:tcBorders>
            <w:shd w:val="clear" w:color="auto" w:fill="auto"/>
            <w:noWrap/>
            <w:vAlign w:val="center"/>
            <w:hideMark/>
          </w:tcPr>
          <w:p w14:paraId="1457F536"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3,2</w:t>
            </w:r>
          </w:p>
        </w:tc>
      </w:tr>
      <w:tr w:rsidR="00347DA9" w:rsidRPr="00BF51BB" w14:paraId="022103E0" w14:textId="77777777" w:rsidTr="00BF51BB">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3CA7BB45" w14:textId="77777777" w:rsidR="00124ED1" w:rsidRPr="00BF51BB" w:rsidRDefault="00124ED1" w:rsidP="00124ED1">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Kosovo</w:t>
            </w:r>
          </w:p>
        </w:tc>
        <w:tc>
          <w:tcPr>
            <w:tcW w:w="707" w:type="pct"/>
            <w:tcBorders>
              <w:top w:val="nil"/>
              <w:left w:val="nil"/>
              <w:bottom w:val="single" w:sz="8" w:space="0" w:color="95B3D7"/>
              <w:right w:val="single" w:sz="8" w:space="0" w:color="95B3D7"/>
            </w:tcBorders>
            <w:shd w:val="clear" w:color="000000" w:fill="DBE5F1"/>
            <w:noWrap/>
            <w:vAlign w:val="center"/>
            <w:hideMark/>
          </w:tcPr>
          <w:p w14:paraId="09C81651"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-5,3</w:t>
            </w:r>
          </w:p>
        </w:tc>
        <w:tc>
          <w:tcPr>
            <w:tcW w:w="697" w:type="pct"/>
            <w:tcBorders>
              <w:top w:val="nil"/>
              <w:left w:val="nil"/>
              <w:bottom w:val="single" w:sz="8" w:space="0" w:color="95B3D7"/>
              <w:right w:val="single" w:sz="8" w:space="0" w:color="95B3D7"/>
            </w:tcBorders>
            <w:shd w:val="clear" w:color="000000" w:fill="DBE5F1"/>
            <w:noWrap/>
            <w:vAlign w:val="center"/>
            <w:hideMark/>
          </w:tcPr>
          <w:p w14:paraId="5C0CE981"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7,1</w:t>
            </w:r>
          </w:p>
        </w:tc>
        <w:tc>
          <w:tcPr>
            <w:tcW w:w="697" w:type="pct"/>
            <w:tcBorders>
              <w:top w:val="nil"/>
              <w:left w:val="nil"/>
              <w:bottom w:val="single" w:sz="8" w:space="0" w:color="95B3D7"/>
              <w:right w:val="single" w:sz="8" w:space="0" w:color="95B3D7"/>
            </w:tcBorders>
            <w:shd w:val="clear" w:color="000000" w:fill="DBE5F1"/>
            <w:noWrap/>
            <w:vAlign w:val="center"/>
            <w:hideMark/>
          </w:tcPr>
          <w:p w14:paraId="7666F006"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4,1</w:t>
            </w:r>
          </w:p>
        </w:tc>
        <w:tc>
          <w:tcPr>
            <w:tcW w:w="697" w:type="pct"/>
            <w:tcBorders>
              <w:top w:val="nil"/>
              <w:left w:val="nil"/>
              <w:bottom w:val="single" w:sz="8" w:space="0" w:color="95B3D7"/>
              <w:right w:val="single" w:sz="8" w:space="0" w:color="95B3D7"/>
            </w:tcBorders>
            <w:shd w:val="clear" w:color="000000" w:fill="DBE5F1"/>
            <w:noWrap/>
            <w:vAlign w:val="center"/>
            <w:hideMark/>
          </w:tcPr>
          <w:p w14:paraId="6613012D"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4,4</w:t>
            </w:r>
          </w:p>
        </w:tc>
      </w:tr>
      <w:tr w:rsidR="00347DA9" w:rsidRPr="00BF51BB" w14:paraId="7A9F0645" w14:textId="77777777" w:rsidTr="00BF51BB">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479E6AC3" w14:textId="77777777" w:rsidR="00124ED1" w:rsidRPr="00BF51BB" w:rsidRDefault="00124ED1" w:rsidP="00124ED1">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Crna Gora</w:t>
            </w:r>
          </w:p>
        </w:tc>
        <w:tc>
          <w:tcPr>
            <w:tcW w:w="707" w:type="pct"/>
            <w:tcBorders>
              <w:top w:val="nil"/>
              <w:left w:val="nil"/>
              <w:bottom w:val="single" w:sz="8" w:space="0" w:color="95B3D7"/>
              <w:right w:val="single" w:sz="8" w:space="0" w:color="95B3D7"/>
            </w:tcBorders>
            <w:shd w:val="clear" w:color="auto" w:fill="auto"/>
            <w:noWrap/>
            <w:vAlign w:val="center"/>
            <w:hideMark/>
          </w:tcPr>
          <w:p w14:paraId="23729223"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-15,3</w:t>
            </w:r>
          </w:p>
        </w:tc>
        <w:tc>
          <w:tcPr>
            <w:tcW w:w="697" w:type="pct"/>
            <w:tcBorders>
              <w:top w:val="nil"/>
              <w:left w:val="nil"/>
              <w:bottom w:val="single" w:sz="8" w:space="0" w:color="95B3D7"/>
              <w:right w:val="single" w:sz="8" w:space="0" w:color="95B3D7"/>
            </w:tcBorders>
            <w:shd w:val="clear" w:color="auto" w:fill="auto"/>
            <w:noWrap/>
            <w:vAlign w:val="center"/>
            <w:hideMark/>
          </w:tcPr>
          <w:p w14:paraId="7D5D0448"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10,8</w:t>
            </w:r>
          </w:p>
        </w:tc>
        <w:tc>
          <w:tcPr>
            <w:tcW w:w="697" w:type="pct"/>
            <w:tcBorders>
              <w:top w:val="nil"/>
              <w:left w:val="nil"/>
              <w:bottom w:val="single" w:sz="8" w:space="0" w:color="95B3D7"/>
              <w:right w:val="single" w:sz="8" w:space="0" w:color="95B3D7"/>
            </w:tcBorders>
            <w:shd w:val="clear" w:color="auto" w:fill="auto"/>
            <w:noWrap/>
            <w:vAlign w:val="center"/>
            <w:hideMark/>
          </w:tcPr>
          <w:p w14:paraId="747A2781"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5,6</w:t>
            </w:r>
          </w:p>
        </w:tc>
        <w:tc>
          <w:tcPr>
            <w:tcW w:w="697" w:type="pct"/>
            <w:tcBorders>
              <w:top w:val="nil"/>
              <w:left w:val="nil"/>
              <w:bottom w:val="single" w:sz="8" w:space="0" w:color="95B3D7"/>
              <w:right w:val="single" w:sz="8" w:space="0" w:color="95B3D7"/>
            </w:tcBorders>
            <w:shd w:val="clear" w:color="auto" w:fill="auto"/>
            <w:noWrap/>
            <w:vAlign w:val="center"/>
            <w:hideMark/>
          </w:tcPr>
          <w:p w14:paraId="0D4A68B1"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4,8</w:t>
            </w:r>
          </w:p>
        </w:tc>
      </w:tr>
      <w:tr w:rsidR="00347DA9" w:rsidRPr="00BF51BB" w14:paraId="3D4D9CAF" w14:textId="77777777" w:rsidTr="00BF51BB">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41C07935" w14:textId="77777777" w:rsidR="00124ED1" w:rsidRPr="00BF51BB" w:rsidRDefault="00124ED1" w:rsidP="00124ED1">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Sjeverna Makedonija</w:t>
            </w:r>
          </w:p>
        </w:tc>
        <w:tc>
          <w:tcPr>
            <w:tcW w:w="707" w:type="pct"/>
            <w:tcBorders>
              <w:top w:val="nil"/>
              <w:left w:val="nil"/>
              <w:bottom w:val="single" w:sz="8" w:space="0" w:color="95B3D7"/>
              <w:right w:val="single" w:sz="8" w:space="0" w:color="95B3D7"/>
            </w:tcBorders>
            <w:shd w:val="clear" w:color="000000" w:fill="DBE5F1"/>
            <w:noWrap/>
            <w:vAlign w:val="center"/>
            <w:hideMark/>
          </w:tcPr>
          <w:p w14:paraId="0FF6AEB6"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-4,5</w:t>
            </w:r>
          </w:p>
        </w:tc>
        <w:tc>
          <w:tcPr>
            <w:tcW w:w="697" w:type="pct"/>
            <w:tcBorders>
              <w:top w:val="nil"/>
              <w:left w:val="nil"/>
              <w:bottom w:val="single" w:sz="8" w:space="0" w:color="95B3D7"/>
              <w:right w:val="single" w:sz="8" w:space="0" w:color="95B3D7"/>
            </w:tcBorders>
            <w:shd w:val="clear" w:color="000000" w:fill="DBE5F1"/>
            <w:noWrap/>
            <w:vAlign w:val="center"/>
            <w:hideMark/>
          </w:tcPr>
          <w:p w14:paraId="05994866"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4,6</w:t>
            </w:r>
          </w:p>
        </w:tc>
        <w:tc>
          <w:tcPr>
            <w:tcW w:w="697" w:type="pct"/>
            <w:tcBorders>
              <w:top w:val="nil"/>
              <w:left w:val="nil"/>
              <w:bottom w:val="single" w:sz="8" w:space="0" w:color="95B3D7"/>
              <w:right w:val="single" w:sz="8" w:space="0" w:color="95B3D7"/>
            </w:tcBorders>
            <w:shd w:val="clear" w:color="000000" w:fill="DBE5F1"/>
            <w:noWrap/>
            <w:vAlign w:val="center"/>
            <w:hideMark/>
          </w:tcPr>
          <w:p w14:paraId="647B2115"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3,7</w:t>
            </w:r>
          </w:p>
        </w:tc>
        <w:tc>
          <w:tcPr>
            <w:tcW w:w="697" w:type="pct"/>
            <w:tcBorders>
              <w:top w:val="nil"/>
              <w:left w:val="nil"/>
              <w:bottom w:val="single" w:sz="8" w:space="0" w:color="95B3D7"/>
              <w:right w:val="single" w:sz="8" w:space="0" w:color="95B3D7"/>
            </w:tcBorders>
            <w:shd w:val="clear" w:color="000000" w:fill="DBE5F1"/>
            <w:noWrap/>
            <w:vAlign w:val="center"/>
            <w:hideMark/>
          </w:tcPr>
          <w:p w14:paraId="62B10D06"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3,4</w:t>
            </w:r>
          </w:p>
        </w:tc>
      </w:tr>
      <w:tr w:rsidR="00347DA9" w:rsidRPr="00BF51BB" w14:paraId="50E63341" w14:textId="77777777" w:rsidTr="00BF51BB">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6580C8ED" w14:textId="77777777" w:rsidR="00124ED1" w:rsidRPr="00BF51BB" w:rsidRDefault="00124ED1" w:rsidP="00124ED1">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Srbija</w:t>
            </w:r>
          </w:p>
        </w:tc>
        <w:tc>
          <w:tcPr>
            <w:tcW w:w="707" w:type="pct"/>
            <w:tcBorders>
              <w:top w:val="nil"/>
              <w:left w:val="nil"/>
              <w:bottom w:val="single" w:sz="8" w:space="0" w:color="95B3D7"/>
              <w:right w:val="single" w:sz="8" w:space="0" w:color="95B3D7"/>
            </w:tcBorders>
            <w:shd w:val="clear" w:color="auto" w:fill="auto"/>
            <w:noWrap/>
            <w:vAlign w:val="center"/>
            <w:hideMark/>
          </w:tcPr>
          <w:p w14:paraId="18A926C2"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-0,9</w:t>
            </w:r>
          </w:p>
        </w:tc>
        <w:tc>
          <w:tcPr>
            <w:tcW w:w="697" w:type="pct"/>
            <w:tcBorders>
              <w:top w:val="nil"/>
              <w:left w:val="nil"/>
              <w:bottom w:val="single" w:sz="8" w:space="0" w:color="95B3D7"/>
              <w:right w:val="single" w:sz="8" w:space="0" w:color="95B3D7"/>
            </w:tcBorders>
            <w:shd w:val="clear" w:color="auto" w:fill="auto"/>
            <w:noWrap/>
            <w:vAlign w:val="center"/>
            <w:hideMark/>
          </w:tcPr>
          <w:p w14:paraId="2C40A137"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6,0</w:t>
            </w:r>
          </w:p>
        </w:tc>
        <w:tc>
          <w:tcPr>
            <w:tcW w:w="697" w:type="pct"/>
            <w:tcBorders>
              <w:top w:val="nil"/>
              <w:left w:val="nil"/>
              <w:bottom w:val="single" w:sz="8" w:space="0" w:color="95B3D7"/>
              <w:right w:val="single" w:sz="8" w:space="0" w:color="95B3D7"/>
            </w:tcBorders>
            <w:shd w:val="clear" w:color="auto" w:fill="auto"/>
            <w:noWrap/>
            <w:vAlign w:val="center"/>
            <w:hideMark/>
          </w:tcPr>
          <w:p w14:paraId="4675926C"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4,5</w:t>
            </w:r>
          </w:p>
        </w:tc>
        <w:tc>
          <w:tcPr>
            <w:tcW w:w="697" w:type="pct"/>
            <w:tcBorders>
              <w:top w:val="nil"/>
              <w:left w:val="nil"/>
              <w:bottom w:val="single" w:sz="8" w:space="0" w:color="95B3D7"/>
              <w:right w:val="single" w:sz="8" w:space="0" w:color="95B3D7"/>
            </w:tcBorders>
            <w:shd w:val="clear" w:color="auto" w:fill="auto"/>
            <w:noWrap/>
            <w:vAlign w:val="center"/>
            <w:hideMark/>
          </w:tcPr>
          <w:p w14:paraId="277F121A"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4,0</w:t>
            </w:r>
          </w:p>
        </w:tc>
      </w:tr>
      <w:tr w:rsidR="00347DA9" w:rsidRPr="00BF51BB" w14:paraId="12F3D2F8" w14:textId="77777777" w:rsidTr="00BF51BB">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2A492D37" w14:textId="77777777" w:rsidR="00124ED1" w:rsidRPr="00BF51BB" w:rsidRDefault="00124ED1" w:rsidP="00124ED1">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Zapadni Balkan</w:t>
            </w:r>
          </w:p>
        </w:tc>
        <w:tc>
          <w:tcPr>
            <w:tcW w:w="707" w:type="pct"/>
            <w:tcBorders>
              <w:top w:val="nil"/>
              <w:left w:val="nil"/>
              <w:bottom w:val="single" w:sz="8" w:space="0" w:color="95B3D7"/>
              <w:right w:val="single" w:sz="8" w:space="0" w:color="95B3D7"/>
            </w:tcBorders>
            <w:shd w:val="clear" w:color="000000" w:fill="DBE5F1"/>
            <w:noWrap/>
            <w:vAlign w:val="center"/>
            <w:hideMark/>
          </w:tcPr>
          <w:p w14:paraId="54586056"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-3,1</w:t>
            </w:r>
          </w:p>
        </w:tc>
        <w:tc>
          <w:tcPr>
            <w:tcW w:w="697" w:type="pct"/>
            <w:tcBorders>
              <w:top w:val="nil"/>
              <w:left w:val="nil"/>
              <w:bottom w:val="single" w:sz="8" w:space="0" w:color="95B3D7"/>
              <w:right w:val="single" w:sz="8" w:space="0" w:color="95B3D7"/>
            </w:tcBorders>
            <w:shd w:val="clear" w:color="000000" w:fill="DBE5F1"/>
            <w:noWrap/>
            <w:vAlign w:val="center"/>
            <w:hideMark/>
          </w:tcPr>
          <w:p w14:paraId="5D749669"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5,9</w:t>
            </w:r>
          </w:p>
        </w:tc>
        <w:tc>
          <w:tcPr>
            <w:tcW w:w="697" w:type="pct"/>
            <w:tcBorders>
              <w:top w:val="nil"/>
              <w:left w:val="nil"/>
              <w:bottom w:val="single" w:sz="8" w:space="0" w:color="95B3D7"/>
              <w:right w:val="single" w:sz="8" w:space="0" w:color="95B3D7"/>
            </w:tcBorders>
            <w:shd w:val="clear" w:color="000000" w:fill="DBE5F1"/>
            <w:noWrap/>
            <w:vAlign w:val="center"/>
            <w:hideMark/>
          </w:tcPr>
          <w:p w14:paraId="5CBB2BCF"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4,1</w:t>
            </w:r>
          </w:p>
        </w:tc>
        <w:tc>
          <w:tcPr>
            <w:tcW w:w="697" w:type="pct"/>
            <w:tcBorders>
              <w:top w:val="nil"/>
              <w:left w:val="nil"/>
              <w:bottom w:val="single" w:sz="8" w:space="0" w:color="95B3D7"/>
              <w:right w:val="single" w:sz="8" w:space="0" w:color="95B3D7"/>
            </w:tcBorders>
            <w:shd w:val="clear" w:color="000000" w:fill="DBE5F1"/>
            <w:noWrap/>
            <w:vAlign w:val="center"/>
            <w:hideMark/>
          </w:tcPr>
          <w:p w14:paraId="138C9319"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3,8</w:t>
            </w:r>
          </w:p>
        </w:tc>
      </w:tr>
      <w:tr w:rsidR="00347DA9" w:rsidRPr="00BF51BB" w14:paraId="5290699E" w14:textId="77777777" w:rsidTr="00BF51BB">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2EF12001" w14:textId="77777777" w:rsidR="00124ED1" w:rsidRPr="00BF51BB" w:rsidRDefault="00124ED1" w:rsidP="00124ED1">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EU 27</w:t>
            </w:r>
          </w:p>
        </w:tc>
        <w:tc>
          <w:tcPr>
            <w:tcW w:w="707" w:type="pct"/>
            <w:tcBorders>
              <w:top w:val="nil"/>
              <w:left w:val="nil"/>
              <w:bottom w:val="single" w:sz="8" w:space="0" w:color="95B3D7"/>
              <w:right w:val="single" w:sz="8" w:space="0" w:color="95B3D7"/>
            </w:tcBorders>
            <w:shd w:val="clear" w:color="auto" w:fill="auto"/>
            <w:noWrap/>
            <w:vAlign w:val="center"/>
            <w:hideMark/>
          </w:tcPr>
          <w:p w14:paraId="73658AC5"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-7,0</w:t>
            </w:r>
          </w:p>
        </w:tc>
        <w:tc>
          <w:tcPr>
            <w:tcW w:w="697" w:type="pct"/>
            <w:tcBorders>
              <w:top w:val="nil"/>
              <w:left w:val="nil"/>
              <w:bottom w:val="single" w:sz="8" w:space="0" w:color="95B3D7"/>
              <w:right w:val="single" w:sz="8" w:space="0" w:color="95B3D7"/>
            </w:tcBorders>
            <w:shd w:val="clear" w:color="auto" w:fill="auto"/>
            <w:noWrap/>
            <w:vAlign w:val="center"/>
            <w:hideMark/>
          </w:tcPr>
          <w:p w14:paraId="1989A18D"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3,7</w:t>
            </w:r>
          </w:p>
        </w:tc>
        <w:tc>
          <w:tcPr>
            <w:tcW w:w="697" w:type="pct"/>
            <w:tcBorders>
              <w:top w:val="nil"/>
              <w:left w:val="nil"/>
              <w:bottom w:val="single" w:sz="8" w:space="0" w:color="95B3D7"/>
              <w:right w:val="single" w:sz="8" w:space="0" w:color="95B3D7"/>
            </w:tcBorders>
            <w:shd w:val="clear" w:color="auto" w:fill="auto"/>
            <w:noWrap/>
            <w:vAlign w:val="center"/>
            <w:hideMark/>
          </w:tcPr>
          <w:p w14:paraId="50076CF9"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4,0</w:t>
            </w:r>
          </w:p>
        </w:tc>
        <w:tc>
          <w:tcPr>
            <w:tcW w:w="697" w:type="pct"/>
            <w:tcBorders>
              <w:top w:val="nil"/>
              <w:left w:val="nil"/>
              <w:bottom w:val="single" w:sz="8" w:space="0" w:color="95B3D7"/>
              <w:right w:val="single" w:sz="8" w:space="0" w:color="95B3D7"/>
            </w:tcBorders>
            <w:shd w:val="clear" w:color="auto" w:fill="auto"/>
            <w:noWrap/>
            <w:vAlign w:val="center"/>
            <w:hideMark/>
          </w:tcPr>
          <w:p w14:paraId="47EC62A0" w14:textId="77777777" w:rsidR="00124ED1" w:rsidRPr="00BF51BB" w:rsidRDefault="00124ED1" w:rsidP="00BF51BB">
            <w:pPr>
              <w:spacing w:after="0" w:line="240" w:lineRule="auto"/>
              <w:jc w:val="right"/>
              <w:rPr>
                <w:rFonts w:ascii="Arial Narrow" w:eastAsia="Times New Roman" w:hAnsi="Arial Narrow" w:cs="Calibri"/>
                <w:color w:val="000000"/>
              </w:rPr>
            </w:pPr>
            <w:r w:rsidRPr="00BF51BB">
              <w:rPr>
                <w:rFonts w:ascii="Arial Narrow" w:eastAsia="Times New Roman" w:hAnsi="Arial Narrow" w:cs="Calibri"/>
                <w:color w:val="000000"/>
              </w:rPr>
              <w:t>4,0</w:t>
            </w:r>
          </w:p>
        </w:tc>
      </w:tr>
    </w:tbl>
    <w:p w14:paraId="6D6696CB" w14:textId="2DC606A8" w:rsidR="00347DA9" w:rsidRPr="00CC15D4" w:rsidRDefault="005B244F" w:rsidP="00CC15D4">
      <w:pPr>
        <w:jc w:val="center"/>
        <w:rPr>
          <w:rFonts w:ascii="Arial" w:hAnsi="Arial" w:cs="Arial"/>
          <w:sz w:val="18"/>
        </w:rPr>
      </w:pPr>
      <w:r w:rsidRPr="00BF51BB">
        <w:rPr>
          <w:rFonts w:ascii="Arial" w:hAnsi="Arial" w:cs="Arial"/>
          <w:sz w:val="18"/>
        </w:rPr>
        <w:t>Izvor: Svjetska banka, Redovni ekonomsk</w:t>
      </w:r>
      <w:r w:rsidR="00CC15D4">
        <w:rPr>
          <w:rFonts w:ascii="Arial" w:hAnsi="Arial" w:cs="Arial"/>
          <w:sz w:val="18"/>
        </w:rPr>
        <w:t>i izvještaj, Br. 20, jesen 2021</w:t>
      </w:r>
    </w:p>
    <w:p w14:paraId="09AA72FF" w14:textId="77777777" w:rsidR="00CC15D4" w:rsidRDefault="00CC15D4" w:rsidP="00BF51BB">
      <w:pPr>
        <w:ind w:firstLine="720"/>
        <w:jc w:val="both"/>
        <w:rPr>
          <w:rFonts w:ascii="Arial" w:hAnsi="Arial" w:cs="Arial"/>
        </w:rPr>
      </w:pPr>
    </w:p>
    <w:p w14:paraId="687DC3AE" w14:textId="1F1BD441" w:rsidR="00DC2C95" w:rsidRPr="00BF51BB" w:rsidRDefault="005B244F" w:rsidP="00BF51BB">
      <w:pPr>
        <w:ind w:firstLine="720"/>
        <w:jc w:val="both"/>
        <w:rPr>
          <w:rFonts w:ascii="Arial" w:hAnsi="Arial" w:cs="Arial"/>
        </w:rPr>
      </w:pPr>
      <w:r w:rsidRPr="00BF51BB">
        <w:rPr>
          <w:rFonts w:ascii="Arial" w:hAnsi="Arial" w:cs="Arial"/>
        </w:rPr>
        <w:t>Za zemlje Zapadnog Balkana, Svjetska banka projicira rast od 5,9% u 2021. godini, a u periodu 2022 - 2023. godin</w:t>
      </w:r>
      <w:r w:rsidR="00D20EE1">
        <w:rPr>
          <w:rFonts w:ascii="Arial" w:hAnsi="Arial" w:cs="Arial"/>
        </w:rPr>
        <w:t>a</w:t>
      </w:r>
      <w:r w:rsidRPr="00BF51BB">
        <w:rPr>
          <w:rFonts w:ascii="Arial" w:hAnsi="Arial" w:cs="Arial"/>
        </w:rPr>
        <w:t xml:space="preserve"> nešto manji rast od 4,1% i 3,8% respektivno. Uporište za ovakve prognoze su povoljnija ekonomska kretanja u okruženju koja će utjecati na rast izvoza, te poboljšanje domaćeg tržišta i domaće potrošnje, kao i oporavak turističke djelatnosti. </w:t>
      </w:r>
    </w:p>
    <w:p w14:paraId="1A70AFF4" w14:textId="08B85540" w:rsidR="005B244F" w:rsidRPr="00BF51BB" w:rsidRDefault="005B244F" w:rsidP="00BF51BB">
      <w:pPr>
        <w:ind w:firstLine="720"/>
        <w:jc w:val="both"/>
        <w:rPr>
          <w:rFonts w:ascii="Arial" w:hAnsi="Arial" w:cs="Arial"/>
        </w:rPr>
      </w:pPr>
      <w:r w:rsidRPr="00BF51BB">
        <w:rPr>
          <w:rFonts w:ascii="Arial" w:hAnsi="Arial" w:cs="Arial"/>
        </w:rPr>
        <w:t>Uprkos poduzetim mjerama vlada zemalja Zapadnog Balkana</w:t>
      </w:r>
      <w:r w:rsidR="00D20EE1">
        <w:rPr>
          <w:rFonts w:ascii="Arial" w:hAnsi="Arial" w:cs="Arial"/>
        </w:rPr>
        <w:t>,</w:t>
      </w:r>
      <w:r w:rsidRPr="00BF51BB">
        <w:rPr>
          <w:rFonts w:ascii="Arial" w:hAnsi="Arial" w:cs="Arial"/>
        </w:rPr>
        <w:t xml:space="preserve"> povećana je stopa nezaposlenosti u 2021. godini te će tržište rada zahtijevati posebnu pažnju u narednom periodu. </w:t>
      </w:r>
    </w:p>
    <w:p w14:paraId="701ADD7C" w14:textId="77777777" w:rsidR="005B244F" w:rsidRPr="00BF51BB" w:rsidRDefault="005B244F" w:rsidP="00BF51BB">
      <w:pPr>
        <w:ind w:firstLine="720"/>
        <w:jc w:val="both"/>
        <w:rPr>
          <w:rFonts w:ascii="Arial" w:hAnsi="Arial" w:cs="Arial"/>
        </w:rPr>
      </w:pPr>
      <w:r w:rsidRPr="00BF51BB">
        <w:rPr>
          <w:rFonts w:ascii="Arial" w:hAnsi="Arial" w:cs="Arial"/>
        </w:rPr>
        <w:t>Prema zvanično objavljenim rezultatima</w:t>
      </w:r>
      <w:r w:rsidRPr="00BF51BB">
        <w:rPr>
          <w:rStyle w:val="FootnoteReference"/>
          <w:rFonts w:ascii="Arial" w:hAnsi="Arial" w:cs="Arial"/>
        </w:rPr>
        <w:footnoteReference w:id="9"/>
      </w:r>
      <w:r w:rsidRPr="00BF51BB">
        <w:rPr>
          <w:rFonts w:ascii="Arial" w:hAnsi="Arial" w:cs="Arial"/>
        </w:rPr>
        <w:t xml:space="preserve"> u 2021. godini dolazi do oporavka ekonomije, odnosno u prvom kvartalu 2021. godine u odnosu isti kvartal prethodne godine ostvaren je rast od 2,2%, a u drugom kvartalu visoki rast od 13,3%. U drugom kvartalu sve oblasti djelatnosti su zabilježili rast, a najznačajniji rast je ostvaren u djelatnosti trgovine, popravak motornih vozila i motocikla, prijevoz i skladištenje i hotelijerstvu i ugostiteljstvu od 32,45, te u izvozno orijentiranoj prerađivačkoj industriji od 23,1%. Značajno je napomenuti da je u prva dva kvartala 2021. godine u odnosu na iste kvartale u 2019. pretpandemijskoj godini ostvaren veći realni BDP u apsolutnom iznosu (2021: IK-5.043.414 i IIK-5.463.284; 2019: IK-4.851.216 i IIK-5.316.536 – u hilj. KM, lančano povezane vrijednosti u cijenama 2015). </w:t>
      </w:r>
    </w:p>
    <w:p w14:paraId="51AFD794" w14:textId="02768CB2" w:rsidR="005B244F" w:rsidRPr="00BF51BB" w:rsidRDefault="005B244F" w:rsidP="00BF51BB">
      <w:pPr>
        <w:ind w:firstLine="420"/>
        <w:jc w:val="both"/>
        <w:rPr>
          <w:rFonts w:ascii="Arial" w:hAnsi="Arial" w:cs="Arial"/>
        </w:rPr>
      </w:pPr>
      <w:r w:rsidRPr="00BF51BB">
        <w:rPr>
          <w:rFonts w:ascii="Arial" w:hAnsi="Arial" w:cs="Arial"/>
        </w:rPr>
        <w:t>Pod pretpostavkom suzbijanja pandemije uzrokovane virusom COVID-19, odnosno efikasnim provođenjem cijepljenja stanovništva, u narednom srednjoročnom periodu međunarodne finan</w:t>
      </w:r>
      <w:r w:rsidR="00745D9E">
        <w:rPr>
          <w:rFonts w:ascii="Arial" w:hAnsi="Arial" w:cs="Arial"/>
        </w:rPr>
        <w:t>s</w:t>
      </w:r>
      <w:r w:rsidRPr="00BF51BB">
        <w:rPr>
          <w:rFonts w:ascii="Arial" w:hAnsi="Arial" w:cs="Arial"/>
        </w:rPr>
        <w:t>ijske institucije projiciraju oporavak i rast ekonomija na svim nivoima. Oporavak zemalja u okruženju odnosno oporavak naših najvećih vanjskotrgovinskih partnera će dati snažan poticaj rastu ekonomije kako BiH tako i FBiH. Za BiH se očekuje povratak na pretpandemijski rast u narednom srednjoročnom periodu, a najveći rizik za projekcije rasta su postojeće političke poteškoće koje uzrokuju paralizu vlasti i predstojeći opći izbori u 2022. godini.</w:t>
      </w:r>
    </w:p>
    <w:p w14:paraId="24D8C190" w14:textId="1325D5D6" w:rsidR="00DC2C95" w:rsidRPr="00BF51BB" w:rsidRDefault="005B244F" w:rsidP="00D90516">
      <w:pPr>
        <w:spacing w:after="0"/>
        <w:ind w:firstLine="420"/>
        <w:jc w:val="both"/>
        <w:rPr>
          <w:rFonts w:ascii="Arial" w:hAnsi="Arial" w:cs="Arial"/>
        </w:rPr>
      </w:pPr>
      <w:r w:rsidRPr="00BF51BB">
        <w:rPr>
          <w:rFonts w:ascii="Arial" w:hAnsi="Arial" w:cs="Arial"/>
        </w:rPr>
        <w:lastRenderedPageBreak/>
        <w:t>Projicira se da će rast FBiH u narednim p</w:t>
      </w:r>
      <w:r w:rsidR="00CC15D4">
        <w:rPr>
          <w:rFonts w:ascii="Arial" w:hAnsi="Arial" w:cs="Arial"/>
        </w:rPr>
        <w:t>eriodu od 2021</w:t>
      </w:r>
      <w:r w:rsidRPr="00BF51BB">
        <w:rPr>
          <w:rFonts w:ascii="Arial" w:hAnsi="Arial" w:cs="Arial"/>
        </w:rPr>
        <w:t>-2023. godine kretati od 3,2%, 3,4%, 3,6% i 3,9 respektivno pod pretpostavkom rasta glavnih odrednica ekonomskog rasta privatne potrošnje i investicija, oporavka djelatnosti sa najvećom zaposlenosti, te povećanja dohotka stanovništava uslijed pozitivnih kretanja u okruženju i pozitivnim internim dinamikama.</w:t>
      </w:r>
    </w:p>
    <w:p w14:paraId="1E30BE82" w14:textId="77777777" w:rsidR="00CC15D4" w:rsidRDefault="00CC15D4" w:rsidP="00CC15D4">
      <w:pPr>
        <w:spacing w:after="0"/>
        <w:ind w:firstLine="420"/>
        <w:jc w:val="both"/>
        <w:rPr>
          <w:rFonts w:ascii="Arial" w:hAnsi="Arial" w:cs="Arial"/>
        </w:rPr>
      </w:pPr>
    </w:p>
    <w:p w14:paraId="08BD9398" w14:textId="196A4DA0" w:rsidR="00315942" w:rsidRDefault="005B244F" w:rsidP="00CC15D4">
      <w:pPr>
        <w:spacing w:after="0"/>
        <w:ind w:firstLine="420"/>
        <w:jc w:val="both"/>
        <w:rPr>
          <w:rFonts w:ascii="Arial" w:hAnsi="Arial" w:cs="Arial"/>
        </w:rPr>
      </w:pPr>
      <w:r w:rsidRPr="00BF51BB">
        <w:rPr>
          <w:rFonts w:ascii="Arial" w:hAnsi="Arial" w:cs="Arial"/>
        </w:rPr>
        <w:t xml:space="preserve"> Vlada FBiH će u 2022. godini nastaviti poduzimati mjere za </w:t>
      </w:r>
      <w:r w:rsidRPr="00CC15D4">
        <w:rPr>
          <w:rFonts w:ascii="Arial" w:hAnsi="Arial" w:cs="Arial"/>
        </w:rPr>
        <w:t>prev</w:t>
      </w:r>
      <w:r w:rsidR="00CC15D4" w:rsidRPr="00CC15D4">
        <w:rPr>
          <w:rFonts w:ascii="Arial" w:hAnsi="Arial" w:cs="Arial"/>
        </w:rPr>
        <w:t>ladavanje</w:t>
      </w:r>
      <w:r w:rsidRPr="00BF51BB">
        <w:rPr>
          <w:rFonts w:ascii="Arial" w:hAnsi="Arial" w:cs="Arial"/>
        </w:rPr>
        <w:t xml:space="preserve"> posljedica pandemije, odnosno mjere za održavanje likvidnosti privrednih subjekata, mjere za očuvanje radnih mjesta, te za sanaciju zdravstvenog sektora. Cilj mjera Vlade FBiH poduzetih u privredi je povećanju stepena konkurentnosti i unapređenje poslovnog ambijenta, odnosno rast ekonomije općenito. Također, u fokusu će biti rješavanje prioriteta za pridruživanju EU i efikasnije i brže rješavanja sveobuhvatnih reformi čime će se pozitivno utjecati na rast ekonomije FBiH u narednom periodu. </w:t>
      </w:r>
    </w:p>
    <w:p w14:paraId="1154E10F" w14:textId="77777777" w:rsidR="00CC15D4" w:rsidRPr="00BF51BB" w:rsidRDefault="00CC15D4" w:rsidP="00CC15D4">
      <w:pPr>
        <w:spacing w:after="0"/>
        <w:ind w:firstLine="420"/>
        <w:jc w:val="both"/>
        <w:rPr>
          <w:rFonts w:ascii="Arial" w:hAnsi="Arial" w:cs="Arial"/>
        </w:rPr>
      </w:pPr>
    </w:p>
    <w:p w14:paraId="341CE8E4" w14:textId="703A6CBC" w:rsidR="00C602EB" w:rsidRDefault="00ED768D" w:rsidP="00CC15D4">
      <w:pPr>
        <w:spacing w:after="0" w:line="240" w:lineRule="auto"/>
        <w:jc w:val="both"/>
        <w:rPr>
          <w:rFonts w:ascii="Arial" w:hAnsi="Arial" w:cs="Arial"/>
        </w:rPr>
      </w:pPr>
      <w:r w:rsidRPr="00CC15D4">
        <w:rPr>
          <w:rFonts w:ascii="Arial" w:hAnsi="Arial" w:cs="Arial"/>
        </w:rPr>
        <w:t xml:space="preserve">Tabela </w:t>
      </w:r>
      <w:r w:rsidR="005A0B60" w:rsidRPr="00CC15D4">
        <w:rPr>
          <w:rFonts w:ascii="Arial" w:hAnsi="Arial" w:cs="Arial"/>
        </w:rPr>
        <w:t>6</w:t>
      </w:r>
      <w:r w:rsidRPr="00CC15D4">
        <w:rPr>
          <w:rFonts w:ascii="Arial" w:hAnsi="Arial" w:cs="Arial"/>
        </w:rPr>
        <w:t>. Makroekonomski pokazatelji za F</w:t>
      </w:r>
      <w:r w:rsidR="00D450C0" w:rsidRPr="00CC15D4">
        <w:rPr>
          <w:rFonts w:ascii="Arial" w:hAnsi="Arial" w:cs="Arial"/>
        </w:rPr>
        <w:t xml:space="preserve">ederaciju </w:t>
      </w:r>
      <w:r w:rsidRPr="00CC15D4">
        <w:rPr>
          <w:rFonts w:ascii="Arial" w:hAnsi="Arial" w:cs="Arial"/>
        </w:rPr>
        <w:t>BiH</w:t>
      </w:r>
      <w:r w:rsidRPr="00CC15D4">
        <w:rPr>
          <w:rFonts w:ascii="Arial" w:hAnsi="Arial" w:cs="Arial"/>
          <w:bCs/>
        </w:rPr>
        <w:t xml:space="preserve"> </w:t>
      </w:r>
      <w:r w:rsidRPr="00CC15D4">
        <w:rPr>
          <w:rFonts w:ascii="Arial" w:hAnsi="Arial" w:cs="Arial"/>
        </w:rPr>
        <w:t xml:space="preserve">za period </w:t>
      </w:r>
      <w:r w:rsidR="009038A8" w:rsidRPr="00CC15D4">
        <w:rPr>
          <w:rFonts w:ascii="Arial" w:hAnsi="Arial" w:cs="Arial"/>
        </w:rPr>
        <w:t>2022</w:t>
      </w:r>
      <w:r w:rsidR="008F5E63" w:rsidRPr="00CC15D4">
        <w:rPr>
          <w:rFonts w:ascii="Arial" w:hAnsi="Arial" w:cs="Arial"/>
        </w:rPr>
        <w:t xml:space="preserve"> – </w:t>
      </w:r>
      <w:r w:rsidR="003B44D9" w:rsidRPr="00CC15D4">
        <w:rPr>
          <w:rFonts w:ascii="Arial" w:hAnsi="Arial" w:cs="Arial"/>
        </w:rPr>
        <w:t>202</w:t>
      </w:r>
      <w:r w:rsidR="009038A8" w:rsidRPr="00CC15D4">
        <w:rPr>
          <w:rFonts w:ascii="Arial" w:hAnsi="Arial" w:cs="Arial"/>
        </w:rPr>
        <w:t>4</w:t>
      </w:r>
      <w:r w:rsidRPr="00CC15D4">
        <w:rPr>
          <w:rFonts w:ascii="Arial" w:hAnsi="Arial" w:cs="Arial"/>
        </w:rPr>
        <w:t xml:space="preserve">. </w:t>
      </w:r>
      <w:r w:rsidR="00D62512" w:rsidRPr="00CC15D4">
        <w:rPr>
          <w:rFonts w:ascii="Arial" w:hAnsi="Arial" w:cs="Arial"/>
        </w:rPr>
        <w:t>(u mil</w:t>
      </w:r>
      <w:r w:rsidR="00D945EA" w:rsidRPr="00CC15D4">
        <w:rPr>
          <w:rFonts w:ascii="Arial" w:hAnsi="Arial" w:cs="Arial"/>
        </w:rPr>
        <w:t>.</w:t>
      </w:r>
      <w:r w:rsidR="00D62512" w:rsidRPr="00CC15D4">
        <w:rPr>
          <w:rFonts w:ascii="Arial" w:hAnsi="Arial" w:cs="Arial"/>
        </w:rPr>
        <w:t xml:space="preserve"> </w:t>
      </w:r>
      <w:r w:rsidR="00E672EB" w:rsidRPr="00CC15D4">
        <w:rPr>
          <w:rFonts w:ascii="Arial" w:hAnsi="Arial" w:cs="Arial"/>
        </w:rPr>
        <w:t>KM</w:t>
      </w:r>
      <w:r w:rsidR="00D62512" w:rsidRPr="00CC15D4">
        <w:rPr>
          <w:rFonts w:ascii="Arial" w:hAnsi="Arial" w:cs="Arial"/>
        </w:rPr>
        <w:t>)</w:t>
      </w:r>
      <w:r w:rsidR="00344132" w:rsidRPr="00CC15D4">
        <w:rPr>
          <w:rStyle w:val="FootnoteReference"/>
          <w:rFonts w:ascii="Arial" w:hAnsi="Arial" w:cs="Arial"/>
        </w:rPr>
        <w:footnoteReference w:id="10"/>
      </w:r>
    </w:p>
    <w:p w14:paraId="0C6A69B4" w14:textId="77777777" w:rsidR="00CC15D4" w:rsidRPr="00CC15D4" w:rsidRDefault="00CC15D4" w:rsidP="00CC15D4">
      <w:pPr>
        <w:spacing w:after="0" w:line="240" w:lineRule="auto"/>
        <w:jc w:val="both"/>
        <w:rPr>
          <w:rFonts w:ascii="Arial" w:hAnsi="Arial" w:cs="Arial"/>
        </w:rPr>
      </w:pPr>
    </w:p>
    <w:tbl>
      <w:tblPr>
        <w:tblW w:w="9295"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962"/>
        <w:gridCol w:w="1580"/>
        <w:gridCol w:w="1420"/>
        <w:gridCol w:w="1333"/>
      </w:tblGrid>
      <w:tr w:rsidR="00B16A36" w:rsidRPr="00BF51BB" w14:paraId="1FE4BBC7" w14:textId="77777777" w:rsidTr="00BF51BB">
        <w:trPr>
          <w:trHeight w:val="397"/>
        </w:trPr>
        <w:tc>
          <w:tcPr>
            <w:tcW w:w="4962" w:type="dxa"/>
            <w:shd w:val="clear" w:color="auto" w:fill="auto"/>
            <w:noWrap/>
            <w:vAlign w:val="center"/>
            <w:hideMark/>
          </w:tcPr>
          <w:p w14:paraId="541F5343" w14:textId="77777777" w:rsidR="00B16A36" w:rsidRPr="00BF51BB" w:rsidRDefault="00B16A36" w:rsidP="00B16A36">
            <w:pPr>
              <w:spacing w:after="0" w:line="240" w:lineRule="auto"/>
              <w:jc w:val="center"/>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Indikator</w:t>
            </w:r>
          </w:p>
        </w:tc>
        <w:tc>
          <w:tcPr>
            <w:tcW w:w="1580" w:type="dxa"/>
            <w:shd w:val="clear" w:color="auto" w:fill="auto"/>
            <w:noWrap/>
            <w:vAlign w:val="center"/>
            <w:hideMark/>
          </w:tcPr>
          <w:p w14:paraId="50CA0269" w14:textId="5D650DBC" w:rsidR="00B16A36" w:rsidRPr="00BF51BB" w:rsidRDefault="000F795C">
            <w:pPr>
              <w:spacing w:after="0" w:line="240" w:lineRule="auto"/>
              <w:jc w:val="center"/>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2022</w:t>
            </w:r>
          </w:p>
        </w:tc>
        <w:tc>
          <w:tcPr>
            <w:tcW w:w="1420" w:type="dxa"/>
            <w:shd w:val="clear" w:color="auto" w:fill="auto"/>
            <w:noWrap/>
            <w:vAlign w:val="center"/>
            <w:hideMark/>
          </w:tcPr>
          <w:p w14:paraId="70CB6483" w14:textId="08CCCC07" w:rsidR="00B16A36" w:rsidRPr="00BF51BB" w:rsidRDefault="00B16A36">
            <w:pPr>
              <w:spacing w:after="0" w:line="240" w:lineRule="auto"/>
              <w:jc w:val="center"/>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202</w:t>
            </w:r>
            <w:r w:rsidR="000F795C" w:rsidRPr="00BF51BB">
              <w:rPr>
                <w:rFonts w:ascii="Arial" w:eastAsia="Times New Roman" w:hAnsi="Arial" w:cs="Arial"/>
                <w:i/>
                <w:color w:val="000000"/>
                <w:sz w:val="20"/>
                <w:szCs w:val="20"/>
                <w:lang w:eastAsia="bs-Latn-BA"/>
              </w:rPr>
              <w:t>3</w:t>
            </w:r>
          </w:p>
        </w:tc>
        <w:tc>
          <w:tcPr>
            <w:tcW w:w="1333" w:type="dxa"/>
            <w:shd w:val="clear" w:color="auto" w:fill="auto"/>
            <w:noWrap/>
            <w:vAlign w:val="center"/>
            <w:hideMark/>
          </w:tcPr>
          <w:p w14:paraId="45DBE4C9" w14:textId="33BBDD25" w:rsidR="00B16A36" w:rsidRPr="00BF51BB" w:rsidRDefault="00B16A36">
            <w:pPr>
              <w:spacing w:after="0" w:line="240" w:lineRule="auto"/>
              <w:jc w:val="center"/>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202</w:t>
            </w:r>
            <w:r w:rsidR="000F795C" w:rsidRPr="00BF51BB">
              <w:rPr>
                <w:rFonts w:ascii="Arial" w:eastAsia="Times New Roman" w:hAnsi="Arial" w:cs="Arial"/>
                <w:i/>
                <w:color w:val="000000"/>
                <w:sz w:val="20"/>
                <w:szCs w:val="20"/>
                <w:lang w:eastAsia="bs-Latn-BA"/>
              </w:rPr>
              <w:t>4</w:t>
            </w:r>
          </w:p>
        </w:tc>
      </w:tr>
      <w:tr w:rsidR="00C04E10" w:rsidRPr="00BF51BB" w14:paraId="09139616" w14:textId="77777777" w:rsidTr="00BF51BB">
        <w:trPr>
          <w:trHeight w:val="397"/>
        </w:trPr>
        <w:tc>
          <w:tcPr>
            <w:tcW w:w="4962" w:type="dxa"/>
            <w:shd w:val="clear" w:color="auto" w:fill="auto"/>
            <w:noWrap/>
            <w:vAlign w:val="center"/>
            <w:hideMark/>
          </w:tcPr>
          <w:p w14:paraId="25048315" w14:textId="4A834925" w:rsidR="00C04E10" w:rsidRPr="00BF51BB" w:rsidRDefault="00C04E10" w:rsidP="00C04E10">
            <w:pPr>
              <w:spacing w:after="0" w:line="240" w:lineRule="auto"/>
              <w:rPr>
                <w:rFonts w:ascii="Arial" w:eastAsia="Times New Roman" w:hAnsi="Arial" w:cs="Arial"/>
                <w:i/>
                <w:color w:val="000000"/>
                <w:sz w:val="20"/>
                <w:szCs w:val="20"/>
                <w:lang w:eastAsia="bs-Latn-BA"/>
              </w:rPr>
            </w:pPr>
            <w:bookmarkStart w:id="118" w:name="RANGE!A5"/>
            <w:r w:rsidRPr="00BF51BB">
              <w:rPr>
                <w:rFonts w:ascii="Arial" w:eastAsia="Times New Roman" w:hAnsi="Arial" w:cs="Arial"/>
                <w:i/>
                <w:color w:val="000000"/>
                <w:sz w:val="20"/>
                <w:szCs w:val="20"/>
                <w:lang w:eastAsia="bs-Latn-BA"/>
              </w:rPr>
              <w:t>Javni prihodi (uključujući grantove) (u mil</w:t>
            </w:r>
            <w:r w:rsidR="00D945EA" w:rsidRPr="00BF51BB">
              <w:rPr>
                <w:rFonts w:ascii="Arial" w:eastAsia="Times New Roman" w:hAnsi="Arial" w:cs="Arial"/>
                <w:i/>
                <w:color w:val="000000"/>
                <w:sz w:val="20"/>
                <w:szCs w:val="20"/>
                <w:lang w:eastAsia="bs-Latn-BA"/>
              </w:rPr>
              <w:t>.</w:t>
            </w:r>
            <w:r w:rsidRPr="00BF51BB">
              <w:rPr>
                <w:rFonts w:ascii="Arial" w:eastAsia="Times New Roman" w:hAnsi="Arial" w:cs="Arial"/>
                <w:i/>
                <w:color w:val="000000"/>
                <w:sz w:val="20"/>
                <w:szCs w:val="20"/>
                <w:lang w:eastAsia="bs-Latn-BA"/>
              </w:rPr>
              <w:t xml:space="preserve"> KM)</w:t>
            </w:r>
            <w:bookmarkEnd w:id="118"/>
          </w:p>
        </w:tc>
        <w:tc>
          <w:tcPr>
            <w:tcW w:w="1580" w:type="dxa"/>
            <w:shd w:val="clear" w:color="auto" w:fill="auto"/>
            <w:noWrap/>
            <w:vAlign w:val="center"/>
            <w:hideMark/>
          </w:tcPr>
          <w:p w14:paraId="3925828A" w14:textId="3624028F" w:rsidR="00C04E10" w:rsidRPr="00BF51BB" w:rsidRDefault="007D6D3A">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4.044,5</w:t>
            </w:r>
          </w:p>
        </w:tc>
        <w:tc>
          <w:tcPr>
            <w:tcW w:w="1420" w:type="dxa"/>
            <w:shd w:val="clear" w:color="auto" w:fill="auto"/>
            <w:noWrap/>
            <w:vAlign w:val="center"/>
            <w:hideMark/>
          </w:tcPr>
          <w:p w14:paraId="6F0DADAA" w14:textId="1E8305E9" w:rsidR="00C04E10" w:rsidRPr="00BF51BB" w:rsidRDefault="000C6751">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4.373,8</w:t>
            </w:r>
          </w:p>
        </w:tc>
        <w:tc>
          <w:tcPr>
            <w:tcW w:w="1333" w:type="dxa"/>
            <w:shd w:val="clear" w:color="auto" w:fill="auto"/>
            <w:noWrap/>
            <w:vAlign w:val="center"/>
            <w:hideMark/>
          </w:tcPr>
          <w:p w14:paraId="7ACC422C" w14:textId="7BD9D675" w:rsidR="00C04E10" w:rsidRPr="00BF51BB" w:rsidRDefault="000C6751">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4.544,5</w:t>
            </w:r>
          </w:p>
        </w:tc>
      </w:tr>
      <w:tr w:rsidR="00C04E10" w:rsidRPr="00BF51BB" w14:paraId="6BDBF9F2" w14:textId="77777777" w:rsidTr="00BF51BB">
        <w:trPr>
          <w:trHeight w:val="397"/>
        </w:trPr>
        <w:tc>
          <w:tcPr>
            <w:tcW w:w="4962" w:type="dxa"/>
            <w:shd w:val="clear" w:color="auto" w:fill="auto"/>
            <w:noWrap/>
            <w:vAlign w:val="center"/>
            <w:hideMark/>
          </w:tcPr>
          <w:p w14:paraId="4F718675" w14:textId="77777777" w:rsidR="00C04E10" w:rsidRPr="00BF51BB" w:rsidRDefault="00C04E10" w:rsidP="00C04E10">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Primarni rashodi javnog sektora (u mil</w:t>
            </w:r>
            <w:r w:rsidR="00D945EA" w:rsidRPr="00BF51BB">
              <w:rPr>
                <w:rFonts w:ascii="Arial" w:eastAsia="Times New Roman" w:hAnsi="Arial" w:cs="Arial"/>
                <w:i/>
                <w:color w:val="000000"/>
                <w:sz w:val="20"/>
                <w:szCs w:val="20"/>
                <w:lang w:eastAsia="bs-Latn-BA"/>
              </w:rPr>
              <w:t>.</w:t>
            </w:r>
            <w:r w:rsidRPr="00BF51BB">
              <w:rPr>
                <w:rFonts w:ascii="Arial" w:eastAsia="Times New Roman" w:hAnsi="Arial" w:cs="Arial"/>
                <w:i/>
                <w:color w:val="000000"/>
                <w:sz w:val="20"/>
                <w:szCs w:val="20"/>
                <w:lang w:eastAsia="bs-Latn-BA"/>
              </w:rPr>
              <w:t xml:space="preserve"> KM)</w:t>
            </w:r>
          </w:p>
        </w:tc>
        <w:tc>
          <w:tcPr>
            <w:tcW w:w="1580" w:type="dxa"/>
            <w:shd w:val="clear" w:color="auto" w:fill="auto"/>
            <w:noWrap/>
            <w:vAlign w:val="center"/>
          </w:tcPr>
          <w:p w14:paraId="514026BF" w14:textId="6F054FB2" w:rsidR="00C04E10" w:rsidRPr="00BF51BB" w:rsidRDefault="000C6751">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4.010,2</w:t>
            </w:r>
          </w:p>
        </w:tc>
        <w:tc>
          <w:tcPr>
            <w:tcW w:w="1420" w:type="dxa"/>
            <w:shd w:val="clear" w:color="auto" w:fill="auto"/>
            <w:noWrap/>
            <w:vAlign w:val="center"/>
          </w:tcPr>
          <w:p w14:paraId="251B4AF9" w14:textId="39CF4FFB" w:rsidR="00C04E10" w:rsidRPr="00BF51BB" w:rsidRDefault="000C6751">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3.939,3</w:t>
            </w:r>
          </w:p>
        </w:tc>
        <w:tc>
          <w:tcPr>
            <w:tcW w:w="1333" w:type="dxa"/>
            <w:shd w:val="clear" w:color="auto" w:fill="auto"/>
            <w:noWrap/>
            <w:vAlign w:val="center"/>
          </w:tcPr>
          <w:p w14:paraId="23180747" w14:textId="613C34D0" w:rsidR="00C04E10" w:rsidRPr="00BF51BB" w:rsidRDefault="000C6751">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4.011,9</w:t>
            </w:r>
          </w:p>
        </w:tc>
      </w:tr>
      <w:tr w:rsidR="00C04E10" w:rsidRPr="00BF51BB" w14:paraId="5516BB9D" w14:textId="77777777" w:rsidTr="00BF51BB">
        <w:trPr>
          <w:trHeight w:val="397"/>
        </w:trPr>
        <w:tc>
          <w:tcPr>
            <w:tcW w:w="4962" w:type="dxa"/>
            <w:shd w:val="clear" w:color="auto" w:fill="auto"/>
            <w:noWrap/>
            <w:vAlign w:val="center"/>
            <w:hideMark/>
          </w:tcPr>
          <w:p w14:paraId="711099DE" w14:textId="77777777" w:rsidR="00C04E10" w:rsidRPr="00BF51BB" w:rsidRDefault="00C04E10" w:rsidP="00C04E10">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Rashodi javnog sektora (u mil</w:t>
            </w:r>
            <w:r w:rsidR="00D945EA" w:rsidRPr="00BF51BB">
              <w:rPr>
                <w:rFonts w:ascii="Arial" w:eastAsia="Times New Roman" w:hAnsi="Arial" w:cs="Arial"/>
                <w:i/>
                <w:color w:val="000000"/>
                <w:sz w:val="20"/>
                <w:szCs w:val="20"/>
                <w:lang w:eastAsia="bs-Latn-BA"/>
              </w:rPr>
              <w:t>.</w:t>
            </w:r>
            <w:r w:rsidRPr="00BF51BB">
              <w:rPr>
                <w:rFonts w:ascii="Arial" w:eastAsia="Times New Roman" w:hAnsi="Arial" w:cs="Arial"/>
                <w:i/>
                <w:color w:val="000000"/>
                <w:sz w:val="20"/>
                <w:szCs w:val="20"/>
                <w:lang w:eastAsia="bs-Latn-BA"/>
              </w:rPr>
              <w:t xml:space="preserve"> KM)</w:t>
            </w:r>
          </w:p>
        </w:tc>
        <w:tc>
          <w:tcPr>
            <w:tcW w:w="1580" w:type="dxa"/>
            <w:shd w:val="clear" w:color="auto" w:fill="auto"/>
            <w:noWrap/>
            <w:vAlign w:val="center"/>
          </w:tcPr>
          <w:p w14:paraId="24EBDBA7" w14:textId="5DC2E73A" w:rsidR="00C04E10" w:rsidRPr="00BF51BB" w:rsidRDefault="000C6751">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4.170,1</w:t>
            </w:r>
          </w:p>
        </w:tc>
        <w:tc>
          <w:tcPr>
            <w:tcW w:w="1420" w:type="dxa"/>
            <w:shd w:val="clear" w:color="auto" w:fill="auto"/>
            <w:noWrap/>
            <w:vAlign w:val="center"/>
          </w:tcPr>
          <w:p w14:paraId="07564ED8" w14:textId="192D89D8" w:rsidR="00C04E10" w:rsidRPr="00BF51BB" w:rsidRDefault="000C6751">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4.111,5</w:t>
            </w:r>
          </w:p>
        </w:tc>
        <w:tc>
          <w:tcPr>
            <w:tcW w:w="1333" w:type="dxa"/>
            <w:shd w:val="clear" w:color="auto" w:fill="auto"/>
            <w:noWrap/>
            <w:vAlign w:val="center"/>
          </w:tcPr>
          <w:p w14:paraId="151B584A" w14:textId="030DDAEB" w:rsidR="00C04E10" w:rsidRPr="00BF51BB" w:rsidRDefault="000C6751">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4.182,5</w:t>
            </w:r>
          </w:p>
        </w:tc>
      </w:tr>
      <w:tr w:rsidR="00C04E10" w:rsidRPr="00BF51BB" w14:paraId="5CC3AE56" w14:textId="77777777" w:rsidTr="00BF51BB">
        <w:trPr>
          <w:trHeight w:val="397"/>
        </w:trPr>
        <w:tc>
          <w:tcPr>
            <w:tcW w:w="4962" w:type="dxa"/>
            <w:shd w:val="clear" w:color="auto" w:fill="auto"/>
            <w:noWrap/>
            <w:vAlign w:val="center"/>
            <w:hideMark/>
          </w:tcPr>
          <w:p w14:paraId="642860BB" w14:textId="77777777" w:rsidR="00C04E10" w:rsidRPr="00BF51BB" w:rsidRDefault="00C04E10" w:rsidP="00C04E10">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Izdaci za kamate (u mil</w:t>
            </w:r>
            <w:r w:rsidR="00D945EA" w:rsidRPr="00BF51BB">
              <w:rPr>
                <w:rFonts w:ascii="Arial" w:eastAsia="Times New Roman" w:hAnsi="Arial" w:cs="Arial"/>
                <w:i/>
                <w:color w:val="000000"/>
                <w:sz w:val="20"/>
                <w:szCs w:val="20"/>
                <w:lang w:eastAsia="bs-Latn-BA"/>
              </w:rPr>
              <w:t>.</w:t>
            </w:r>
            <w:r w:rsidRPr="00BF51BB">
              <w:rPr>
                <w:rFonts w:ascii="Arial" w:eastAsia="Times New Roman" w:hAnsi="Arial" w:cs="Arial"/>
                <w:i/>
                <w:color w:val="000000"/>
                <w:sz w:val="20"/>
                <w:szCs w:val="20"/>
                <w:lang w:eastAsia="bs-Latn-BA"/>
              </w:rPr>
              <w:t xml:space="preserve"> KM)</w:t>
            </w:r>
          </w:p>
        </w:tc>
        <w:tc>
          <w:tcPr>
            <w:tcW w:w="1580" w:type="dxa"/>
            <w:shd w:val="clear" w:color="auto" w:fill="auto"/>
            <w:noWrap/>
            <w:vAlign w:val="center"/>
          </w:tcPr>
          <w:p w14:paraId="7C13D8F2" w14:textId="45942CBB" w:rsidR="00C04E10" w:rsidRPr="00BF51BB" w:rsidRDefault="000C6751" w:rsidP="00C04E10">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159,8</w:t>
            </w:r>
          </w:p>
        </w:tc>
        <w:tc>
          <w:tcPr>
            <w:tcW w:w="1420" w:type="dxa"/>
            <w:shd w:val="clear" w:color="auto" w:fill="auto"/>
            <w:noWrap/>
            <w:vAlign w:val="center"/>
          </w:tcPr>
          <w:p w14:paraId="2076B526" w14:textId="6084E716" w:rsidR="00C04E10" w:rsidRPr="00BF51BB" w:rsidRDefault="000C6751">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172,2</w:t>
            </w:r>
          </w:p>
        </w:tc>
        <w:tc>
          <w:tcPr>
            <w:tcW w:w="1333" w:type="dxa"/>
            <w:shd w:val="clear" w:color="auto" w:fill="auto"/>
            <w:noWrap/>
            <w:vAlign w:val="center"/>
          </w:tcPr>
          <w:p w14:paraId="051048C0" w14:textId="65A23013" w:rsidR="00C04E10" w:rsidRPr="00BF51BB" w:rsidRDefault="000C6751">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170,6</w:t>
            </w:r>
          </w:p>
        </w:tc>
      </w:tr>
      <w:tr w:rsidR="00C04E10" w:rsidRPr="00BF51BB" w14:paraId="36328C54" w14:textId="77777777" w:rsidTr="00BF51BB">
        <w:trPr>
          <w:trHeight w:val="397"/>
        </w:trPr>
        <w:tc>
          <w:tcPr>
            <w:tcW w:w="4962" w:type="dxa"/>
            <w:shd w:val="clear" w:color="auto" w:fill="auto"/>
            <w:noWrap/>
            <w:vAlign w:val="center"/>
            <w:hideMark/>
          </w:tcPr>
          <w:p w14:paraId="5A04091C" w14:textId="5815A164" w:rsidR="00C04E10" w:rsidRPr="00BF51BB" w:rsidRDefault="00C04E10" w:rsidP="00C04E10">
            <w:pPr>
              <w:spacing w:after="0" w:line="240" w:lineRule="auto"/>
              <w:rPr>
                <w:rFonts w:ascii="Arial" w:eastAsia="Times New Roman" w:hAnsi="Arial" w:cs="Arial"/>
                <w:i/>
                <w:color w:val="000000"/>
                <w:sz w:val="20"/>
                <w:szCs w:val="20"/>
                <w:lang w:eastAsia="bs-Latn-BA"/>
              </w:rPr>
            </w:pPr>
            <w:bookmarkStart w:id="119" w:name="RANGE!A9"/>
            <w:r w:rsidRPr="00BF51BB">
              <w:rPr>
                <w:rFonts w:ascii="Arial" w:eastAsia="Times New Roman" w:hAnsi="Arial" w:cs="Arial"/>
                <w:i/>
                <w:color w:val="000000"/>
                <w:sz w:val="20"/>
                <w:szCs w:val="20"/>
                <w:lang w:eastAsia="bs-Latn-BA"/>
              </w:rPr>
              <w:t>Devizne rezerve (mil.</w:t>
            </w:r>
            <w:r w:rsidR="00D945EA" w:rsidRPr="00BF51BB">
              <w:rPr>
                <w:rFonts w:ascii="Arial" w:eastAsia="Times New Roman" w:hAnsi="Arial" w:cs="Arial"/>
                <w:i/>
                <w:color w:val="000000"/>
                <w:sz w:val="20"/>
                <w:szCs w:val="20"/>
                <w:lang w:eastAsia="bs-Latn-BA"/>
              </w:rPr>
              <w:t xml:space="preserve"> </w:t>
            </w:r>
            <w:r w:rsidRPr="00BF51BB">
              <w:rPr>
                <w:rFonts w:ascii="Arial" w:eastAsia="Times New Roman" w:hAnsi="Arial" w:cs="Arial"/>
                <w:i/>
                <w:color w:val="000000"/>
                <w:sz w:val="20"/>
                <w:szCs w:val="20"/>
                <w:lang w:eastAsia="bs-Latn-BA"/>
              </w:rPr>
              <w:t>USD)</w:t>
            </w:r>
            <w:bookmarkEnd w:id="119"/>
            <w:r w:rsidR="00554CA8" w:rsidRPr="00BF51BB">
              <w:rPr>
                <w:rStyle w:val="FootnoteReference"/>
                <w:rFonts w:ascii="Arial" w:eastAsia="Times New Roman" w:hAnsi="Arial" w:cs="Arial"/>
                <w:i/>
                <w:color w:val="000000"/>
                <w:sz w:val="20"/>
                <w:szCs w:val="20"/>
                <w:lang w:eastAsia="bs-Latn-BA"/>
              </w:rPr>
              <w:footnoteReference w:id="11"/>
            </w:r>
          </w:p>
        </w:tc>
        <w:tc>
          <w:tcPr>
            <w:tcW w:w="1580" w:type="dxa"/>
            <w:shd w:val="clear" w:color="auto" w:fill="auto"/>
            <w:noWrap/>
            <w:vAlign w:val="center"/>
            <w:hideMark/>
          </w:tcPr>
          <w:p w14:paraId="67DE5847" w14:textId="2109878A" w:rsidR="00C04E10" w:rsidRPr="00BF51BB" w:rsidRDefault="009038A8">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8.866,32</w:t>
            </w:r>
          </w:p>
        </w:tc>
        <w:tc>
          <w:tcPr>
            <w:tcW w:w="1420" w:type="dxa"/>
            <w:shd w:val="clear" w:color="auto" w:fill="auto"/>
            <w:noWrap/>
            <w:vAlign w:val="center"/>
            <w:hideMark/>
          </w:tcPr>
          <w:p w14:paraId="57ED8537" w14:textId="1DCA8318" w:rsidR="00C04E10" w:rsidRPr="00BF51BB" w:rsidRDefault="009038A8">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9.040,17</w:t>
            </w:r>
          </w:p>
        </w:tc>
        <w:tc>
          <w:tcPr>
            <w:tcW w:w="1333" w:type="dxa"/>
            <w:shd w:val="clear" w:color="auto" w:fill="auto"/>
            <w:noWrap/>
            <w:vAlign w:val="center"/>
            <w:hideMark/>
          </w:tcPr>
          <w:p w14:paraId="4E1C7EA0" w14:textId="7D13FBD8" w:rsidR="00C04E10" w:rsidRPr="00BF51BB" w:rsidRDefault="009038A8">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9.329,92</w:t>
            </w:r>
          </w:p>
        </w:tc>
      </w:tr>
      <w:tr w:rsidR="00C04E10" w:rsidRPr="00BF51BB" w14:paraId="177451B4" w14:textId="77777777" w:rsidTr="00BF51BB">
        <w:trPr>
          <w:trHeight w:val="397"/>
        </w:trPr>
        <w:tc>
          <w:tcPr>
            <w:tcW w:w="4962" w:type="dxa"/>
            <w:shd w:val="clear" w:color="auto" w:fill="auto"/>
            <w:noWrap/>
            <w:vAlign w:val="center"/>
            <w:hideMark/>
          </w:tcPr>
          <w:p w14:paraId="4C3E41F0" w14:textId="77777777" w:rsidR="00C04E10" w:rsidRPr="00BF51BB" w:rsidRDefault="00C04E10" w:rsidP="00C04E10">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BDP (Nominalni) (u mil</w:t>
            </w:r>
            <w:r w:rsidR="00D945EA" w:rsidRPr="00BF51BB">
              <w:rPr>
                <w:rFonts w:ascii="Arial" w:eastAsia="Times New Roman" w:hAnsi="Arial" w:cs="Arial"/>
                <w:i/>
                <w:color w:val="000000"/>
                <w:sz w:val="20"/>
                <w:szCs w:val="20"/>
                <w:lang w:eastAsia="bs-Latn-BA"/>
              </w:rPr>
              <w:t>.</w:t>
            </w:r>
            <w:r w:rsidRPr="00BF51BB">
              <w:rPr>
                <w:rFonts w:ascii="Arial" w:eastAsia="Times New Roman" w:hAnsi="Arial" w:cs="Arial"/>
                <w:i/>
                <w:color w:val="000000"/>
                <w:sz w:val="20"/>
                <w:szCs w:val="20"/>
                <w:lang w:eastAsia="bs-Latn-BA"/>
              </w:rPr>
              <w:t xml:space="preserve"> KM)</w:t>
            </w:r>
          </w:p>
        </w:tc>
        <w:tc>
          <w:tcPr>
            <w:tcW w:w="1580" w:type="dxa"/>
            <w:shd w:val="clear" w:color="auto" w:fill="auto"/>
            <w:noWrap/>
            <w:vAlign w:val="center"/>
            <w:hideMark/>
          </w:tcPr>
          <w:p w14:paraId="0B7482B6" w14:textId="285BAE29"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24.219</w:t>
            </w:r>
          </w:p>
        </w:tc>
        <w:tc>
          <w:tcPr>
            <w:tcW w:w="1420" w:type="dxa"/>
            <w:shd w:val="clear" w:color="auto" w:fill="auto"/>
            <w:noWrap/>
            <w:vAlign w:val="center"/>
            <w:hideMark/>
          </w:tcPr>
          <w:p w14:paraId="0FC73086" w14:textId="73C7A6E1"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25.216</w:t>
            </w:r>
          </w:p>
        </w:tc>
        <w:tc>
          <w:tcPr>
            <w:tcW w:w="1333" w:type="dxa"/>
            <w:shd w:val="clear" w:color="auto" w:fill="auto"/>
            <w:noWrap/>
            <w:vAlign w:val="center"/>
            <w:hideMark/>
          </w:tcPr>
          <w:p w14:paraId="679D4531" w14:textId="4438527F"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26.646</w:t>
            </w:r>
          </w:p>
        </w:tc>
      </w:tr>
      <w:tr w:rsidR="00C04E10" w:rsidRPr="00BF51BB" w14:paraId="3CB09F07" w14:textId="77777777" w:rsidTr="00BF51BB">
        <w:trPr>
          <w:trHeight w:val="397"/>
        </w:trPr>
        <w:tc>
          <w:tcPr>
            <w:tcW w:w="4962" w:type="dxa"/>
            <w:shd w:val="clear" w:color="auto" w:fill="auto"/>
            <w:noWrap/>
            <w:vAlign w:val="center"/>
            <w:hideMark/>
          </w:tcPr>
          <w:p w14:paraId="646F2541" w14:textId="77777777" w:rsidR="00C04E10" w:rsidRPr="00BF51BB" w:rsidRDefault="00C04E10" w:rsidP="00C04E10">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Nominalni rast u %</w:t>
            </w:r>
          </w:p>
        </w:tc>
        <w:tc>
          <w:tcPr>
            <w:tcW w:w="1580" w:type="dxa"/>
            <w:shd w:val="clear" w:color="auto" w:fill="auto"/>
            <w:noWrap/>
            <w:vAlign w:val="center"/>
            <w:hideMark/>
          </w:tcPr>
          <w:p w14:paraId="16F517AA" w14:textId="3FC1B8F0"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5,5</w:t>
            </w:r>
          </w:p>
        </w:tc>
        <w:tc>
          <w:tcPr>
            <w:tcW w:w="1420" w:type="dxa"/>
            <w:shd w:val="clear" w:color="auto" w:fill="auto"/>
            <w:noWrap/>
            <w:vAlign w:val="center"/>
            <w:hideMark/>
          </w:tcPr>
          <w:p w14:paraId="5399A18F" w14:textId="17F7B540"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4,1</w:t>
            </w:r>
          </w:p>
        </w:tc>
        <w:tc>
          <w:tcPr>
            <w:tcW w:w="1333" w:type="dxa"/>
            <w:shd w:val="clear" w:color="auto" w:fill="auto"/>
            <w:noWrap/>
            <w:vAlign w:val="center"/>
            <w:hideMark/>
          </w:tcPr>
          <w:p w14:paraId="47D7CBC2" w14:textId="14F11A91"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5,7</w:t>
            </w:r>
          </w:p>
        </w:tc>
      </w:tr>
      <w:tr w:rsidR="00C04E10" w:rsidRPr="00BF51BB" w14:paraId="6B452E69" w14:textId="77777777" w:rsidTr="00BF51BB">
        <w:trPr>
          <w:trHeight w:val="397"/>
        </w:trPr>
        <w:tc>
          <w:tcPr>
            <w:tcW w:w="4962" w:type="dxa"/>
            <w:shd w:val="clear" w:color="auto" w:fill="auto"/>
            <w:noWrap/>
            <w:vAlign w:val="center"/>
            <w:hideMark/>
          </w:tcPr>
          <w:p w14:paraId="5ED1A94E" w14:textId="77777777" w:rsidR="00C04E10" w:rsidRPr="00BF51BB" w:rsidRDefault="00C04E10" w:rsidP="00C04E10">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Realni BDP (u mil</w:t>
            </w:r>
            <w:r w:rsidR="00D945EA" w:rsidRPr="00BF51BB">
              <w:rPr>
                <w:rFonts w:ascii="Arial" w:eastAsia="Times New Roman" w:hAnsi="Arial" w:cs="Arial"/>
                <w:i/>
                <w:color w:val="000000"/>
                <w:sz w:val="20"/>
                <w:szCs w:val="20"/>
                <w:lang w:eastAsia="bs-Latn-BA"/>
              </w:rPr>
              <w:t>.</w:t>
            </w:r>
            <w:r w:rsidRPr="00BF51BB">
              <w:rPr>
                <w:rFonts w:ascii="Arial" w:eastAsia="Times New Roman" w:hAnsi="Arial" w:cs="Arial"/>
                <w:i/>
                <w:color w:val="000000"/>
                <w:sz w:val="20"/>
                <w:szCs w:val="20"/>
                <w:lang w:eastAsia="bs-Latn-BA"/>
              </w:rPr>
              <w:t xml:space="preserve"> KM) (prethodna g. = 100)</w:t>
            </w:r>
          </w:p>
        </w:tc>
        <w:tc>
          <w:tcPr>
            <w:tcW w:w="1580" w:type="dxa"/>
            <w:shd w:val="clear" w:color="auto" w:fill="auto"/>
            <w:noWrap/>
            <w:vAlign w:val="center"/>
            <w:hideMark/>
          </w:tcPr>
          <w:p w14:paraId="2C590667" w14:textId="7AADF500"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23.861</w:t>
            </w:r>
          </w:p>
        </w:tc>
        <w:tc>
          <w:tcPr>
            <w:tcW w:w="1420" w:type="dxa"/>
            <w:shd w:val="clear" w:color="auto" w:fill="auto"/>
            <w:noWrap/>
            <w:vAlign w:val="center"/>
            <w:hideMark/>
          </w:tcPr>
          <w:p w14:paraId="6E577AED" w14:textId="41835A6E"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24.795</w:t>
            </w:r>
          </w:p>
        </w:tc>
        <w:tc>
          <w:tcPr>
            <w:tcW w:w="1333" w:type="dxa"/>
            <w:shd w:val="clear" w:color="auto" w:fill="auto"/>
            <w:noWrap/>
            <w:vAlign w:val="center"/>
            <w:hideMark/>
          </w:tcPr>
          <w:p w14:paraId="2D13CA50" w14:textId="458D2046"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25.989</w:t>
            </w:r>
          </w:p>
        </w:tc>
      </w:tr>
      <w:tr w:rsidR="00C04E10" w:rsidRPr="00BF51BB" w14:paraId="44E95070" w14:textId="77777777" w:rsidTr="00BF51BB">
        <w:trPr>
          <w:trHeight w:val="397"/>
        </w:trPr>
        <w:tc>
          <w:tcPr>
            <w:tcW w:w="4962" w:type="dxa"/>
            <w:shd w:val="clear" w:color="auto" w:fill="auto"/>
            <w:noWrap/>
            <w:vAlign w:val="center"/>
            <w:hideMark/>
          </w:tcPr>
          <w:p w14:paraId="581259B2" w14:textId="77777777" w:rsidR="00C04E10" w:rsidRPr="00BF51BB" w:rsidRDefault="00C04E10" w:rsidP="00C04E10">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Realni rast u %</w:t>
            </w:r>
          </w:p>
        </w:tc>
        <w:tc>
          <w:tcPr>
            <w:tcW w:w="1580" w:type="dxa"/>
            <w:shd w:val="clear" w:color="auto" w:fill="auto"/>
            <w:noWrap/>
            <w:vAlign w:val="center"/>
            <w:hideMark/>
          </w:tcPr>
          <w:p w14:paraId="5307DCB3" w14:textId="521BF47F"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3,9</w:t>
            </w:r>
          </w:p>
        </w:tc>
        <w:tc>
          <w:tcPr>
            <w:tcW w:w="1420" w:type="dxa"/>
            <w:shd w:val="clear" w:color="auto" w:fill="auto"/>
            <w:noWrap/>
            <w:vAlign w:val="center"/>
            <w:hideMark/>
          </w:tcPr>
          <w:p w14:paraId="6FAAB377" w14:textId="58A55518"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2,4</w:t>
            </w:r>
          </w:p>
        </w:tc>
        <w:tc>
          <w:tcPr>
            <w:tcW w:w="1333" w:type="dxa"/>
            <w:shd w:val="clear" w:color="auto" w:fill="auto"/>
            <w:noWrap/>
            <w:vAlign w:val="center"/>
            <w:hideMark/>
          </w:tcPr>
          <w:p w14:paraId="02B3C06A" w14:textId="7786D060" w:rsidR="00C04E10" w:rsidRPr="00BF51BB" w:rsidRDefault="000F795C">
            <w:pPr>
              <w:spacing w:after="0" w:line="240" w:lineRule="auto"/>
              <w:jc w:val="right"/>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3,1</w:t>
            </w:r>
          </w:p>
        </w:tc>
      </w:tr>
    </w:tbl>
    <w:p w14:paraId="6AA573D4" w14:textId="77777777" w:rsidR="00CC15D4" w:rsidRDefault="00CC15D4" w:rsidP="00ED768D">
      <w:pPr>
        <w:spacing w:after="0" w:line="240" w:lineRule="auto"/>
        <w:jc w:val="both"/>
        <w:rPr>
          <w:rFonts w:ascii="Arial" w:hAnsi="Arial" w:cs="Arial"/>
          <w:bCs/>
          <w:szCs w:val="24"/>
        </w:rPr>
      </w:pPr>
    </w:p>
    <w:p w14:paraId="28829053" w14:textId="77777777" w:rsidR="00CC15D4" w:rsidRDefault="00CC15D4">
      <w:pPr>
        <w:rPr>
          <w:rFonts w:ascii="Arial" w:hAnsi="Arial" w:cs="Arial"/>
          <w:bCs/>
          <w:szCs w:val="24"/>
        </w:rPr>
      </w:pPr>
      <w:r>
        <w:rPr>
          <w:rFonts w:ascii="Arial" w:hAnsi="Arial" w:cs="Arial"/>
          <w:bCs/>
          <w:szCs w:val="24"/>
        </w:rPr>
        <w:br w:type="page"/>
      </w:r>
    </w:p>
    <w:p w14:paraId="0E2285D5" w14:textId="6A570C5F" w:rsidR="000F795C" w:rsidRPr="00BF51BB" w:rsidRDefault="00ED768D" w:rsidP="00ED768D">
      <w:pPr>
        <w:spacing w:after="0" w:line="240" w:lineRule="auto"/>
        <w:jc w:val="both"/>
        <w:rPr>
          <w:rFonts w:ascii="Arial" w:hAnsi="Arial" w:cs="Arial"/>
          <w:bCs/>
          <w:sz w:val="24"/>
          <w:szCs w:val="24"/>
        </w:rPr>
      </w:pPr>
      <w:r w:rsidRPr="00BF51BB">
        <w:rPr>
          <w:rFonts w:ascii="Arial" w:hAnsi="Arial" w:cs="Arial"/>
          <w:bCs/>
          <w:szCs w:val="24"/>
        </w:rPr>
        <w:lastRenderedPageBreak/>
        <w:fldChar w:fldCharType="begin"/>
      </w:r>
      <w:r w:rsidRPr="00BF51BB">
        <w:rPr>
          <w:rFonts w:ascii="Arial" w:hAnsi="Arial" w:cs="Arial"/>
          <w:bCs/>
          <w:szCs w:val="24"/>
        </w:rPr>
        <w:instrText xml:space="preserve"> TC "</w:instrText>
      </w:r>
      <w:bookmarkStart w:id="120" w:name="_Toc378596787"/>
      <w:bookmarkStart w:id="121" w:name="_Toc395874948"/>
      <w:r w:rsidRPr="00BF51BB">
        <w:rPr>
          <w:rFonts w:ascii="Arial" w:hAnsi="Arial" w:cs="Arial"/>
          <w:bCs/>
          <w:szCs w:val="24"/>
        </w:rPr>
        <w:instrText>6. Macroeconomic Risks and Implications for Debt Management Strategies</w:instrText>
      </w:r>
      <w:bookmarkEnd w:id="120"/>
      <w:bookmarkEnd w:id="121"/>
      <w:r w:rsidRPr="00BF51BB">
        <w:rPr>
          <w:rFonts w:ascii="Arial" w:hAnsi="Arial" w:cs="Arial"/>
          <w:bCs/>
          <w:szCs w:val="24"/>
        </w:rPr>
        <w:instrText xml:space="preserve">"\f B </w:instrText>
      </w:r>
      <w:r w:rsidRPr="00BF51BB">
        <w:rPr>
          <w:rFonts w:ascii="Arial" w:hAnsi="Arial" w:cs="Arial"/>
          <w:bCs/>
          <w:szCs w:val="24"/>
        </w:rPr>
        <w:fldChar w:fldCharType="end"/>
      </w:r>
      <w:r w:rsidRPr="00BF51BB">
        <w:rPr>
          <w:rFonts w:ascii="Arial" w:hAnsi="Arial" w:cs="Arial"/>
          <w:bCs/>
          <w:szCs w:val="24"/>
        </w:rPr>
        <w:t xml:space="preserve">Tabela </w:t>
      </w:r>
      <w:r w:rsidR="005A0B60" w:rsidRPr="00BF51BB">
        <w:rPr>
          <w:rFonts w:ascii="Arial" w:hAnsi="Arial" w:cs="Arial"/>
          <w:bCs/>
          <w:szCs w:val="24"/>
        </w:rPr>
        <w:t>7</w:t>
      </w:r>
      <w:r w:rsidRPr="00BF51BB">
        <w:rPr>
          <w:rFonts w:ascii="Arial" w:hAnsi="Arial" w:cs="Arial"/>
          <w:bCs/>
          <w:szCs w:val="24"/>
        </w:rPr>
        <w:t>. Makroekonomski rizici i implikacije po strategij</w:t>
      </w:r>
      <w:r w:rsidR="00642162" w:rsidRPr="00BF51BB">
        <w:rPr>
          <w:rFonts w:ascii="Arial" w:hAnsi="Arial" w:cs="Arial"/>
          <w:bCs/>
          <w:szCs w:val="24"/>
        </w:rPr>
        <w:t>u</w:t>
      </w:r>
      <w:r w:rsidRPr="00BF51BB">
        <w:rPr>
          <w:rFonts w:ascii="Arial" w:hAnsi="Arial" w:cs="Arial"/>
          <w:bCs/>
          <w:szCs w:val="24"/>
        </w:rPr>
        <w:t xml:space="preserve"> upravljanja dugom</w:t>
      </w:r>
    </w:p>
    <w:tbl>
      <w:tblPr>
        <w:tblStyle w:val="GridTable4-Accent11"/>
        <w:tblW w:w="9918" w:type="dxa"/>
        <w:jc w:val="center"/>
        <w:tblLook w:val="04A0" w:firstRow="1" w:lastRow="0" w:firstColumn="1" w:lastColumn="0" w:noHBand="0" w:noVBand="1"/>
      </w:tblPr>
      <w:tblGrid>
        <w:gridCol w:w="2405"/>
        <w:gridCol w:w="1276"/>
        <w:gridCol w:w="6237"/>
      </w:tblGrid>
      <w:tr w:rsidR="00ED768D" w:rsidRPr="00BF51BB" w14:paraId="5747E8C8" w14:textId="77777777" w:rsidTr="00BF51BB">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vAlign w:val="center"/>
          </w:tcPr>
          <w:p w14:paraId="380012D1" w14:textId="77777777" w:rsidR="00ED768D" w:rsidRPr="00BF51BB" w:rsidRDefault="00ED768D" w:rsidP="00ED768D">
            <w:pPr>
              <w:keepNext/>
              <w:rPr>
                <w:rFonts w:ascii="Arial" w:eastAsia="SimSun" w:hAnsi="Arial" w:cs="Arial"/>
                <w:b w:val="0"/>
                <w:i/>
                <w:color w:val="auto"/>
                <w:szCs w:val="20"/>
              </w:rPr>
            </w:pPr>
            <w:r w:rsidRPr="00BF51BB">
              <w:rPr>
                <w:rFonts w:ascii="Arial" w:eastAsia="SimSun" w:hAnsi="Arial" w:cs="Arial"/>
                <w:b w:val="0"/>
                <w:i/>
                <w:color w:val="auto"/>
                <w:szCs w:val="20"/>
              </w:rPr>
              <w:t xml:space="preserve">Realni sektor </w:t>
            </w:r>
          </w:p>
        </w:tc>
        <w:tc>
          <w:tcPr>
            <w:tcW w:w="1276" w:type="dxa"/>
            <w:shd w:val="clear" w:color="auto" w:fill="DBE5F1" w:themeFill="accent1" w:themeFillTint="33"/>
            <w:vAlign w:val="center"/>
          </w:tcPr>
          <w:p w14:paraId="75DEA08F" w14:textId="77777777" w:rsidR="00ED768D" w:rsidRPr="00BF51BB" w:rsidRDefault="00ED768D" w:rsidP="00ED768D">
            <w:pPr>
              <w:keepNext/>
              <w:cnfStyle w:val="100000000000" w:firstRow="1" w:lastRow="0" w:firstColumn="0" w:lastColumn="0" w:oddVBand="0" w:evenVBand="0" w:oddHBand="0" w:evenHBand="0" w:firstRowFirstColumn="0" w:firstRowLastColumn="0" w:lastRowFirstColumn="0" w:lastRowLastColumn="0"/>
              <w:rPr>
                <w:rFonts w:ascii="Arial" w:eastAsia="SimSun" w:hAnsi="Arial" w:cs="Arial"/>
                <w:color w:val="auto"/>
                <w:szCs w:val="20"/>
              </w:rPr>
            </w:pPr>
          </w:p>
        </w:tc>
        <w:tc>
          <w:tcPr>
            <w:tcW w:w="6237" w:type="dxa"/>
            <w:shd w:val="clear" w:color="auto" w:fill="DBE5F1" w:themeFill="accent1" w:themeFillTint="33"/>
            <w:vAlign w:val="center"/>
          </w:tcPr>
          <w:p w14:paraId="78C27679" w14:textId="77777777" w:rsidR="00ED768D" w:rsidRPr="00BF51BB" w:rsidRDefault="00ED768D" w:rsidP="00ED768D">
            <w:pPr>
              <w:keepNext/>
              <w:cnfStyle w:val="100000000000" w:firstRow="1" w:lastRow="0" w:firstColumn="0" w:lastColumn="0" w:oddVBand="0" w:evenVBand="0" w:oddHBand="0" w:evenHBand="0" w:firstRowFirstColumn="0" w:firstRowLastColumn="0" w:lastRowFirstColumn="0" w:lastRowLastColumn="0"/>
              <w:rPr>
                <w:rFonts w:ascii="Arial" w:eastAsia="SimSun" w:hAnsi="Arial" w:cs="Arial"/>
                <w:color w:val="auto"/>
                <w:szCs w:val="20"/>
              </w:rPr>
            </w:pPr>
          </w:p>
        </w:tc>
      </w:tr>
      <w:tr w:rsidR="00ED768D" w:rsidRPr="00BF51BB" w14:paraId="3B1883FD" w14:textId="77777777" w:rsidTr="00B92496">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7CBA1EFD" w14:textId="77777777" w:rsidR="00ED768D" w:rsidRPr="00BF51BB" w:rsidRDefault="00ED768D" w:rsidP="00ED768D">
            <w:pPr>
              <w:keepNext/>
              <w:rPr>
                <w:rFonts w:ascii="Arial" w:eastAsia="SimSun" w:hAnsi="Arial" w:cs="Arial"/>
                <w:b w:val="0"/>
                <w:szCs w:val="20"/>
              </w:rPr>
            </w:pPr>
            <w:r w:rsidRPr="00BF51BB">
              <w:rPr>
                <w:rFonts w:ascii="Arial" w:eastAsia="SimSun" w:hAnsi="Arial" w:cs="Arial"/>
                <w:b w:val="0"/>
                <w:szCs w:val="20"/>
              </w:rPr>
              <w:t>- Rast</w:t>
            </w:r>
          </w:p>
        </w:tc>
        <w:tc>
          <w:tcPr>
            <w:tcW w:w="1276" w:type="dxa"/>
            <w:shd w:val="clear" w:color="auto" w:fill="auto"/>
            <w:vAlign w:val="center"/>
          </w:tcPr>
          <w:p w14:paraId="0B43C40D" w14:textId="41AC3970" w:rsidR="00ED768D" w:rsidRPr="00BF51BB"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F51BB">
              <w:rPr>
                <w:rFonts w:ascii="Arial" w:eastAsia="SimSun" w:hAnsi="Arial" w:cs="Arial"/>
                <w:szCs w:val="20"/>
              </w:rPr>
              <w:t>Srednja</w:t>
            </w:r>
            <w:r w:rsidR="00B92496" w:rsidRPr="00BF51BB">
              <w:rPr>
                <w:rFonts w:ascii="Arial" w:eastAsia="SimSun" w:hAnsi="Arial" w:cs="Arial"/>
                <w:szCs w:val="20"/>
              </w:rPr>
              <w:t xml:space="preserve"> do visoka</w:t>
            </w:r>
          </w:p>
        </w:tc>
        <w:tc>
          <w:tcPr>
            <w:tcW w:w="6237" w:type="dxa"/>
            <w:shd w:val="clear" w:color="auto" w:fill="auto"/>
            <w:vAlign w:val="center"/>
          </w:tcPr>
          <w:p w14:paraId="41C4EF2E" w14:textId="77777777" w:rsidR="00ED768D" w:rsidRPr="00BF51BB" w:rsidRDefault="00ED768D" w:rsidP="00D24459">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F51BB">
              <w:rPr>
                <w:rFonts w:ascii="Arial" w:eastAsia="SimSun" w:hAnsi="Arial" w:cs="Arial"/>
                <w:szCs w:val="20"/>
              </w:rPr>
              <w:t xml:space="preserve">Slaba vanjska potražnja ili veća finansijska nestabilnost bi mogli smanjiti potencijal za rast, što bi dovelo do poteškoća u fiskalnoj politici i rezultiralo većim zaduživanjem.  </w:t>
            </w:r>
          </w:p>
        </w:tc>
      </w:tr>
      <w:tr w:rsidR="00642162" w:rsidRPr="00BF51BB" w14:paraId="40FE0F5F" w14:textId="77777777" w:rsidTr="00BF51BB">
        <w:trPr>
          <w:trHeight w:val="367"/>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368C574E" w14:textId="77777777" w:rsidR="00642162" w:rsidRPr="00BF51BB" w:rsidRDefault="00642162" w:rsidP="00ED768D">
            <w:pPr>
              <w:keepNext/>
              <w:rPr>
                <w:rFonts w:ascii="Arial" w:eastAsia="SimSun" w:hAnsi="Arial" w:cs="Arial"/>
                <w:color w:val="E36C0A" w:themeColor="accent6" w:themeShade="BF"/>
                <w:szCs w:val="20"/>
              </w:rPr>
            </w:pPr>
            <w:r w:rsidRPr="00BF51BB">
              <w:rPr>
                <w:rFonts w:ascii="Arial" w:eastAsia="SimSun" w:hAnsi="Arial" w:cs="Arial"/>
                <w:b w:val="0"/>
                <w:i/>
                <w:szCs w:val="20"/>
              </w:rPr>
              <w:t>Fiskalni sektor</w:t>
            </w:r>
            <w:r w:rsidRPr="00BF51BB">
              <w:rPr>
                <w:rFonts w:ascii="Arial" w:eastAsia="SimSun" w:hAnsi="Arial" w:cs="Arial"/>
                <w:b w:val="0"/>
                <w:szCs w:val="20"/>
              </w:rPr>
              <w:t xml:space="preserve"> </w:t>
            </w:r>
          </w:p>
        </w:tc>
      </w:tr>
      <w:tr w:rsidR="00ED768D" w:rsidRPr="00BF51BB" w14:paraId="5C16B2CC" w14:textId="77777777" w:rsidTr="00B92496">
        <w:trPr>
          <w:cnfStyle w:val="000000100000" w:firstRow="0" w:lastRow="0" w:firstColumn="0" w:lastColumn="0" w:oddVBand="0" w:evenVBand="0" w:oddHBand="1" w:evenHBand="0" w:firstRowFirstColumn="0" w:firstRowLastColumn="0" w:lastRowFirstColumn="0" w:lastRowLastColumn="0"/>
          <w:trHeight w:val="173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DA086A7" w14:textId="77777777" w:rsidR="00ED768D" w:rsidRPr="00BF51BB" w:rsidRDefault="00ED768D" w:rsidP="00ED768D">
            <w:pPr>
              <w:keepNext/>
              <w:rPr>
                <w:rFonts w:ascii="Arial" w:eastAsia="SimSun" w:hAnsi="Arial" w:cs="Arial"/>
                <w:b w:val="0"/>
                <w:szCs w:val="20"/>
              </w:rPr>
            </w:pPr>
            <w:r w:rsidRPr="00BF51BB">
              <w:rPr>
                <w:rFonts w:ascii="Arial" w:eastAsia="SimSun" w:hAnsi="Arial" w:cs="Arial"/>
                <w:b w:val="0"/>
                <w:szCs w:val="20"/>
              </w:rPr>
              <w:t xml:space="preserve">- Održivost duga </w:t>
            </w:r>
          </w:p>
        </w:tc>
        <w:tc>
          <w:tcPr>
            <w:tcW w:w="1276" w:type="dxa"/>
            <w:shd w:val="clear" w:color="auto" w:fill="auto"/>
            <w:vAlign w:val="center"/>
          </w:tcPr>
          <w:p w14:paraId="425A9806" w14:textId="77777777" w:rsidR="00ED768D" w:rsidRPr="00BF51BB"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F51BB">
              <w:rPr>
                <w:rFonts w:ascii="Arial" w:eastAsia="SimSun" w:hAnsi="Arial" w:cs="Arial"/>
                <w:szCs w:val="20"/>
              </w:rPr>
              <w:t>Srednja</w:t>
            </w:r>
          </w:p>
        </w:tc>
        <w:tc>
          <w:tcPr>
            <w:tcW w:w="6237" w:type="dxa"/>
            <w:shd w:val="clear" w:color="auto" w:fill="auto"/>
            <w:vAlign w:val="center"/>
          </w:tcPr>
          <w:p w14:paraId="2886F2A0" w14:textId="14F41F9C" w:rsidR="00ED768D" w:rsidRPr="00BF51BB" w:rsidRDefault="00ED768D" w:rsidP="000A53DD">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F51BB">
              <w:rPr>
                <w:rFonts w:ascii="Arial" w:eastAsia="SimSun" w:hAnsi="Arial" w:cs="Arial"/>
                <w:szCs w:val="20"/>
              </w:rPr>
              <w:t xml:space="preserve">Pritisak na rastuće rashode i kapitalne investicije bi povećao finansijske potrebe. </w:t>
            </w:r>
            <w:r w:rsidR="00D450C0" w:rsidRPr="00BF51BB">
              <w:rPr>
                <w:rFonts w:ascii="Arial" w:eastAsia="SimSun" w:hAnsi="Arial" w:cs="Arial"/>
                <w:szCs w:val="20"/>
              </w:rPr>
              <w:t>P</w:t>
            </w:r>
            <w:r w:rsidRPr="00BF51BB">
              <w:rPr>
                <w:rFonts w:ascii="Arial" w:eastAsia="SimSun" w:hAnsi="Arial" w:cs="Arial"/>
                <w:szCs w:val="20"/>
              </w:rPr>
              <w:t>otencijalne obaveze</w:t>
            </w:r>
            <w:r w:rsidR="00D450C0" w:rsidRPr="00BF51BB">
              <w:rPr>
                <w:rFonts w:ascii="Arial" w:eastAsia="SimSun" w:hAnsi="Arial" w:cs="Arial"/>
                <w:szCs w:val="20"/>
              </w:rPr>
              <w:t>,</w:t>
            </w:r>
            <w:r w:rsidRPr="00BF51BB">
              <w:rPr>
                <w:rFonts w:ascii="Arial" w:eastAsia="SimSun" w:hAnsi="Arial" w:cs="Arial"/>
                <w:szCs w:val="20"/>
              </w:rPr>
              <w:t xml:space="preserve"> bilo iz bankarskog sektora ili državnih preduzeća</w:t>
            </w:r>
            <w:r w:rsidR="00D450C0" w:rsidRPr="00BF51BB">
              <w:rPr>
                <w:rFonts w:ascii="Arial" w:eastAsia="SimSun" w:hAnsi="Arial" w:cs="Arial"/>
                <w:szCs w:val="20"/>
              </w:rPr>
              <w:t>,</w:t>
            </w:r>
            <w:r w:rsidRPr="00BF51BB">
              <w:rPr>
                <w:rFonts w:ascii="Arial" w:eastAsia="SimSun" w:hAnsi="Arial" w:cs="Arial"/>
                <w:szCs w:val="20"/>
              </w:rPr>
              <w:t xml:space="preserve"> mogle </w:t>
            </w:r>
            <w:r w:rsidR="000A53DD" w:rsidRPr="00BF51BB">
              <w:rPr>
                <w:rFonts w:ascii="Arial" w:eastAsia="SimSun" w:hAnsi="Arial" w:cs="Arial"/>
                <w:szCs w:val="20"/>
              </w:rPr>
              <w:t xml:space="preserve">bi </w:t>
            </w:r>
            <w:r w:rsidRPr="00BF51BB">
              <w:rPr>
                <w:rFonts w:ascii="Arial" w:eastAsia="SimSun" w:hAnsi="Arial" w:cs="Arial"/>
                <w:szCs w:val="20"/>
              </w:rPr>
              <w:t>dovesti do povećanja bruto finansijskih potreba i troškova finansiranja i pogoršanja fiskalnog bilansa</w:t>
            </w:r>
            <w:r w:rsidR="00D62512" w:rsidRPr="00BF51BB">
              <w:rPr>
                <w:rFonts w:ascii="Arial" w:eastAsia="SimSun" w:hAnsi="Arial" w:cs="Arial"/>
                <w:szCs w:val="20"/>
              </w:rPr>
              <w:t xml:space="preserve">, što bi moglo </w:t>
            </w:r>
            <w:r w:rsidR="0087035C" w:rsidRPr="00BF51BB">
              <w:rPr>
                <w:rFonts w:ascii="Arial" w:eastAsia="SimSun" w:hAnsi="Arial" w:cs="Arial"/>
                <w:szCs w:val="20"/>
              </w:rPr>
              <w:t>r</w:t>
            </w:r>
            <w:r w:rsidR="00D62512" w:rsidRPr="00BF51BB">
              <w:rPr>
                <w:rFonts w:ascii="Arial" w:eastAsia="SimSun" w:hAnsi="Arial" w:cs="Arial"/>
                <w:szCs w:val="20"/>
              </w:rPr>
              <w:t>ez</w:t>
            </w:r>
            <w:r w:rsidR="00E045F9" w:rsidRPr="00BF51BB">
              <w:rPr>
                <w:rFonts w:ascii="Arial" w:eastAsia="SimSun" w:hAnsi="Arial" w:cs="Arial"/>
                <w:szCs w:val="20"/>
              </w:rPr>
              <w:t>u</w:t>
            </w:r>
            <w:r w:rsidR="00D62512" w:rsidRPr="00BF51BB">
              <w:rPr>
                <w:rFonts w:ascii="Arial" w:eastAsia="SimSun" w:hAnsi="Arial" w:cs="Arial"/>
                <w:szCs w:val="20"/>
              </w:rPr>
              <w:t xml:space="preserve">ltirati </w:t>
            </w:r>
            <w:r w:rsidRPr="00BF51BB">
              <w:rPr>
                <w:rFonts w:ascii="Arial" w:eastAsia="SimSun" w:hAnsi="Arial" w:cs="Arial"/>
                <w:szCs w:val="20"/>
              </w:rPr>
              <w:t>već</w:t>
            </w:r>
            <w:r w:rsidR="0087035C" w:rsidRPr="00BF51BB">
              <w:rPr>
                <w:rFonts w:ascii="Arial" w:eastAsia="SimSun" w:hAnsi="Arial" w:cs="Arial"/>
                <w:szCs w:val="20"/>
              </w:rPr>
              <w:t xml:space="preserve">im </w:t>
            </w:r>
            <w:r w:rsidRPr="00BF51BB">
              <w:rPr>
                <w:rFonts w:ascii="Arial" w:eastAsia="SimSun" w:hAnsi="Arial" w:cs="Arial"/>
                <w:szCs w:val="20"/>
              </w:rPr>
              <w:t>domać</w:t>
            </w:r>
            <w:r w:rsidR="0087035C" w:rsidRPr="00BF51BB">
              <w:rPr>
                <w:rFonts w:ascii="Arial" w:eastAsia="SimSun" w:hAnsi="Arial" w:cs="Arial"/>
                <w:szCs w:val="20"/>
              </w:rPr>
              <w:t>im</w:t>
            </w:r>
            <w:r w:rsidRPr="00BF51BB">
              <w:rPr>
                <w:rFonts w:ascii="Arial" w:eastAsia="SimSun" w:hAnsi="Arial" w:cs="Arial"/>
                <w:szCs w:val="20"/>
              </w:rPr>
              <w:t xml:space="preserve"> </w:t>
            </w:r>
            <w:r w:rsidR="00D20611" w:rsidRPr="00BF51BB">
              <w:rPr>
                <w:rFonts w:ascii="Arial" w:eastAsia="SimSun" w:hAnsi="Arial" w:cs="Arial"/>
                <w:szCs w:val="20"/>
              </w:rPr>
              <w:t xml:space="preserve">i </w:t>
            </w:r>
            <w:r w:rsidR="00BD4587" w:rsidRPr="00BF51BB">
              <w:rPr>
                <w:rFonts w:ascii="Arial" w:eastAsia="SimSun" w:hAnsi="Arial" w:cs="Arial"/>
                <w:szCs w:val="20"/>
              </w:rPr>
              <w:t xml:space="preserve">vanjskim </w:t>
            </w:r>
            <w:r w:rsidR="004B2B73" w:rsidRPr="00BF51BB">
              <w:rPr>
                <w:rFonts w:ascii="Arial" w:eastAsia="SimSun" w:hAnsi="Arial" w:cs="Arial"/>
                <w:szCs w:val="20"/>
              </w:rPr>
              <w:t>z</w:t>
            </w:r>
            <w:r w:rsidRPr="00BF51BB">
              <w:rPr>
                <w:rFonts w:ascii="Arial" w:eastAsia="SimSun" w:hAnsi="Arial" w:cs="Arial"/>
                <w:szCs w:val="20"/>
              </w:rPr>
              <w:t>aduž</w:t>
            </w:r>
            <w:r w:rsidR="0087035C" w:rsidRPr="00BF51BB">
              <w:rPr>
                <w:rFonts w:ascii="Arial" w:eastAsia="SimSun" w:hAnsi="Arial" w:cs="Arial"/>
                <w:szCs w:val="20"/>
              </w:rPr>
              <w:t>enjem</w:t>
            </w:r>
            <w:r w:rsidRPr="00BF51BB">
              <w:rPr>
                <w:rFonts w:ascii="Arial" w:eastAsia="SimSun" w:hAnsi="Arial" w:cs="Arial"/>
                <w:szCs w:val="20"/>
              </w:rPr>
              <w:t xml:space="preserve">. </w:t>
            </w:r>
          </w:p>
        </w:tc>
      </w:tr>
      <w:tr w:rsidR="00642162" w:rsidRPr="00BF51BB" w14:paraId="4D3C6D19" w14:textId="77777777" w:rsidTr="00BF51BB">
        <w:trPr>
          <w:trHeight w:val="392"/>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6DD631AB" w14:textId="77777777" w:rsidR="00642162" w:rsidRPr="00BF51BB" w:rsidRDefault="00642162" w:rsidP="00FE4AB6">
            <w:pPr>
              <w:keepNext/>
              <w:rPr>
                <w:rFonts w:ascii="Arial" w:eastAsia="SimSun" w:hAnsi="Arial" w:cs="Arial"/>
                <w:color w:val="E36C0A" w:themeColor="accent6" w:themeShade="BF"/>
                <w:szCs w:val="20"/>
              </w:rPr>
            </w:pPr>
            <w:r w:rsidRPr="00BF51BB">
              <w:rPr>
                <w:rFonts w:ascii="Arial" w:eastAsia="SimSun" w:hAnsi="Arial" w:cs="Arial"/>
                <w:b w:val="0"/>
                <w:i/>
                <w:szCs w:val="20"/>
              </w:rPr>
              <w:t>Platni bilans</w:t>
            </w:r>
          </w:p>
        </w:tc>
      </w:tr>
      <w:tr w:rsidR="00ED768D" w:rsidRPr="00BF51BB" w14:paraId="06A36E6E" w14:textId="77777777" w:rsidTr="00B92496">
        <w:trPr>
          <w:cnfStyle w:val="000000100000" w:firstRow="0" w:lastRow="0" w:firstColumn="0" w:lastColumn="0" w:oddVBand="0" w:evenVBand="0" w:oddHBand="1" w:evenHBand="0" w:firstRowFirstColumn="0" w:firstRowLastColumn="0" w:lastRowFirstColumn="0" w:lastRowLastColumn="0"/>
          <w:trHeight w:val="129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22323B37" w14:textId="77777777" w:rsidR="00ED768D" w:rsidRPr="00BF51BB" w:rsidRDefault="00D24459" w:rsidP="00ED768D">
            <w:pPr>
              <w:keepNext/>
              <w:ind w:left="129" w:hanging="129"/>
              <w:rPr>
                <w:rFonts w:ascii="Arial" w:eastAsia="SimSun" w:hAnsi="Arial" w:cs="Arial"/>
                <w:b w:val="0"/>
                <w:szCs w:val="20"/>
              </w:rPr>
            </w:pPr>
            <w:r w:rsidRPr="00BF51BB">
              <w:rPr>
                <w:rFonts w:ascii="Arial" w:eastAsia="SimSun" w:hAnsi="Arial" w:cs="Arial"/>
                <w:b w:val="0"/>
                <w:szCs w:val="20"/>
              </w:rPr>
              <w:t xml:space="preserve">- Vanjska </w:t>
            </w:r>
            <w:r w:rsidR="00ED768D" w:rsidRPr="00BF51BB">
              <w:rPr>
                <w:rFonts w:ascii="Arial" w:eastAsia="SimSun" w:hAnsi="Arial" w:cs="Arial"/>
                <w:b w:val="0"/>
                <w:szCs w:val="20"/>
              </w:rPr>
              <w:t>potražnja/kurs    valuta</w:t>
            </w:r>
          </w:p>
        </w:tc>
        <w:tc>
          <w:tcPr>
            <w:tcW w:w="1276" w:type="dxa"/>
            <w:shd w:val="clear" w:color="auto" w:fill="auto"/>
            <w:vAlign w:val="center"/>
          </w:tcPr>
          <w:p w14:paraId="7C166C5E" w14:textId="77777777" w:rsidR="00ED768D" w:rsidRPr="00BF51BB"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F51BB">
              <w:rPr>
                <w:rFonts w:ascii="Arial" w:eastAsia="SimSun" w:hAnsi="Arial" w:cs="Arial"/>
                <w:szCs w:val="20"/>
              </w:rPr>
              <w:t>Srednja do visoka</w:t>
            </w:r>
          </w:p>
        </w:tc>
        <w:tc>
          <w:tcPr>
            <w:tcW w:w="6237" w:type="dxa"/>
            <w:shd w:val="clear" w:color="auto" w:fill="auto"/>
            <w:vAlign w:val="center"/>
          </w:tcPr>
          <w:p w14:paraId="0348459E" w14:textId="09C88F20" w:rsidR="00ED768D" w:rsidRPr="00BF51BB" w:rsidRDefault="00ED768D" w:rsidP="00B92496">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F51BB">
              <w:rPr>
                <w:rFonts w:ascii="Arial" w:eastAsia="SimSun" w:hAnsi="Arial" w:cs="Arial"/>
                <w:szCs w:val="20"/>
              </w:rPr>
              <w:t xml:space="preserve">Spor globalni rast, posebno u EU, može smanjiti izvoz i </w:t>
            </w:r>
            <w:r w:rsidR="0087035C" w:rsidRPr="00BF51BB">
              <w:rPr>
                <w:rFonts w:ascii="Arial" w:eastAsia="SimSun" w:hAnsi="Arial" w:cs="Arial"/>
                <w:szCs w:val="20"/>
              </w:rPr>
              <w:t>strane direktne investicije</w:t>
            </w:r>
            <w:r w:rsidRPr="00BF51BB">
              <w:rPr>
                <w:rFonts w:ascii="Arial" w:eastAsia="SimSun" w:hAnsi="Arial" w:cs="Arial"/>
                <w:szCs w:val="20"/>
              </w:rPr>
              <w:t xml:space="preserve">, dovodeći do pritiska na devizne rezerve, </w:t>
            </w:r>
            <w:r w:rsidR="00B92496" w:rsidRPr="00BF51BB">
              <w:rPr>
                <w:rFonts w:ascii="Arial" w:eastAsia="SimSun" w:hAnsi="Arial" w:cs="Arial"/>
                <w:szCs w:val="20"/>
              </w:rPr>
              <w:t xml:space="preserve">što bi </w:t>
            </w:r>
            <w:r w:rsidR="004F6214" w:rsidRPr="00BF51BB">
              <w:rPr>
                <w:rFonts w:ascii="Arial" w:eastAsia="SimSun" w:hAnsi="Arial" w:cs="Arial"/>
                <w:szCs w:val="20"/>
              </w:rPr>
              <w:t xml:space="preserve">s </w:t>
            </w:r>
            <w:r w:rsidRPr="00BF51BB">
              <w:rPr>
                <w:rFonts w:ascii="Arial" w:eastAsia="SimSun" w:hAnsi="Arial" w:cs="Arial"/>
                <w:szCs w:val="20"/>
              </w:rPr>
              <w:t>obzirom na aranžman valutnog odbora</w:t>
            </w:r>
            <w:r w:rsidR="00D62512" w:rsidRPr="00BF51BB">
              <w:rPr>
                <w:rFonts w:ascii="Arial" w:eastAsia="SimSun" w:hAnsi="Arial" w:cs="Arial"/>
                <w:szCs w:val="20"/>
              </w:rPr>
              <w:t xml:space="preserve">, moglo </w:t>
            </w:r>
            <w:r w:rsidR="00F5140A" w:rsidRPr="00BF51BB">
              <w:rPr>
                <w:rFonts w:ascii="Arial" w:eastAsia="SimSun" w:hAnsi="Arial" w:cs="Arial"/>
                <w:szCs w:val="20"/>
              </w:rPr>
              <w:t>ut</w:t>
            </w:r>
            <w:r w:rsidR="004F6214" w:rsidRPr="00BF51BB">
              <w:rPr>
                <w:rFonts w:ascii="Arial" w:eastAsia="SimSun" w:hAnsi="Arial" w:cs="Arial"/>
                <w:szCs w:val="20"/>
              </w:rPr>
              <w:t>je</w:t>
            </w:r>
            <w:r w:rsidR="00F5140A" w:rsidRPr="00BF51BB">
              <w:rPr>
                <w:rFonts w:ascii="Arial" w:eastAsia="SimSun" w:hAnsi="Arial" w:cs="Arial"/>
                <w:szCs w:val="20"/>
              </w:rPr>
              <w:t>cati i na veće v</w:t>
            </w:r>
            <w:r w:rsidRPr="00BF51BB">
              <w:rPr>
                <w:rFonts w:ascii="Arial" w:eastAsia="SimSun" w:hAnsi="Arial" w:cs="Arial"/>
                <w:szCs w:val="20"/>
              </w:rPr>
              <w:t xml:space="preserve">anjsko zaduživanje. </w:t>
            </w:r>
          </w:p>
        </w:tc>
      </w:tr>
      <w:tr w:rsidR="00642162" w:rsidRPr="00BF51BB" w14:paraId="3CB465C6" w14:textId="77777777" w:rsidTr="00BF51BB">
        <w:trPr>
          <w:trHeight w:val="384"/>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46D03600" w14:textId="77777777" w:rsidR="00642162" w:rsidRPr="00BF51BB" w:rsidRDefault="00642162" w:rsidP="00FE4AB6">
            <w:pPr>
              <w:keepNext/>
              <w:rPr>
                <w:rFonts w:ascii="Arial" w:eastAsia="SimSun" w:hAnsi="Arial" w:cs="Arial"/>
                <w:color w:val="E36C0A" w:themeColor="accent6" w:themeShade="BF"/>
                <w:szCs w:val="20"/>
              </w:rPr>
            </w:pPr>
            <w:r w:rsidRPr="00BF51BB">
              <w:rPr>
                <w:rFonts w:ascii="Arial" w:eastAsia="SimSun" w:hAnsi="Arial" w:cs="Arial"/>
                <w:b w:val="0"/>
                <w:i/>
                <w:szCs w:val="20"/>
              </w:rPr>
              <w:t xml:space="preserve">Inflacija </w:t>
            </w:r>
          </w:p>
        </w:tc>
      </w:tr>
      <w:tr w:rsidR="00ED768D" w:rsidRPr="00BF51BB" w14:paraId="4AC62D60" w14:textId="77777777" w:rsidTr="00B92496">
        <w:trPr>
          <w:cnfStyle w:val="000000100000" w:firstRow="0" w:lastRow="0" w:firstColumn="0" w:lastColumn="0" w:oddVBand="0" w:evenVBand="0" w:oddHBand="1" w:evenHBand="0" w:firstRowFirstColumn="0" w:firstRowLastColumn="0" w:lastRowFirstColumn="0" w:lastRowLastColumn="0"/>
          <w:trHeight w:val="1291"/>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FB127EE" w14:textId="77777777" w:rsidR="00ED768D" w:rsidRPr="00BF51BB" w:rsidRDefault="00ED768D" w:rsidP="00ED768D">
            <w:pPr>
              <w:keepNext/>
              <w:rPr>
                <w:rFonts w:ascii="Arial" w:eastAsia="SimSun" w:hAnsi="Arial" w:cs="Arial"/>
                <w:b w:val="0"/>
                <w:szCs w:val="20"/>
              </w:rPr>
            </w:pPr>
            <w:r w:rsidRPr="00BF51BB">
              <w:rPr>
                <w:rFonts w:ascii="Arial" w:eastAsia="SimSun" w:hAnsi="Arial" w:cs="Arial"/>
                <w:b w:val="0"/>
                <w:szCs w:val="20"/>
              </w:rPr>
              <w:t>- Cijene roba/kurs valuta</w:t>
            </w:r>
          </w:p>
        </w:tc>
        <w:tc>
          <w:tcPr>
            <w:tcW w:w="1276" w:type="dxa"/>
            <w:shd w:val="clear" w:color="auto" w:fill="auto"/>
            <w:vAlign w:val="center"/>
          </w:tcPr>
          <w:p w14:paraId="7A55CED7" w14:textId="77777777" w:rsidR="00ED768D" w:rsidRPr="00BF51BB"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F51BB">
              <w:rPr>
                <w:rFonts w:ascii="Arial" w:eastAsia="SimSun" w:hAnsi="Arial" w:cs="Arial"/>
                <w:szCs w:val="20"/>
              </w:rPr>
              <w:t>Srednja do mala</w:t>
            </w:r>
          </w:p>
        </w:tc>
        <w:tc>
          <w:tcPr>
            <w:tcW w:w="6237" w:type="dxa"/>
            <w:shd w:val="clear" w:color="auto" w:fill="auto"/>
            <w:vAlign w:val="center"/>
          </w:tcPr>
          <w:p w14:paraId="48ED1833" w14:textId="0DC8A2C9" w:rsidR="00ED768D" w:rsidRPr="00BF51BB" w:rsidRDefault="00B92496">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color w:val="E36C0A" w:themeColor="accent6" w:themeShade="BF"/>
                <w:szCs w:val="20"/>
              </w:rPr>
            </w:pPr>
            <w:r w:rsidRPr="00BF51BB">
              <w:rPr>
                <w:rFonts w:ascii="Arial" w:eastAsia="SimSun" w:hAnsi="Arial" w:cs="Arial"/>
                <w:szCs w:val="20"/>
              </w:rPr>
              <w:t>Na rast cijena najveći utjecaj će imati rast cijena energenata, te rast cijena hrane, pića i komunalija</w:t>
            </w:r>
            <w:r w:rsidR="00676794" w:rsidRPr="00BF51BB">
              <w:rPr>
                <w:rFonts w:ascii="Arial" w:eastAsia="SimSun" w:hAnsi="Arial" w:cs="Arial"/>
                <w:szCs w:val="20"/>
              </w:rPr>
              <w:t xml:space="preserve">. </w:t>
            </w:r>
            <w:r w:rsidR="00ED768D" w:rsidRPr="00BF51BB">
              <w:rPr>
                <w:rFonts w:ascii="Arial" w:eastAsia="SimSun" w:hAnsi="Arial" w:cs="Arial"/>
                <w:szCs w:val="20"/>
              </w:rPr>
              <w:t xml:space="preserve">Veća inflacija bi mogla povećati troškove servisiranja duga. </w:t>
            </w:r>
          </w:p>
        </w:tc>
      </w:tr>
      <w:tr w:rsidR="00642162" w:rsidRPr="00BF51BB" w14:paraId="16B8FFCD" w14:textId="77777777" w:rsidTr="00BF51BB">
        <w:trPr>
          <w:trHeight w:val="361"/>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BE5F1" w:themeFill="accent1" w:themeFillTint="33"/>
            <w:vAlign w:val="center"/>
          </w:tcPr>
          <w:p w14:paraId="2FC79557" w14:textId="77777777" w:rsidR="00642162" w:rsidRPr="00BF51BB" w:rsidRDefault="00642162" w:rsidP="00FE4AB6">
            <w:pPr>
              <w:keepNext/>
              <w:rPr>
                <w:rFonts w:ascii="Arial" w:eastAsia="SimSun" w:hAnsi="Arial" w:cs="Arial"/>
                <w:color w:val="E36C0A" w:themeColor="accent6" w:themeShade="BF"/>
                <w:szCs w:val="20"/>
              </w:rPr>
            </w:pPr>
            <w:r w:rsidRPr="00BF51BB">
              <w:rPr>
                <w:rFonts w:ascii="Arial" w:eastAsia="SimSun" w:hAnsi="Arial" w:cs="Arial"/>
                <w:b w:val="0"/>
                <w:i/>
                <w:szCs w:val="20"/>
              </w:rPr>
              <w:t>Finansijski sistem</w:t>
            </w:r>
            <w:r w:rsidRPr="00BF51BB">
              <w:rPr>
                <w:rFonts w:ascii="Arial" w:eastAsia="SimSun" w:hAnsi="Arial" w:cs="Arial"/>
                <w:b w:val="0"/>
                <w:szCs w:val="20"/>
              </w:rPr>
              <w:t xml:space="preserve"> </w:t>
            </w:r>
          </w:p>
        </w:tc>
      </w:tr>
      <w:tr w:rsidR="00ED768D" w:rsidRPr="00BF51BB" w14:paraId="7A76A4E3" w14:textId="77777777" w:rsidTr="00B92496">
        <w:trPr>
          <w:cnfStyle w:val="000000100000" w:firstRow="0" w:lastRow="0" w:firstColumn="0" w:lastColumn="0" w:oddVBand="0" w:evenVBand="0" w:oddHBand="1" w:evenHBand="0" w:firstRowFirstColumn="0" w:firstRowLastColumn="0" w:lastRowFirstColumn="0" w:lastRowLastColumn="0"/>
          <w:trHeight w:val="1456"/>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523A231A" w14:textId="77777777" w:rsidR="00ED768D" w:rsidRPr="00BF51BB" w:rsidRDefault="00ED768D" w:rsidP="00ED768D">
            <w:pPr>
              <w:keepNext/>
              <w:rPr>
                <w:rFonts w:ascii="Arial" w:eastAsia="SimSun" w:hAnsi="Arial" w:cs="Arial"/>
                <w:b w:val="0"/>
                <w:szCs w:val="20"/>
              </w:rPr>
            </w:pPr>
            <w:r w:rsidRPr="00BF51BB">
              <w:rPr>
                <w:rFonts w:ascii="Arial" w:eastAsia="SimSun" w:hAnsi="Arial" w:cs="Arial"/>
                <w:b w:val="0"/>
                <w:szCs w:val="20"/>
              </w:rPr>
              <w:t xml:space="preserve">- Sveukupno stanje </w:t>
            </w:r>
          </w:p>
        </w:tc>
        <w:tc>
          <w:tcPr>
            <w:tcW w:w="1276" w:type="dxa"/>
            <w:shd w:val="clear" w:color="auto" w:fill="auto"/>
            <w:vAlign w:val="center"/>
          </w:tcPr>
          <w:p w14:paraId="1B618F2A" w14:textId="77777777" w:rsidR="00ED768D" w:rsidRPr="00BF51BB" w:rsidRDefault="00ED768D" w:rsidP="00ED768D">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F51BB">
              <w:rPr>
                <w:rFonts w:ascii="Arial" w:eastAsia="SimSun" w:hAnsi="Arial" w:cs="Arial"/>
                <w:szCs w:val="20"/>
              </w:rPr>
              <w:t>Srednja</w:t>
            </w:r>
          </w:p>
        </w:tc>
        <w:tc>
          <w:tcPr>
            <w:tcW w:w="6237" w:type="dxa"/>
            <w:shd w:val="clear" w:color="auto" w:fill="auto"/>
            <w:vAlign w:val="center"/>
          </w:tcPr>
          <w:p w14:paraId="08BDF542" w14:textId="77777777" w:rsidR="00ED768D" w:rsidRPr="00BF51BB" w:rsidRDefault="00ED768D" w:rsidP="00AF5DED">
            <w:pPr>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sidRPr="00BF51BB">
              <w:rPr>
                <w:rFonts w:ascii="Arial" w:eastAsia="SimSun" w:hAnsi="Arial" w:cs="Arial"/>
                <w:szCs w:val="20"/>
              </w:rPr>
              <w:t xml:space="preserve">Stopa adekvatnosti kapitala bankarskog sistema je znatno viša od zakonskog minimuma i predstavlja zadovoljavajuću kapitaliziranost ukupnog sistema za postojeći nivo izloženosti rizicima i jaku osnovu za očuvanje njegove sigurnosti i stabilnosti. </w:t>
            </w:r>
          </w:p>
        </w:tc>
      </w:tr>
    </w:tbl>
    <w:p w14:paraId="0FB48DCE" w14:textId="129FC874" w:rsidR="00544BCD" w:rsidRDefault="00544BCD" w:rsidP="00544BCD"/>
    <w:p w14:paraId="16D9B693" w14:textId="77777777" w:rsidR="00CC15D4" w:rsidRPr="00BF51BB" w:rsidRDefault="00CC15D4" w:rsidP="00544BCD"/>
    <w:p w14:paraId="474918A7" w14:textId="70A81559" w:rsidR="00B60AE7" w:rsidRPr="00CC15D4" w:rsidRDefault="00ED768D" w:rsidP="00B60AE7">
      <w:pPr>
        <w:pStyle w:val="Heading1"/>
        <w:keepNext w:val="0"/>
        <w:numPr>
          <w:ilvl w:val="0"/>
          <w:numId w:val="10"/>
        </w:numPr>
        <w:spacing w:before="0"/>
        <w:rPr>
          <w:rFonts w:ascii="Arial" w:hAnsi="Arial" w:cs="Arial"/>
          <w:b w:val="0"/>
          <w:color w:val="auto"/>
          <w:sz w:val="24"/>
        </w:rPr>
      </w:pPr>
      <w:bookmarkStart w:id="122" w:name="_Toc101781044"/>
      <w:r w:rsidRPr="00BF51BB">
        <w:rPr>
          <w:rFonts w:ascii="Arial" w:hAnsi="Arial" w:cs="Arial"/>
          <w:b w:val="0"/>
          <w:color w:val="auto"/>
          <w:sz w:val="24"/>
        </w:rPr>
        <w:t>IZVORI  FINANSIRANJA</w:t>
      </w:r>
      <w:bookmarkEnd w:id="122"/>
    </w:p>
    <w:p w14:paraId="5A43AADD" w14:textId="77777777" w:rsidR="00ED768D" w:rsidRPr="00BF51BB" w:rsidRDefault="00ED768D" w:rsidP="00AF5BF0">
      <w:pPr>
        <w:pStyle w:val="Heading3"/>
        <w:numPr>
          <w:ilvl w:val="1"/>
          <w:numId w:val="10"/>
        </w:numPr>
        <w:spacing w:before="120"/>
        <w:ind w:left="993" w:hanging="709"/>
        <w:rPr>
          <w:rFonts w:ascii="Arial" w:hAnsi="Arial" w:cs="Arial"/>
          <w:b w:val="0"/>
          <w:color w:val="auto"/>
          <w:sz w:val="28"/>
        </w:rPr>
      </w:pPr>
      <w:bookmarkStart w:id="123" w:name="_Toc101781045"/>
      <w:r w:rsidRPr="00BF51BB">
        <w:rPr>
          <w:rFonts w:ascii="Arial" w:hAnsi="Arial" w:cs="Arial"/>
          <w:b w:val="0"/>
          <w:color w:val="auto"/>
        </w:rPr>
        <w:t>Vanjski izvori finansiranja</w:t>
      </w:r>
      <w:bookmarkEnd w:id="123"/>
    </w:p>
    <w:p w14:paraId="78E09C27" w14:textId="2A06BD3D" w:rsidR="00544BCD" w:rsidRPr="00BF51BB" w:rsidRDefault="00544BCD" w:rsidP="00AC74DF">
      <w:pPr>
        <w:spacing w:after="0"/>
      </w:pPr>
    </w:p>
    <w:p w14:paraId="5BD387F7" w14:textId="7272B058" w:rsidR="00ED768D" w:rsidRPr="00BF51BB" w:rsidRDefault="00ED768D" w:rsidP="00AC74DF">
      <w:pPr>
        <w:pStyle w:val="NoSpacing"/>
        <w:spacing w:line="276" w:lineRule="auto"/>
        <w:ind w:firstLine="284"/>
        <w:jc w:val="both"/>
        <w:rPr>
          <w:rFonts w:ascii="Arial" w:hAnsi="Arial" w:cs="Arial"/>
          <w:lang w:val="hr-HR"/>
        </w:rPr>
      </w:pPr>
      <w:r w:rsidRPr="00BF51BB">
        <w:rPr>
          <w:rFonts w:ascii="Arial" w:hAnsi="Arial" w:cs="Arial"/>
          <w:lang w:val="hr-HR"/>
        </w:rPr>
        <w:t xml:space="preserve">Vanjska finansijska sredstva koja </w:t>
      </w:r>
      <w:r w:rsidR="00D94844" w:rsidRPr="00BF51BB">
        <w:rPr>
          <w:rFonts w:ascii="Arial" w:hAnsi="Arial" w:cs="Arial"/>
          <w:lang w:val="hr-HR"/>
        </w:rPr>
        <w:t xml:space="preserve">Federaciji BiH </w:t>
      </w:r>
      <w:r w:rsidRPr="00BF51BB">
        <w:rPr>
          <w:rFonts w:ascii="Arial" w:hAnsi="Arial" w:cs="Arial"/>
          <w:lang w:val="hr-HR"/>
        </w:rPr>
        <w:t xml:space="preserve">stoje na raspolaganju </w:t>
      </w:r>
      <w:r w:rsidR="008E10FA" w:rsidRPr="00BF51BB">
        <w:rPr>
          <w:rFonts w:ascii="Arial" w:hAnsi="Arial" w:cs="Arial"/>
          <w:lang w:val="hr-HR"/>
        </w:rPr>
        <w:t xml:space="preserve">i planira </w:t>
      </w:r>
      <w:r w:rsidR="00D94844" w:rsidRPr="00BF51BB">
        <w:rPr>
          <w:rFonts w:ascii="Arial" w:hAnsi="Arial" w:cs="Arial"/>
          <w:lang w:val="hr-HR"/>
        </w:rPr>
        <w:t xml:space="preserve">ih </w:t>
      </w:r>
      <w:r w:rsidR="008E10FA" w:rsidRPr="00BF51BB">
        <w:rPr>
          <w:rFonts w:ascii="Arial" w:hAnsi="Arial" w:cs="Arial"/>
          <w:lang w:val="hr-HR"/>
        </w:rPr>
        <w:t xml:space="preserve">angažovati </w:t>
      </w:r>
      <w:r w:rsidRPr="00BF51BB">
        <w:rPr>
          <w:rFonts w:ascii="Arial" w:hAnsi="Arial" w:cs="Arial"/>
          <w:lang w:val="hr-HR"/>
        </w:rPr>
        <w:t xml:space="preserve">u periodu </w:t>
      </w:r>
      <w:r w:rsidR="00B05AA4" w:rsidRPr="00BF51BB">
        <w:rPr>
          <w:rFonts w:ascii="Arial" w:hAnsi="Arial" w:cs="Arial"/>
          <w:lang w:val="hr-HR"/>
        </w:rPr>
        <w:t xml:space="preserve">2022 </w:t>
      </w:r>
      <w:r w:rsidR="005C3B50" w:rsidRPr="00BF51BB">
        <w:rPr>
          <w:rFonts w:ascii="Arial" w:hAnsi="Arial" w:cs="Arial"/>
          <w:lang w:val="hr-HR"/>
        </w:rPr>
        <w:t xml:space="preserve">– </w:t>
      </w:r>
      <w:r w:rsidR="00B05AA4" w:rsidRPr="00BF51BB">
        <w:rPr>
          <w:rFonts w:ascii="Arial" w:hAnsi="Arial" w:cs="Arial"/>
          <w:lang w:val="hr-HR"/>
        </w:rPr>
        <w:t>2024</w:t>
      </w:r>
      <w:r w:rsidR="004F6214" w:rsidRPr="00BF51BB">
        <w:rPr>
          <w:rFonts w:ascii="Arial" w:hAnsi="Arial" w:cs="Arial"/>
          <w:lang w:val="hr-HR"/>
        </w:rPr>
        <w:t>.</w:t>
      </w:r>
      <w:r w:rsidRPr="00BF51BB">
        <w:rPr>
          <w:rFonts w:ascii="Arial" w:hAnsi="Arial" w:cs="Arial"/>
          <w:lang w:val="hr-HR"/>
        </w:rPr>
        <w:t xml:space="preserve"> procjenjuju se na </w:t>
      </w:r>
      <w:r w:rsidR="00B05AA4" w:rsidRPr="00BF51BB">
        <w:rPr>
          <w:rFonts w:ascii="Arial" w:hAnsi="Arial" w:cs="Arial"/>
          <w:lang w:val="hr-HR"/>
        </w:rPr>
        <w:t>4</w:t>
      </w:r>
      <w:r w:rsidR="00F931BF" w:rsidRPr="00BF51BB">
        <w:rPr>
          <w:rFonts w:ascii="Arial" w:hAnsi="Arial" w:cs="Arial"/>
          <w:lang w:val="hr-HR"/>
        </w:rPr>
        <w:t>.</w:t>
      </w:r>
      <w:r w:rsidR="00B05AA4" w:rsidRPr="00BF51BB">
        <w:rPr>
          <w:rFonts w:ascii="Arial" w:hAnsi="Arial" w:cs="Arial"/>
          <w:lang w:val="hr-HR"/>
        </w:rPr>
        <w:t>986</w:t>
      </w:r>
      <w:r w:rsidR="00F931BF" w:rsidRPr="00BF51BB">
        <w:rPr>
          <w:rFonts w:ascii="Arial" w:hAnsi="Arial" w:cs="Arial"/>
          <w:lang w:val="hr-HR"/>
        </w:rPr>
        <w:t>,</w:t>
      </w:r>
      <w:r w:rsidR="001B0A03" w:rsidRPr="00BF51BB">
        <w:rPr>
          <w:rFonts w:ascii="Arial" w:hAnsi="Arial" w:cs="Arial"/>
          <w:lang w:val="hr-HR"/>
        </w:rPr>
        <w:t>65</w:t>
      </w:r>
      <w:r w:rsidR="00492159" w:rsidRPr="00BF51BB">
        <w:rPr>
          <w:rFonts w:ascii="Arial" w:hAnsi="Arial" w:cs="Arial"/>
          <w:lang w:val="hr-HR"/>
        </w:rPr>
        <w:t xml:space="preserve"> </w:t>
      </w:r>
      <w:r w:rsidR="00E672EB" w:rsidRPr="00BF51BB">
        <w:rPr>
          <w:rFonts w:ascii="Arial" w:hAnsi="Arial" w:cs="Arial"/>
          <w:lang w:val="hr-HR"/>
        </w:rPr>
        <w:t>mil.KM</w:t>
      </w:r>
      <w:r w:rsidR="008E10FA" w:rsidRPr="00BF51BB">
        <w:rPr>
          <w:rStyle w:val="FootnoteReference"/>
          <w:rFonts w:ascii="Arial" w:hAnsi="Arial" w:cs="Arial"/>
          <w:lang w:val="hr-HR"/>
        </w:rPr>
        <w:footnoteReference w:id="12"/>
      </w:r>
      <w:r w:rsidRPr="00BF51BB">
        <w:rPr>
          <w:rFonts w:ascii="Arial" w:hAnsi="Arial" w:cs="Arial"/>
          <w:lang w:val="hr-HR"/>
        </w:rPr>
        <w:t xml:space="preserve"> (</w:t>
      </w:r>
      <w:r w:rsidR="00B05AA4" w:rsidRPr="00BF51BB">
        <w:rPr>
          <w:rFonts w:ascii="Arial" w:hAnsi="Arial" w:cs="Arial"/>
          <w:lang w:val="hr-HR"/>
        </w:rPr>
        <w:t>2</w:t>
      </w:r>
      <w:r w:rsidR="00F931BF" w:rsidRPr="00BF51BB">
        <w:rPr>
          <w:rFonts w:ascii="Arial" w:hAnsi="Arial" w:cs="Arial"/>
          <w:lang w:val="hr-HR"/>
        </w:rPr>
        <w:t>.</w:t>
      </w:r>
      <w:r w:rsidR="00B05AA4" w:rsidRPr="00BF51BB">
        <w:rPr>
          <w:rFonts w:ascii="Arial" w:hAnsi="Arial" w:cs="Arial"/>
          <w:lang w:val="hr-HR"/>
        </w:rPr>
        <w:t>889,75</w:t>
      </w:r>
      <w:r w:rsidR="00492159" w:rsidRPr="00BF51BB">
        <w:rPr>
          <w:rFonts w:ascii="Arial" w:hAnsi="Arial" w:cs="Arial"/>
          <w:lang w:val="hr-HR"/>
        </w:rPr>
        <w:t xml:space="preserve"> </w:t>
      </w:r>
      <w:r w:rsidR="00E72547" w:rsidRPr="00BF51BB">
        <w:rPr>
          <w:rFonts w:ascii="Arial" w:hAnsi="Arial" w:cs="Arial"/>
          <w:lang w:val="hr-HR"/>
        </w:rPr>
        <w:t>mil.</w:t>
      </w:r>
      <w:r w:rsidR="00D945EA" w:rsidRPr="00BF51BB">
        <w:rPr>
          <w:rFonts w:ascii="Arial" w:hAnsi="Arial" w:cs="Arial"/>
          <w:lang w:val="hr-HR"/>
        </w:rPr>
        <w:t xml:space="preserve"> </w:t>
      </w:r>
      <w:r w:rsidR="00E72547" w:rsidRPr="00BF51BB">
        <w:rPr>
          <w:rFonts w:ascii="Arial" w:hAnsi="Arial" w:cs="Arial"/>
          <w:lang w:val="hr-HR"/>
        </w:rPr>
        <w:t>USD</w:t>
      </w:r>
      <w:r w:rsidRPr="00BF51BB">
        <w:rPr>
          <w:rStyle w:val="FootnoteReference"/>
          <w:rFonts w:ascii="Arial" w:hAnsi="Arial" w:cs="Arial"/>
          <w:lang w:val="hr-HR"/>
        </w:rPr>
        <w:footnoteReference w:id="13"/>
      </w:r>
      <w:r w:rsidRPr="00BF51BB">
        <w:rPr>
          <w:rFonts w:ascii="Arial" w:hAnsi="Arial" w:cs="Arial"/>
          <w:lang w:val="hr-HR"/>
        </w:rPr>
        <w:t xml:space="preserve">). Uzimajući u obzir </w:t>
      </w:r>
      <w:r w:rsidR="001B0367" w:rsidRPr="00BF51BB">
        <w:rPr>
          <w:rFonts w:ascii="Arial" w:hAnsi="Arial" w:cs="Arial"/>
          <w:lang w:val="hr-HR"/>
        </w:rPr>
        <w:t xml:space="preserve">ciljeve </w:t>
      </w:r>
      <w:r w:rsidR="00D945EA" w:rsidRPr="00BF51BB">
        <w:rPr>
          <w:rFonts w:ascii="Arial" w:hAnsi="Arial" w:cs="Arial"/>
          <w:lang w:val="hr-HR"/>
        </w:rPr>
        <w:t>definirane</w:t>
      </w:r>
      <w:r w:rsidR="001B0367" w:rsidRPr="00BF51BB">
        <w:rPr>
          <w:rFonts w:ascii="Arial" w:hAnsi="Arial" w:cs="Arial"/>
          <w:lang w:val="hr-HR"/>
        </w:rPr>
        <w:t xml:space="preserve"> ovom Strategijom, </w:t>
      </w:r>
      <w:r w:rsidRPr="00BF51BB">
        <w:rPr>
          <w:rFonts w:ascii="Arial" w:hAnsi="Arial" w:cs="Arial"/>
          <w:lang w:val="hr-HR"/>
        </w:rPr>
        <w:t>troškove i rizike ugovaranja zajmova, F</w:t>
      </w:r>
      <w:r w:rsidR="00C74941" w:rsidRPr="00BF51BB">
        <w:rPr>
          <w:rFonts w:ascii="Arial" w:hAnsi="Arial" w:cs="Arial"/>
          <w:lang w:val="hr-HR"/>
        </w:rPr>
        <w:t xml:space="preserve">ederacija </w:t>
      </w:r>
      <w:r w:rsidRPr="00BF51BB">
        <w:rPr>
          <w:rFonts w:ascii="Arial" w:hAnsi="Arial" w:cs="Arial"/>
          <w:lang w:val="hr-HR"/>
        </w:rPr>
        <w:t xml:space="preserve">BiH će nastaviti sa politikom </w:t>
      </w:r>
      <w:r w:rsidR="00B73EA8" w:rsidRPr="00BF51BB">
        <w:rPr>
          <w:rFonts w:ascii="Arial" w:hAnsi="Arial" w:cs="Arial"/>
          <w:lang w:val="hr-HR"/>
        </w:rPr>
        <w:t xml:space="preserve">maksimiziranja </w:t>
      </w:r>
      <w:r w:rsidRPr="00BF51BB">
        <w:rPr>
          <w:rFonts w:ascii="Arial" w:hAnsi="Arial" w:cs="Arial"/>
          <w:lang w:val="hr-HR"/>
        </w:rPr>
        <w:t xml:space="preserve">zaduživanja kod multilateralnih </w:t>
      </w:r>
      <w:r w:rsidR="001B0367" w:rsidRPr="00BF51BB">
        <w:rPr>
          <w:rFonts w:ascii="Arial" w:hAnsi="Arial" w:cs="Arial"/>
          <w:lang w:val="hr-HR"/>
        </w:rPr>
        <w:t xml:space="preserve">finansijskih </w:t>
      </w:r>
      <w:r w:rsidRPr="00BF51BB">
        <w:rPr>
          <w:rFonts w:ascii="Arial" w:hAnsi="Arial" w:cs="Arial"/>
          <w:lang w:val="hr-HR"/>
        </w:rPr>
        <w:t xml:space="preserve">institucija, a procjene ukazuju da bi se </w:t>
      </w:r>
      <w:r w:rsidR="00314132" w:rsidRPr="00BF51BB">
        <w:rPr>
          <w:rFonts w:ascii="Arial" w:hAnsi="Arial" w:cs="Arial"/>
          <w:lang w:val="hr-HR"/>
        </w:rPr>
        <w:t xml:space="preserve">približno </w:t>
      </w:r>
      <w:r w:rsidR="00347DA9" w:rsidRPr="00BF51BB">
        <w:rPr>
          <w:rFonts w:ascii="Arial" w:hAnsi="Arial" w:cs="Arial"/>
          <w:lang w:val="hr-HR"/>
        </w:rPr>
        <w:t>90</w:t>
      </w:r>
      <w:r w:rsidR="00F931BF" w:rsidRPr="00BF51BB">
        <w:rPr>
          <w:rFonts w:ascii="Arial" w:hAnsi="Arial" w:cs="Arial"/>
          <w:lang w:val="hr-HR"/>
        </w:rPr>
        <w:t>,</w:t>
      </w:r>
      <w:r w:rsidR="00347DA9" w:rsidRPr="00BF51BB">
        <w:rPr>
          <w:rFonts w:ascii="Arial" w:hAnsi="Arial" w:cs="Arial"/>
          <w:lang w:val="hr-HR"/>
        </w:rPr>
        <w:t>5</w:t>
      </w:r>
      <w:r w:rsidRPr="00BF51BB">
        <w:rPr>
          <w:rFonts w:ascii="Arial" w:hAnsi="Arial" w:cs="Arial"/>
          <w:lang w:val="hr-HR"/>
        </w:rPr>
        <w:t xml:space="preserve">% </w:t>
      </w:r>
      <w:r w:rsidR="00B73EA8" w:rsidRPr="00BF51BB">
        <w:rPr>
          <w:rFonts w:ascii="Arial" w:hAnsi="Arial" w:cs="Arial"/>
          <w:lang w:val="hr-HR"/>
        </w:rPr>
        <w:t xml:space="preserve">planiranih </w:t>
      </w:r>
      <w:r w:rsidRPr="00BF51BB">
        <w:rPr>
          <w:rFonts w:ascii="Arial" w:hAnsi="Arial" w:cs="Arial"/>
          <w:lang w:val="hr-HR"/>
        </w:rPr>
        <w:t xml:space="preserve">potreba moglo zadovoljiti finansiranjem iz </w:t>
      </w:r>
      <w:r w:rsidR="00B73EA8" w:rsidRPr="00BF51BB">
        <w:rPr>
          <w:rFonts w:ascii="Arial" w:hAnsi="Arial" w:cs="Arial"/>
          <w:lang w:val="hr-HR"/>
        </w:rPr>
        <w:t>ovih</w:t>
      </w:r>
      <w:r w:rsidRPr="00BF51BB">
        <w:rPr>
          <w:rFonts w:ascii="Arial" w:hAnsi="Arial" w:cs="Arial"/>
          <w:lang w:val="hr-HR"/>
        </w:rPr>
        <w:t xml:space="preserve"> izvora.</w:t>
      </w:r>
      <w:r w:rsidR="00327E88" w:rsidRPr="00BF51BB">
        <w:rPr>
          <w:rFonts w:ascii="Arial" w:hAnsi="Arial" w:cs="Arial"/>
          <w:lang w:val="hr-HR"/>
        </w:rPr>
        <w:t xml:space="preserve"> </w:t>
      </w:r>
    </w:p>
    <w:p w14:paraId="0FA13D2E" w14:textId="77777777" w:rsidR="00CC15D4" w:rsidRDefault="00CC15D4">
      <w:pPr>
        <w:rPr>
          <w:rFonts w:ascii="Arial" w:hAnsi="Arial" w:cs="Arial"/>
          <w:szCs w:val="24"/>
        </w:rPr>
      </w:pPr>
      <w:r>
        <w:rPr>
          <w:rFonts w:ascii="Arial" w:hAnsi="Arial" w:cs="Arial"/>
          <w:szCs w:val="24"/>
        </w:rPr>
        <w:br w:type="page"/>
      </w:r>
    </w:p>
    <w:p w14:paraId="191BF7FC" w14:textId="5A4EDC3C" w:rsidR="00ED69B6" w:rsidRPr="00CC15D4" w:rsidRDefault="00ED768D" w:rsidP="00ED768D">
      <w:pPr>
        <w:pStyle w:val="NoSpacing"/>
        <w:rPr>
          <w:rFonts w:ascii="Arial" w:hAnsi="Arial" w:cs="Arial"/>
          <w:szCs w:val="24"/>
          <w:lang w:val="hr-HR"/>
        </w:rPr>
      </w:pPr>
      <w:r w:rsidRPr="00BF51BB">
        <w:rPr>
          <w:rFonts w:ascii="Arial" w:hAnsi="Arial" w:cs="Arial"/>
          <w:szCs w:val="24"/>
          <w:lang w:val="hr-HR"/>
        </w:rPr>
        <w:lastRenderedPageBreak/>
        <w:t xml:space="preserve">Tabela </w:t>
      </w:r>
      <w:r w:rsidR="005A0B60" w:rsidRPr="00BF51BB">
        <w:rPr>
          <w:rFonts w:ascii="Arial" w:hAnsi="Arial" w:cs="Arial"/>
          <w:szCs w:val="24"/>
          <w:lang w:val="hr-HR"/>
        </w:rPr>
        <w:t>8</w:t>
      </w:r>
      <w:r w:rsidRPr="00BF51BB">
        <w:rPr>
          <w:rFonts w:ascii="Arial" w:hAnsi="Arial" w:cs="Arial"/>
          <w:szCs w:val="24"/>
          <w:lang w:val="hr-HR"/>
        </w:rPr>
        <w:t>: Pregled</w:t>
      </w:r>
      <w:r w:rsidR="00E817A7" w:rsidRPr="00BF51BB">
        <w:rPr>
          <w:rFonts w:ascii="Arial" w:hAnsi="Arial" w:cs="Arial"/>
          <w:szCs w:val="24"/>
          <w:lang w:val="hr-HR"/>
        </w:rPr>
        <w:t xml:space="preserve"> </w:t>
      </w:r>
      <w:r w:rsidR="00347DA9" w:rsidRPr="00BF51BB">
        <w:rPr>
          <w:rFonts w:ascii="Arial" w:hAnsi="Arial" w:cs="Arial"/>
          <w:szCs w:val="24"/>
          <w:lang w:val="hr-HR"/>
        </w:rPr>
        <w:t xml:space="preserve">ugovorenih i planiranih </w:t>
      </w:r>
      <w:r w:rsidR="00C74941" w:rsidRPr="00BF51BB">
        <w:rPr>
          <w:rFonts w:ascii="Arial" w:hAnsi="Arial" w:cs="Arial"/>
          <w:szCs w:val="24"/>
          <w:lang w:val="hr-HR"/>
        </w:rPr>
        <w:t>vanjskih izvora</w:t>
      </w:r>
      <w:r w:rsidR="00347DA9" w:rsidRPr="00BF51BB">
        <w:rPr>
          <w:rFonts w:ascii="Arial" w:hAnsi="Arial" w:cs="Arial"/>
          <w:szCs w:val="24"/>
          <w:lang w:val="hr-HR"/>
        </w:rPr>
        <w:t xml:space="preserve"> finansiranja</w:t>
      </w:r>
      <w:r w:rsidR="00C74941" w:rsidRPr="00BF51BB">
        <w:rPr>
          <w:rFonts w:ascii="Arial" w:hAnsi="Arial" w:cs="Arial"/>
          <w:szCs w:val="24"/>
          <w:lang w:val="hr-HR"/>
        </w:rPr>
        <w:t xml:space="preserve"> </w:t>
      </w:r>
      <w:r w:rsidR="00F4747C" w:rsidRPr="00BF51BB">
        <w:rPr>
          <w:rFonts w:ascii="Arial" w:hAnsi="Arial" w:cs="Arial"/>
          <w:szCs w:val="24"/>
          <w:lang w:val="hr-HR"/>
        </w:rPr>
        <w:t xml:space="preserve">u periodu </w:t>
      </w:r>
      <w:r w:rsidR="0050400E" w:rsidRPr="00BF51BB">
        <w:rPr>
          <w:rFonts w:ascii="Arial" w:hAnsi="Arial" w:cs="Arial"/>
          <w:szCs w:val="24"/>
          <w:lang w:val="hr-HR"/>
        </w:rPr>
        <w:t xml:space="preserve">2022 </w:t>
      </w:r>
      <w:r w:rsidR="006B072E" w:rsidRPr="00BF51BB">
        <w:rPr>
          <w:rFonts w:ascii="Arial" w:hAnsi="Arial" w:cs="Arial"/>
          <w:szCs w:val="24"/>
          <w:lang w:val="hr-HR"/>
        </w:rPr>
        <w:t xml:space="preserve">– </w:t>
      </w:r>
      <w:r w:rsidR="0050400E" w:rsidRPr="00BF51BB">
        <w:rPr>
          <w:rFonts w:ascii="Arial" w:hAnsi="Arial" w:cs="Arial"/>
          <w:szCs w:val="24"/>
          <w:lang w:val="hr-HR"/>
        </w:rPr>
        <w:t>2024</w:t>
      </w:r>
      <w:r w:rsidR="00F4747C" w:rsidRPr="00BF51BB">
        <w:rPr>
          <w:rFonts w:ascii="Arial" w:hAnsi="Arial" w:cs="Arial"/>
          <w:szCs w:val="24"/>
          <w:lang w:val="hr-HR"/>
        </w:rPr>
        <w:t>. godina</w:t>
      </w:r>
      <w:r w:rsidR="00CC15D4">
        <w:rPr>
          <w:rFonts w:ascii="Arial" w:hAnsi="Arial" w:cs="Arial"/>
          <w:szCs w:val="24"/>
          <w:lang w:val="hr-HR"/>
        </w:rPr>
        <w:t xml:space="preserve"> </w:t>
      </w:r>
    </w:p>
    <w:tbl>
      <w:tblPr>
        <w:tblW w:w="5000" w:type="pct"/>
        <w:tblLook w:val="04A0" w:firstRow="1" w:lastRow="0" w:firstColumn="1" w:lastColumn="0" w:noHBand="0" w:noVBand="1"/>
      </w:tblPr>
      <w:tblGrid>
        <w:gridCol w:w="1323"/>
        <w:gridCol w:w="1230"/>
        <w:gridCol w:w="894"/>
        <w:gridCol w:w="894"/>
        <w:gridCol w:w="894"/>
        <w:gridCol w:w="1380"/>
        <w:gridCol w:w="927"/>
        <w:gridCol w:w="1771"/>
      </w:tblGrid>
      <w:tr w:rsidR="00ED69B6" w:rsidRPr="00BF51BB" w14:paraId="17C913C5" w14:textId="77777777" w:rsidTr="00BF51BB">
        <w:trPr>
          <w:trHeight w:val="345"/>
        </w:trPr>
        <w:tc>
          <w:tcPr>
            <w:tcW w:w="713" w:type="pct"/>
            <w:vMerge w:val="restart"/>
            <w:tcBorders>
              <w:top w:val="single" w:sz="8" w:space="0" w:color="4F81BD"/>
              <w:left w:val="single" w:sz="8" w:space="0" w:color="4F81BD"/>
              <w:bottom w:val="single" w:sz="8" w:space="0" w:color="4F81BD"/>
              <w:right w:val="single" w:sz="8" w:space="0" w:color="0070C0"/>
            </w:tcBorders>
            <w:shd w:val="clear" w:color="auto" w:fill="auto"/>
            <w:vAlign w:val="center"/>
            <w:hideMark/>
          </w:tcPr>
          <w:p w14:paraId="0DDB61F2" w14:textId="77777777" w:rsidR="00ED69B6" w:rsidRPr="00BF51BB" w:rsidRDefault="00ED69B6" w:rsidP="00ED69B6">
            <w:pPr>
              <w:spacing w:after="0" w:line="240" w:lineRule="auto"/>
              <w:jc w:val="center"/>
              <w:rPr>
                <w:rFonts w:ascii="Arial" w:eastAsia="Times New Roman" w:hAnsi="Arial" w:cs="Arial"/>
                <w:bCs/>
                <w:sz w:val="16"/>
                <w:szCs w:val="16"/>
              </w:rPr>
            </w:pPr>
            <w:r w:rsidRPr="00BF51BB">
              <w:rPr>
                <w:rFonts w:ascii="Arial" w:eastAsia="Times New Roman" w:hAnsi="Arial" w:cs="Arial"/>
                <w:bCs/>
                <w:sz w:val="16"/>
                <w:szCs w:val="16"/>
              </w:rPr>
              <w:t>Kreditor</w:t>
            </w:r>
          </w:p>
        </w:tc>
        <w:tc>
          <w:tcPr>
            <w:tcW w:w="663"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344931C5" w14:textId="77777777" w:rsidR="00ED69B6" w:rsidRPr="00BF51BB" w:rsidRDefault="00ED69B6" w:rsidP="00ED69B6">
            <w:pPr>
              <w:spacing w:after="0" w:line="240" w:lineRule="auto"/>
              <w:jc w:val="center"/>
              <w:rPr>
                <w:rFonts w:ascii="Arial" w:eastAsia="Times New Roman" w:hAnsi="Arial" w:cs="Arial"/>
                <w:bCs/>
                <w:sz w:val="16"/>
                <w:szCs w:val="16"/>
              </w:rPr>
            </w:pPr>
            <w:r w:rsidRPr="00BF51BB">
              <w:rPr>
                <w:rFonts w:ascii="Arial" w:eastAsia="Times New Roman" w:hAnsi="Arial" w:cs="Arial"/>
                <w:bCs/>
                <w:sz w:val="16"/>
                <w:szCs w:val="16"/>
              </w:rPr>
              <w:t>Kamatna stopa</w:t>
            </w:r>
          </w:p>
        </w:tc>
        <w:tc>
          <w:tcPr>
            <w:tcW w:w="482" w:type="pct"/>
            <w:tcBorders>
              <w:top w:val="single" w:sz="8" w:space="0" w:color="4F81BD"/>
              <w:left w:val="nil"/>
              <w:bottom w:val="single" w:sz="8" w:space="0" w:color="0070C0"/>
              <w:right w:val="single" w:sz="8" w:space="0" w:color="0070C0"/>
            </w:tcBorders>
            <w:shd w:val="clear" w:color="auto" w:fill="auto"/>
            <w:vAlign w:val="center"/>
            <w:hideMark/>
          </w:tcPr>
          <w:p w14:paraId="77071686" w14:textId="77777777" w:rsidR="00ED69B6" w:rsidRPr="00BF51BB" w:rsidRDefault="00ED69B6" w:rsidP="00ED69B6">
            <w:pPr>
              <w:spacing w:after="0" w:line="240" w:lineRule="auto"/>
              <w:jc w:val="center"/>
              <w:rPr>
                <w:rFonts w:ascii="Arial" w:eastAsia="Times New Roman" w:hAnsi="Arial" w:cs="Arial"/>
                <w:bCs/>
                <w:sz w:val="16"/>
                <w:szCs w:val="16"/>
              </w:rPr>
            </w:pPr>
            <w:r w:rsidRPr="00BF51BB">
              <w:rPr>
                <w:rFonts w:ascii="Arial" w:eastAsia="Times New Roman" w:hAnsi="Arial" w:cs="Arial"/>
                <w:bCs/>
                <w:sz w:val="16"/>
                <w:szCs w:val="16"/>
              </w:rPr>
              <w:t>Grace</w:t>
            </w:r>
          </w:p>
        </w:tc>
        <w:tc>
          <w:tcPr>
            <w:tcW w:w="482"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65F80937" w14:textId="77777777" w:rsidR="00ED69B6" w:rsidRPr="00BF51BB" w:rsidRDefault="00ED69B6" w:rsidP="00ED69B6">
            <w:pPr>
              <w:spacing w:after="0" w:line="240" w:lineRule="auto"/>
              <w:jc w:val="center"/>
              <w:rPr>
                <w:rFonts w:ascii="Arial" w:eastAsia="Times New Roman" w:hAnsi="Arial" w:cs="Arial"/>
                <w:bCs/>
                <w:sz w:val="16"/>
                <w:szCs w:val="16"/>
              </w:rPr>
            </w:pPr>
            <w:r w:rsidRPr="00BF51BB">
              <w:rPr>
                <w:rFonts w:ascii="Arial" w:eastAsia="Times New Roman" w:hAnsi="Arial" w:cs="Arial"/>
                <w:bCs/>
                <w:sz w:val="16"/>
                <w:szCs w:val="16"/>
              </w:rPr>
              <w:t>Rok otplate</w:t>
            </w:r>
          </w:p>
        </w:tc>
        <w:tc>
          <w:tcPr>
            <w:tcW w:w="482"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77866A9A" w14:textId="77777777" w:rsidR="00ED69B6" w:rsidRPr="00BF51BB" w:rsidRDefault="00ED69B6" w:rsidP="00ED69B6">
            <w:pPr>
              <w:spacing w:after="0" w:line="240" w:lineRule="auto"/>
              <w:jc w:val="center"/>
              <w:rPr>
                <w:rFonts w:ascii="Arial" w:eastAsia="Times New Roman" w:hAnsi="Arial" w:cs="Arial"/>
                <w:bCs/>
                <w:sz w:val="16"/>
                <w:szCs w:val="16"/>
              </w:rPr>
            </w:pPr>
            <w:r w:rsidRPr="00BF51BB">
              <w:rPr>
                <w:rFonts w:ascii="Arial" w:eastAsia="Times New Roman" w:hAnsi="Arial" w:cs="Arial"/>
                <w:bCs/>
                <w:sz w:val="16"/>
                <w:szCs w:val="16"/>
              </w:rPr>
              <w:t>Valuta</w:t>
            </w:r>
          </w:p>
        </w:tc>
        <w:tc>
          <w:tcPr>
            <w:tcW w:w="743" w:type="pct"/>
            <w:vMerge w:val="restart"/>
            <w:tcBorders>
              <w:top w:val="single" w:sz="8" w:space="0" w:color="4F81BD"/>
              <w:left w:val="nil"/>
              <w:bottom w:val="single" w:sz="8" w:space="0" w:color="4F81BD"/>
              <w:right w:val="single" w:sz="8" w:space="0" w:color="0070C0"/>
            </w:tcBorders>
            <w:shd w:val="clear" w:color="auto" w:fill="auto"/>
            <w:vAlign w:val="center"/>
            <w:hideMark/>
          </w:tcPr>
          <w:p w14:paraId="7AB49E29" w14:textId="77777777" w:rsidR="00ED69B6" w:rsidRPr="00BF51BB" w:rsidRDefault="00ED69B6" w:rsidP="00ED69B6">
            <w:pPr>
              <w:spacing w:after="0" w:line="240" w:lineRule="auto"/>
              <w:jc w:val="center"/>
              <w:rPr>
                <w:rFonts w:ascii="Arial" w:eastAsia="Times New Roman" w:hAnsi="Arial" w:cs="Arial"/>
                <w:bCs/>
                <w:sz w:val="16"/>
                <w:szCs w:val="16"/>
              </w:rPr>
            </w:pPr>
            <w:r w:rsidRPr="00BF51BB">
              <w:rPr>
                <w:rFonts w:ascii="Arial" w:eastAsia="Times New Roman" w:hAnsi="Arial" w:cs="Arial"/>
                <w:bCs/>
                <w:sz w:val="16"/>
                <w:szCs w:val="16"/>
              </w:rPr>
              <w:t>Finansiranje mil. USD</w:t>
            </w:r>
          </w:p>
        </w:tc>
        <w:tc>
          <w:tcPr>
            <w:tcW w:w="482"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7E2493C9" w14:textId="77777777" w:rsidR="00ED69B6" w:rsidRPr="00BF51BB" w:rsidRDefault="00ED69B6" w:rsidP="00ED69B6">
            <w:pPr>
              <w:spacing w:after="0" w:line="240" w:lineRule="auto"/>
              <w:jc w:val="center"/>
              <w:rPr>
                <w:rFonts w:ascii="Arial" w:eastAsia="Times New Roman" w:hAnsi="Arial" w:cs="Arial"/>
                <w:bCs/>
                <w:sz w:val="16"/>
                <w:szCs w:val="16"/>
              </w:rPr>
            </w:pPr>
            <w:r w:rsidRPr="00BF51BB">
              <w:rPr>
                <w:rFonts w:ascii="Arial" w:eastAsia="Times New Roman" w:hAnsi="Arial" w:cs="Arial"/>
                <w:bCs/>
                <w:sz w:val="16"/>
                <w:szCs w:val="16"/>
              </w:rPr>
              <w:t>%</w:t>
            </w:r>
          </w:p>
        </w:tc>
        <w:tc>
          <w:tcPr>
            <w:tcW w:w="954" w:type="pct"/>
            <w:vMerge w:val="restart"/>
            <w:tcBorders>
              <w:top w:val="single" w:sz="8" w:space="0" w:color="4F81BD"/>
              <w:left w:val="nil"/>
              <w:bottom w:val="single" w:sz="8" w:space="0" w:color="4F81BD"/>
              <w:right w:val="single" w:sz="8" w:space="0" w:color="4F81BD"/>
            </w:tcBorders>
            <w:shd w:val="clear" w:color="auto" w:fill="auto"/>
            <w:vAlign w:val="center"/>
            <w:hideMark/>
          </w:tcPr>
          <w:p w14:paraId="5C4680D3" w14:textId="77777777" w:rsidR="00ED69B6" w:rsidRPr="00BF51BB" w:rsidRDefault="00ED69B6" w:rsidP="00ED69B6">
            <w:pPr>
              <w:spacing w:after="0" w:line="240" w:lineRule="auto"/>
              <w:jc w:val="center"/>
              <w:rPr>
                <w:rFonts w:ascii="Arial" w:eastAsia="Times New Roman" w:hAnsi="Arial" w:cs="Arial"/>
                <w:bCs/>
                <w:sz w:val="16"/>
                <w:szCs w:val="16"/>
              </w:rPr>
            </w:pPr>
            <w:r w:rsidRPr="00BF51BB">
              <w:rPr>
                <w:rFonts w:ascii="Arial" w:eastAsia="Times New Roman" w:hAnsi="Arial" w:cs="Arial"/>
                <w:bCs/>
                <w:sz w:val="16"/>
                <w:szCs w:val="16"/>
              </w:rPr>
              <w:t>Rizici</w:t>
            </w:r>
          </w:p>
        </w:tc>
      </w:tr>
      <w:tr w:rsidR="00ED69B6" w:rsidRPr="00BF51BB" w14:paraId="3BD3D7BB" w14:textId="77777777" w:rsidTr="00BF51BB">
        <w:trPr>
          <w:trHeight w:val="345"/>
        </w:trPr>
        <w:tc>
          <w:tcPr>
            <w:tcW w:w="713" w:type="pct"/>
            <w:vMerge/>
            <w:tcBorders>
              <w:top w:val="single" w:sz="8" w:space="0" w:color="4F81BD"/>
              <w:left w:val="single" w:sz="8" w:space="0" w:color="4F81BD"/>
              <w:bottom w:val="single" w:sz="8" w:space="0" w:color="4F81BD"/>
              <w:right w:val="single" w:sz="8" w:space="0" w:color="0070C0"/>
            </w:tcBorders>
            <w:vAlign w:val="center"/>
            <w:hideMark/>
          </w:tcPr>
          <w:p w14:paraId="18081C60" w14:textId="77777777" w:rsidR="00ED69B6" w:rsidRPr="00BF51BB" w:rsidRDefault="00ED69B6" w:rsidP="00ED69B6">
            <w:pPr>
              <w:spacing w:after="0" w:line="240" w:lineRule="auto"/>
              <w:rPr>
                <w:rFonts w:ascii="Arial" w:eastAsia="Times New Roman" w:hAnsi="Arial" w:cs="Arial"/>
                <w:b/>
                <w:bCs/>
                <w:sz w:val="16"/>
                <w:szCs w:val="16"/>
              </w:rPr>
            </w:pPr>
          </w:p>
        </w:tc>
        <w:tc>
          <w:tcPr>
            <w:tcW w:w="663" w:type="pct"/>
            <w:vMerge/>
            <w:tcBorders>
              <w:top w:val="single" w:sz="8" w:space="0" w:color="4F81BD"/>
              <w:left w:val="single" w:sz="8" w:space="0" w:color="0070C0"/>
              <w:bottom w:val="single" w:sz="8" w:space="0" w:color="4F81BD"/>
              <w:right w:val="single" w:sz="8" w:space="0" w:color="0070C0"/>
            </w:tcBorders>
            <w:vAlign w:val="center"/>
            <w:hideMark/>
          </w:tcPr>
          <w:p w14:paraId="0A353E02" w14:textId="77777777" w:rsidR="00ED69B6" w:rsidRPr="00BF51BB" w:rsidRDefault="00ED69B6" w:rsidP="00ED69B6">
            <w:pPr>
              <w:spacing w:after="0" w:line="240" w:lineRule="auto"/>
              <w:rPr>
                <w:rFonts w:ascii="Arial" w:eastAsia="Times New Roman" w:hAnsi="Arial" w:cs="Arial"/>
                <w:b/>
                <w:bCs/>
                <w:sz w:val="16"/>
                <w:szCs w:val="16"/>
              </w:rPr>
            </w:pPr>
          </w:p>
        </w:tc>
        <w:tc>
          <w:tcPr>
            <w:tcW w:w="482" w:type="pct"/>
            <w:tcBorders>
              <w:top w:val="nil"/>
              <w:left w:val="nil"/>
              <w:bottom w:val="single" w:sz="8" w:space="0" w:color="4F81BD"/>
              <w:right w:val="single" w:sz="8" w:space="0" w:color="0070C0"/>
            </w:tcBorders>
            <w:shd w:val="clear" w:color="auto" w:fill="auto"/>
            <w:vAlign w:val="center"/>
            <w:hideMark/>
          </w:tcPr>
          <w:p w14:paraId="37988FDE" w14:textId="77777777" w:rsidR="00ED69B6" w:rsidRPr="00BF51BB" w:rsidRDefault="00ED69B6" w:rsidP="00ED69B6">
            <w:pPr>
              <w:spacing w:after="0" w:line="240" w:lineRule="auto"/>
              <w:jc w:val="center"/>
              <w:rPr>
                <w:rFonts w:ascii="Arial" w:eastAsia="Times New Roman" w:hAnsi="Arial" w:cs="Arial"/>
                <w:bCs/>
                <w:sz w:val="16"/>
                <w:szCs w:val="16"/>
              </w:rPr>
            </w:pPr>
            <w:r w:rsidRPr="00BF51BB">
              <w:rPr>
                <w:rFonts w:ascii="Arial" w:eastAsia="Times New Roman" w:hAnsi="Arial" w:cs="Arial"/>
                <w:bCs/>
                <w:sz w:val="16"/>
                <w:szCs w:val="16"/>
              </w:rPr>
              <w:t>period</w:t>
            </w:r>
          </w:p>
        </w:tc>
        <w:tc>
          <w:tcPr>
            <w:tcW w:w="482" w:type="pct"/>
            <w:vMerge/>
            <w:tcBorders>
              <w:top w:val="single" w:sz="8" w:space="0" w:color="4F81BD"/>
              <w:left w:val="single" w:sz="8" w:space="0" w:color="0070C0"/>
              <w:bottom w:val="single" w:sz="8" w:space="0" w:color="4F81BD"/>
              <w:right w:val="single" w:sz="8" w:space="0" w:color="0070C0"/>
            </w:tcBorders>
            <w:vAlign w:val="center"/>
            <w:hideMark/>
          </w:tcPr>
          <w:p w14:paraId="72D419E0" w14:textId="77777777" w:rsidR="00ED69B6" w:rsidRPr="00BF51BB" w:rsidRDefault="00ED69B6" w:rsidP="00ED69B6">
            <w:pPr>
              <w:spacing w:after="0" w:line="240" w:lineRule="auto"/>
              <w:rPr>
                <w:rFonts w:ascii="Arial" w:eastAsia="Times New Roman" w:hAnsi="Arial" w:cs="Arial"/>
                <w:b/>
                <w:bCs/>
                <w:sz w:val="16"/>
                <w:szCs w:val="16"/>
              </w:rPr>
            </w:pPr>
          </w:p>
        </w:tc>
        <w:tc>
          <w:tcPr>
            <w:tcW w:w="482" w:type="pct"/>
            <w:vMerge/>
            <w:tcBorders>
              <w:top w:val="single" w:sz="8" w:space="0" w:color="4F81BD"/>
              <w:left w:val="single" w:sz="8" w:space="0" w:color="0070C0"/>
              <w:bottom w:val="single" w:sz="8" w:space="0" w:color="4F81BD"/>
              <w:right w:val="single" w:sz="8" w:space="0" w:color="0070C0"/>
            </w:tcBorders>
            <w:vAlign w:val="center"/>
            <w:hideMark/>
          </w:tcPr>
          <w:p w14:paraId="4DF1AB99" w14:textId="77777777" w:rsidR="00ED69B6" w:rsidRPr="00BF51BB" w:rsidRDefault="00ED69B6" w:rsidP="00ED69B6">
            <w:pPr>
              <w:spacing w:after="0" w:line="240" w:lineRule="auto"/>
              <w:rPr>
                <w:rFonts w:ascii="Arial" w:eastAsia="Times New Roman" w:hAnsi="Arial" w:cs="Arial"/>
                <w:b/>
                <w:bCs/>
                <w:sz w:val="16"/>
                <w:szCs w:val="16"/>
              </w:rPr>
            </w:pPr>
          </w:p>
        </w:tc>
        <w:tc>
          <w:tcPr>
            <w:tcW w:w="743" w:type="pct"/>
            <w:vMerge/>
            <w:tcBorders>
              <w:top w:val="single" w:sz="8" w:space="0" w:color="4F81BD"/>
              <w:left w:val="nil"/>
              <w:bottom w:val="single" w:sz="8" w:space="0" w:color="4F81BD"/>
              <w:right w:val="single" w:sz="8" w:space="0" w:color="0070C0"/>
            </w:tcBorders>
            <w:vAlign w:val="center"/>
            <w:hideMark/>
          </w:tcPr>
          <w:p w14:paraId="4B50E4EC" w14:textId="77777777" w:rsidR="00ED69B6" w:rsidRPr="00BF51BB" w:rsidRDefault="00ED69B6" w:rsidP="00ED69B6">
            <w:pPr>
              <w:spacing w:after="0" w:line="240" w:lineRule="auto"/>
              <w:rPr>
                <w:rFonts w:ascii="Arial" w:eastAsia="Times New Roman" w:hAnsi="Arial" w:cs="Arial"/>
                <w:b/>
                <w:bCs/>
                <w:sz w:val="16"/>
                <w:szCs w:val="16"/>
              </w:rPr>
            </w:pPr>
          </w:p>
        </w:tc>
        <w:tc>
          <w:tcPr>
            <w:tcW w:w="482" w:type="pct"/>
            <w:vMerge/>
            <w:tcBorders>
              <w:top w:val="single" w:sz="8" w:space="0" w:color="4F81BD"/>
              <w:left w:val="single" w:sz="8" w:space="0" w:color="0070C0"/>
              <w:bottom w:val="single" w:sz="8" w:space="0" w:color="4F81BD"/>
              <w:right w:val="single" w:sz="8" w:space="0" w:color="0070C0"/>
            </w:tcBorders>
            <w:vAlign w:val="center"/>
            <w:hideMark/>
          </w:tcPr>
          <w:p w14:paraId="796B117D" w14:textId="77777777" w:rsidR="00ED69B6" w:rsidRPr="00BF51BB" w:rsidRDefault="00ED69B6" w:rsidP="00ED69B6">
            <w:pPr>
              <w:spacing w:after="0" w:line="240" w:lineRule="auto"/>
              <w:rPr>
                <w:rFonts w:ascii="Arial" w:eastAsia="Times New Roman" w:hAnsi="Arial" w:cs="Arial"/>
                <w:b/>
                <w:bCs/>
                <w:sz w:val="16"/>
                <w:szCs w:val="16"/>
              </w:rPr>
            </w:pPr>
          </w:p>
        </w:tc>
        <w:tc>
          <w:tcPr>
            <w:tcW w:w="954" w:type="pct"/>
            <w:vMerge/>
            <w:tcBorders>
              <w:top w:val="single" w:sz="8" w:space="0" w:color="4F81BD"/>
              <w:left w:val="nil"/>
              <w:bottom w:val="single" w:sz="8" w:space="0" w:color="4F81BD"/>
              <w:right w:val="single" w:sz="8" w:space="0" w:color="4F81BD"/>
            </w:tcBorders>
            <w:vAlign w:val="center"/>
            <w:hideMark/>
          </w:tcPr>
          <w:p w14:paraId="1B8AEDDC" w14:textId="77777777" w:rsidR="00ED69B6" w:rsidRPr="00BF51BB" w:rsidRDefault="00ED69B6" w:rsidP="00ED69B6">
            <w:pPr>
              <w:spacing w:after="0" w:line="240" w:lineRule="auto"/>
              <w:rPr>
                <w:rFonts w:ascii="Arial" w:eastAsia="Times New Roman" w:hAnsi="Arial" w:cs="Arial"/>
                <w:b/>
                <w:bCs/>
                <w:sz w:val="16"/>
                <w:szCs w:val="16"/>
              </w:rPr>
            </w:pPr>
          </w:p>
        </w:tc>
      </w:tr>
      <w:tr w:rsidR="00ED69B6" w:rsidRPr="00BF51BB" w14:paraId="3E2B9460" w14:textId="77777777" w:rsidTr="00BF51BB">
        <w:trPr>
          <w:trHeight w:val="46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4907ED5C"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IBRD</w:t>
            </w:r>
          </w:p>
        </w:tc>
        <w:tc>
          <w:tcPr>
            <w:tcW w:w="663" w:type="pct"/>
            <w:tcBorders>
              <w:top w:val="nil"/>
              <w:left w:val="nil"/>
              <w:bottom w:val="single" w:sz="8" w:space="0" w:color="4F81BD"/>
              <w:right w:val="single" w:sz="8" w:space="0" w:color="4F81BD"/>
            </w:tcBorders>
            <w:shd w:val="clear" w:color="auto" w:fill="auto"/>
            <w:vAlign w:val="center"/>
            <w:hideMark/>
          </w:tcPr>
          <w:p w14:paraId="5029C6C0" w14:textId="77777777" w:rsidR="00ED69B6" w:rsidRPr="00BF51BB" w:rsidRDefault="00ED69B6" w:rsidP="00ED69B6">
            <w:pPr>
              <w:spacing w:after="0" w:line="240" w:lineRule="auto"/>
              <w:jc w:val="center"/>
              <w:rPr>
                <w:rFonts w:ascii="Arial" w:eastAsia="Times New Roman" w:hAnsi="Arial" w:cs="Arial"/>
                <w:color w:val="000000"/>
                <w:sz w:val="17"/>
                <w:szCs w:val="17"/>
              </w:rPr>
            </w:pPr>
            <w:r w:rsidRPr="00BF51BB">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0070C0"/>
            </w:tcBorders>
            <w:shd w:val="clear" w:color="auto" w:fill="auto"/>
            <w:vAlign w:val="center"/>
            <w:hideMark/>
          </w:tcPr>
          <w:p w14:paraId="6DBA95E7"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5-10</w:t>
            </w:r>
          </w:p>
        </w:tc>
        <w:tc>
          <w:tcPr>
            <w:tcW w:w="482" w:type="pct"/>
            <w:tcBorders>
              <w:top w:val="nil"/>
              <w:left w:val="nil"/>
              <w:bottom w:val="single" w:sz="8" w:space="0" w:color="4F81BD"/>
              <w:right w:val="single" w:sz="8" w:space="0" w:color="4F81BD"/>
            </w:tcBorders>
            <w:shd w:val="clear" w:color="auto" w:fill="auto"/>
            <w:vAlign w:val="center"/>
            <w:hideMark/>
          </w:tcPr>
          <w:p w14:paraId="2A15BD2C"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18-30</w:t>
            </w:r>
          </w:p>
        </w:tc>
        <w:tc>
          <w:tcPr>
            <w:tcW w:w="482" w:type="pct"/>
            <w:tcBorders>
              <w:top w:val="nil"/>
              <w:left w:val="nil"/>
              <w:bottom w:val="single" w:sz="8" w:space="0" w:color="4F81BD"/>
              <w:right w:val="single" w:sz="8" w:space="0" w:color="4F81BD"/>
            </w:tcBorders>
            <w:shd w:val="clear" w:color="auto" w:fill="auto"/>
            <w:vAlign w:val="center"/>
            <w:hideMark/>
          </w:tcPr>
          <w:p w14:paraId="1F071D60"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0070C0"/>
            </w:tcBorders>
            <w:shd w:val="clear" w:color="auto" w:fill="auto"/>
            <w:vAlign w:val="center"/>
            <w:hideMark/>
          </w:tcPr>
          <w:p w14:paraId="6EFE9DED"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281,01</w:t>
            </w:r>
          </w:p>
        </w:tc>
        <w:tc>
          <w:tcPr>
            <w:tcW w:w="482" w:type="pct"/>
            <w:tcBorders>
              <w:top w:val="nil"/>
              <w:left w:val="nil"/>
              <w:bottom w:val="single" w:sz="8" w:space="0" w:color="4F81BD"/>
              <w:right w:val="single" w:sz="8" w:space="0" w:color="0070C0"/>
            </w:tcBorders>
            <w:shd w:val="clear" w:color="auto" w:fill="auto"/>
            <w:vAlign w:val="center"/>
            <w:hideMark/>
          </w:tcPr>
          <w:p w14:paraId="38FD73D3"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9,72%</w:t>
            </w:r>
          </w:p>
        </w:tc>
        <w:tc>
          <w:tcPr>
            <w:tcW w:w="954" w:type="pct"/>
            <w:tcBorders>
              <w:top w:val="nil"/>
              <w:left w:val="nil"/>
              <w:bottom w:val="single" w:sz="8" w:space="0" w:color="4F81BD"/>
              <w:right w:val="single" w:sz="8" w:space="0" w:color="4F81BD"/>
            </w:tcBorders>
            <w:shd w:val="clear" w:color="auto" w:fill="auto"/>
            <w:vAlign w:val="center"/>
            <w:hideMark/>
          </w:tcPr>
          <w:p w14:paraId="6E5140B0"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Rizik refiksiranja za varijabilnu</w:t>
            </w:r>
          </w:p>
        </w:tc>
      </w:tr>
      <w:tr w:rsidR="00ED69B6" w:rsidRPr="00BF51BB" w14:paraId="23FA4B36" w14:textId="77777777" w:rsidTr="00BF51BB">
        <w:trPr>
          <w:trHeight w:val="46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28E80B35"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EIB</w:t>
            </w:r>
          </w:p>
        </w:tc>
        <w:tc>
          <w:tcPr>
            <w:tcW w:w="663" w:type="pct"/>
            <w:tcBorders>
              <w:top w:val="nil"/>
              <w:left w:val="nil"/>
              <w:bottom w:val="single" w:sz="8" w:space="0" w:color="4F81BD"/>
              <w:right w:val="single" w:sz="8" w:space="0" w:color="4F81BD"/>
            </w:tcBorders>
            <w:shd w:val="clear" w:color="auto" w:fill="auto"/>
            <w:vAlign w:val="center"/>
            <w:hideMark/>
          </w:tcPr>
          <w:p w14:paraId="6902AC0B" w14:textId="77777777" w:rsidR="00ED69B6" w:rsidRPr="00BF51BB" w:rsidRDefault="00ED69B6" w:rsidP="00ED69B6">
            <w:pPr>
              <w:spacing w:after="0" w:line="240" w:lineRule="auto"/>
              <w:jc w:val="center"/>
              <w:rPr>
                <w:rFonts w:ascii="Arial" w:eastAsia="Times New Roman" w:hAnsi="Arial" w:cs="Arial"/>
                <w:color w:val="000000"/>
                <w:sz w:val="17"/>
                <w:szCs w:val="17"/>
              </w:rPr>
            </w:pPr>
            <w:r w:rsidRPr="00BF51BB">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4F81BD"/>
            </w:tcBorders>
            <w:shd w:val="clear" w:color="auto" w:fill="auto"/>
            <w:vAlign w:val="center"/>
            <w:hideMark/>
          </w:tcPr>
          <w:p w14:paraId="268F2041"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4-5</w:t>
            </w:r>
          </w:p>
        </w:tc>
        <w:tc>
          <w:tcPr>
            <w:tcW w:w="482" w:type="pct"/>
            <w:tcBorders>
              <w:top w:val="nil"/>
              <w:left w:val="nil"/>
              <w:bottom w:val="single" w:sz="8" w:space="0" w:color="4F81BD"/>
              <w:right w:val="single" w:sz="8" w:space="0" w:color="4F81BD"/>
            </w:tcBorders>
            <w:shd w:val="clear" w:color="auto" w:fill="auto"/>
            <w:vAlign w:val="center"/>
            <w:hideMark/>
          </w:tcPr>
          <w:p w14:paraId="5BD5138F"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25</w:t>
            </w:r>
          </w:p>
        </w:tc>
        <w:tc>
          <w:tcPr>
            <w:tcW w:w="482" w:type="pct"/>
            <w:tcBorders>
              <w:top w:val="nil"/>
              <w:left w:val="nil"/>
              <w:bottom w:val="single" w:sz="8" w:space="0" w:color="4F81BD"/>
              <w:right w:val="single" w:sz="8" w:space="0" w:color="4F81BD"/>
            </w:tcBorders>
            <w:shd w:val="clear" w:color="auto" w:fill="auto"/>
            <w:vAlign w:val="center"/>
            <w:hideMark/>
          </w:tcPr>
          <w:p w14:paraId="185C4CC3"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4F81BD"/>
            </w:tcBorders>
            <w:shd w:val="clear" w:color="auto" w:fill="auto"/>
            <w:vAlign w:val="center"/>
            <w:hideMark/>
          </w:tcPr>
          <w:p w14:paraId="27F99953"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1.260,74</w:t>
            </w:r>
          </w:p>
        </w:tc>
        <w:tc>
          <w:tcPr>
            <w:tcW w:w="482" w:type="pct"/>
            <w:tcBorders>
              <w:top w:val="nil"/>
              <w:left w:val="nil"/>
              <w:bottom w:val="single" w:sz="8" w:space="0" w:color="4F81BD"/>
              <w:right w:val="single" w:sz="8" w:space="0" w:color="4F81BD"/>
            </w:tcBorders>
            <w:shd w:val="clear" w:color="auto" w:fill="auto"/>
            <w:vAlign w:val="center"/>
            <w:hideMark/>
          </w:tcPr>
          <w:p w14:paraId="2D7BDFBE"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43,63%</w:t>
            </w:r>
          </w:p>
        </w:tc>
        <w:tc>
          <w:tcPr>
            <w:tcW w:w="954" w:type="pct"/>
            <w:tcBorders>
              <w:top w:val="nil"/>
              <w:left w:val="nil"/>
              <w:bottom w:val="single" w:sz="8" w:space="0" w:color="4F81BD"/>
              <w:right w:val="single" w:sz="8" w:space="0" w:color="4F81BD"/>
            </w:tcBorders>
            <w:shd w:val="clear" w:color="auto" w:fill="auto"/>
            <w:vAlign w:val="center"/>
            <w:hideMark/>
          </w:tcPr>
          <w:p w14:paraId="044346A8"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Rizik refiksiranja za varijabilnu</w:t>
            </w:r>
          </w:p>
        </w:tc>
      </w:tr>
      <w:tr w:rsidR="00ED69B6" w:rsidRPr="00BF51BB" w14:paraId="6742B53B" w14:textId="77777777" w:rsidTr="00BF51BB">
        <w:trPr>
          <w:trHeight w:val="46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54242896"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EBRD</w:t>
            </w:r>
          </w:p>
        </w:tc>
        <w:tc>
          <w:tcPr>
            <w:tcW w:w="663" w:type="pct"/>
            <w:tcBorders>
              <w:top w:val="nil"/>
              <w:left w:val="nil"/>
              <w:bottom w:val="single" w:sz="8" w:space="0" w:color="4F81BD"/>
              <w:right w:val="single" w:sz="8" w:space="0" w:color="4F81BD"/>
            </w:tcBorders>
            <w:shd w:val="clear" w:color="auto" w:fill="auto"/>
            <w:vAlign w:val="center"/>
            <w:hideMark/>
          </w:tcPr>
          <w:p w14:paraId="0A35F7C2" w14:textId="77777777" w:rsidR="00ED69B6" w:rsidRPr="00BF51BB" w:rsidRDefault="00ED69B6" w:rsidP="00ED69B6">
            <w:pPr>
              <w:spacing w:after="0" w:line="240" w:lineRule="auto"/>
              <w:jc w:val="center"/>
              <w:rPr>
                <w:rFonts w:ascii="Arial" w:eastAsia="Times New Roman" w:hAnsi="Arial" w:cs="Arial"/>
                <w:color w:val="000000"/>
                <w:sz w:val="17"/>
                <w:szCs w:val="17"/>
              </w:rPr>
            </w:pPr>
            <w:r w:rsidRPr="00BF51BB">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4F81BD"/>
            </w:tcBorders>
            <w:shd w:val="clear" w:color="auto" w:fill="auto"/>
            <w:vAlign w:val="center"/>
            <w:hideMark/>
          </w:tcPr>
          <w:p w14:paraId="536E8B37"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3-5</w:t>
            </w:r>
          </w:p>
        </w:tc>
        <w:tc>
          <w:tcPr>
            <w:tcW w:w="482" w:type="pct"/>
            <w:tcBorders>
              <w:top w:val="nil"/>
              <w:left w:val="nil"/>
              <w:bottom w:val="single" w:sz="8" w:space="0" w:color="4F81BD"/>
              <w:right w:val="single" w:sz="8" w:space="0" w:color="4F81BD"/>
            </w:tcBorders>
            <w:shd w:val="clear" w:color="auto" w:fill="auto"/>
            <w:vAlign w:val="center"/>
            <w:hideMark/>
          </w:tcPr>
          <w:p w14:paraId="52DFB098"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12-15</w:t>
            </w:r>
          </w:p>
        </w:tc>
        <w:tc>
          <w:tcPr>
            <w:tcW w:w="482" w:type="pct"/>
            <w:tcBorders>
              <w:top w:val="nil"/>
              <w:left w:val="nil"/>
              <w:bottom w:val="single" w:sz="8" w:space="0" w:color="4F81BD"/>
              <w:right w:val="single" w:sz="8" w:space="0" w:color="4F81BD"/>
            </w:tcBorders>
            <w:shd w:val="clear" w:color="auto" w:fill="auto"/>
            <w:vAlign w:val="center"/>
            <w:hideMark/>
          </w:tcPr>
          <w:p w14:paraId="6A869B78"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4F81BD"/>
            </w:tcBorders>
            <w:shd w:val="clear" w:color="auto" w:fill="auto"/>
            <w:vAlign w:val="center"/>
            <w:hideMark/>
          </w:tcPr>
          <w:p w14:paraId="49074C25"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978,26</w:t>
            </w:r>
          </w:p>
        </w:tc>
        <w:tc>
          <w:tcPr>
            <w:tcW w:w="482" w:type="pct"/>
            <w:tcBorders>
              <w:top w:val="nil"/>
              <w:left w:val="nil"/>
              <w:bottom w:val="single" w:sz="8" w:space="0" w:color="4F81BD"/>
              <w:right w:val="single" w:sz="8" w:space="0" w:color="4F81BD"/>
            </w:tcBorders>
            <w:shd w:val="clear" w:color="auto" w:fill="auto"/>
            <w:vAlign w:val="center"/>
            <w:hideMark/>
          </w:tcPr>
          <w:p w14:paraId="38010374"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33,85%</w:t>
            </w:r>
          </w:p>
        </w:tc>
        <w:tc>
          <w:tcPr>
            <w:tcW w:w="954" w:type="pct"/>
            <w:tcBorders>
              <w:top w:val="nil"/>
              <w:left w:val="nil"/>
              <w:bottom w:val="single" w:sz="8" w:space="0" w:color="4F81BD"/>
              <w:right w:val="single" w:sz="8" w:space="0" w:color="4F81BD"/>
            </w:tcBorders>
            <w:shd w:val="clear" w:color="auto" w:fill="auto"/>
            <w:vAlign w:val="center"/>
            <w:hideMark/>
          </w:tcPr>
          <w:p w14:paraId="19EE5515"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Rizik refiksiranja za varijabilnu</w:t>
            </w:r>
          </w:p>
        </w:tc>
      </w:tr>
      <w:tr w:rsidR="00ED69B6" w:rsidRPr="00BF51BB" w14:paraId="2562EAEC" w14:textId="77777777" w:rsidTr="00BF51BB">
        <w:trPr>
          <w:trHeight w:val="31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052F97E4"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Kuvajtski fond</w:t>
            </w:r>
          </w:p>
        </w:tc>
        <w:tc>
          <w:tcPr>
            <w:tcW w:w="663" w:type="pct"/>
            <w:tcBorders>
              <w:top w:val="nil"/>
              <w:left w:val="nil"/>
              <w:bottom w:val="single" w:sz="8" w:space="0" w:color="4F81BD"/>
              <w:right w:val="single" w:sz="8" w:space="0" w:color="4F81BD"/>
            </w:tcBorders>
            <w:shd w:val="clear" w:color="auto" w:fill="auto"/>
            <w:vAlign w:val="center"/>
            <w:hideMark/>
          </w:tcPr>
          <w:p w14:paraId="0DE2B82F" w14:textId="77777777" w:rsidR="00ED69B6" w:rsidRPr="00BF51BB" w:rsidRDefault="00ED69B6" w:rsidP="00ED69B6">
            <w:pPr>
              <w:spacing w:after="0" w:line="240" w:lineRule="auto"/>
              <w:jc w:val="center"/>
              <w:rPr>
                <w:rFonts w:ascii="Arial" w:eastAsia="Times New Roman" w:hAnsi="Arial" w:cs="Arial"/>
                <w:color w:val="000000"/>
                <w:sz w:val="17"/>
                <w:szCs w:val="17"/>
              </w:rPr>
            </w:pPr>
            <w:r w:rsidRPr="00BF51BB">
              <w:rPr>
                <w:rFonts w:ascii="Arial" w:eastAsia="Times New Roman" w:hAnsi="Arial" w:cs="Arial"/>
                <w:color w:val="000000"/>
                <w:sz w:val="17"/>
                <w:szCs w:val="17"/>
              </w:rPr>
              <w:t>Fiksna</w:t>
            </w:r>
          </w:p>
        </w:tc>
        <w:tc>
          <w:tcPr>
            <w:tcW w:w="482" w:type="pct"/>
            <w:tcBorders>
              <w:top w:val="nil"/>
              <w:left w:val="nil"/>
              <w:bottom w:val="single" w:sz="8" w:space="0" w:color="4F81BD"/>
              <w:right w:val="single" w:sz="8" w:space="0" w:color="4F81BD"/>
            </w:tcBorders>
            <w:shd w:val="clear" w:color="auto" w:fill="auto"/>
            <w:vAlign w:val="center"/>
            <w:hideMark/>
          </w:tcPr>
          <w:p w14:paraId="4DC098F2"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5</w:t>
            </w:r>
          </w:p>
        </w:tc>
        <w:tc>
          <w:tcPr>
            <w:tcW w:w="482" w:type="pct"/>
            <w:tcBorders>
              <w:top w:val="nil"/>
              <w:left w:val="nil"/>
              <w:bottom w:val="single" w:sz="8" w:space="0" w:color="4F81BD"/>
              <w:right w:val="single" w:sz="8" w:space="0" w:color="4F81BD"/>
            </w:tcBorders>
            <w:shd w:val="clear" w:color="auto" w:fill="auto"/>
            <w:vAlign w:val="center"/>
            <w:hideMark/>
          </w:tcPr>
          <w:p w14:paraId="70B86CC1"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25</w:t>
            </w:r>
          </w:p>
        </w:tc>
        <w:tc>
          <w:tcPr>
            <w:tcW w:w="482" w:type="pct"/>
            <w:tcBorders>
              <w:top w:val="nil"/>
              <w:left w:val="nil"/>
              <w:bottom w:val="single" w:sz="8" w:space="0" w:color="4F81BD"/>
              <w:right w:val="single" w:sz="8" w:space="0" w:color="4F81BD"/>
            </w:tcBorders>
            <w:shd w:val="clear" w:color="auto" w:fill="auto"/>
            <w:vAlign w:val="center"/>
            <w:hideMark/>
          </w:tcPr>
          <w:p w14:paraId="6E311714"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KWD</w:t>
            </w:r>
          </w:p>
        </w:tc>
        <w:tc>
          <w:tcPr>
            <w:tcW w:w="743" w:type="pct"/>
            <w:tcBorders>
              <w:top w:val="nil"/>
              <w:left w:val="nil"/>
              <w:bottom w:val="single" w:sz="8" w:space="0" w:color="4F81BD"/>
              <w:right w:val="single" w:sz="8" w:space="0" w:color="4F81BD"/>
            </w:tcBorders>
            <w:shd w:val="clear" w:color="auto" w:fill="auto"/>
            <w:vAlign w:val="center"/>
            <w:hideMark/>
          </w:tcPr>
          <w:p w14:paraId="6C4F5AEA"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62,67</w:t>
            </w:r>
          </w:p>
        </w:tc>
        <w:tc>
          <w:tcPr>
            <w:tcW w:w="482" w:type="pct"/>
            <w:tcBorders>
              <w:top w:val="nil"/>
              <w:left w:val="nil"/>
              <w:bottom w:val="single" w:sz="8" w:space="0" w:color="4F81BD"/>
              <w:right w:val="single" w:sz="8" w:space="0" w:color="4F81BD"/>
            </w:tcBorders>
            <w:shd w:val="clear" w:color="auto" w:fill="auto"/>
            <w:vAlign w:val="center"/>
            <w:hideMark/>
          </w:tcPr>
          <w:p w14:paraId="3B5FBE91"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2,17%</w:t>
            </w:r>
          </w:p>
        </w:tc>
        <w:tc>
          <w:tcPr>
            <w:tcW w:w="954" w:type="pct"/>
            <w:tcBorders>
              <w:top w:val="nil"/>
              <w:left w:val="nil"/>
              <w:bottom w:val="single" w:sz="8" w:space="0" w:color="4F81BD"/>
              <w:right w:val="single" w:sz="8" w:space="0" w:color="4F81BD"/>
            </w:tcBorders>
            <w:shd w:val="clear" w:color="auto" w:fill="auto"/>
            <w:vAlign w:val="center"/>
            <w:hideMark/>
          </w:tcPr>
          <w:p w14:paraId="631E8861"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Valutni rizik</w:t>
            </w:r>
          </w:p>
        </w:tc>
      </w:tr>
      <w:tr w:rsidR="00ED69B6" w:rsidRPr="00BF51BB" w14:paraId="1CB1D37E" w14:textId="77777777" w:rsidTr="00BF51BB">
        <w:trPr>
          <w:trHeight w:val="31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5EDB38F9"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Saudijski fond</w:t>
            </w:r>
          </w:p>
        </w:tc>
        <w:tc>
          <w:tcPr>
            <w:tcW w:w="663" w:type="pct"/>
            <w:tcBorders>
              <w:top w:val="nil"/>
              <w:left w:val="nil"/>
              <w:bottom w:val="single" w:sz="8" w:space="0" w:color="4F81BD"/>
              <w:right w:val="single" w:sz="8" w:space="0" w:color="4F81BD"/>
            </w:tcBorders>
            <w:shd w:val="clear" w:color="auto" w:fill="auto"/>
            <w:vAlign w:val="center"/>
            <w:hideMark/>
          </w:tcPr>
          <w:p w14:paraId="1B258F1D" w14:textId="77777777" w:rsidR="00ED69B6" w:rsidRPr="00BF51BB" w:rsidRDefault="00ED69B6" w:rsidP="00ED69B6">
            <w:pPr>
              <w:spacing w:after="0" w:line="240" w:lineRule="auto"/>
              <w:jc w:val="center"/>
              <w:rPr>
                <w:rFonts w:ascii="Arial" w:eastAsia="Times New Roman" w:hAnsi="Arial" w:cs="Arial"/>
                <w:color w:val="000000"/>
                <w:sz w:val="17"/>
                <w:szCs w:val="17"/>
              </w:rPr>
            </w:pPr>
            <w:r w:rsidRPr="00BF51BB">
              <w:rPr>
                <w:rFonts w:ascii="Arial" w:eastAsia="Times New Roman" w:hAnsi="Arial" w:cs="Arial"/>
                <w:color w:val="000000"/>
                <w:sz w:val="17"/>
                <w:szCs w:val="17"/>
              </w:rPr>
              <w:t>Fiksna</w:t>
            </w:r>
          </w:p>
        </w:tc>
        <w:tc>
          <w:tcPr>
            <w:tcW w:w="482" w:type="pct"/>
            <w:tcBorders>
              <w:top w:val="nil"/>
              <w:left w:val="nil"/>
              <w:bottom w:val="single" w:sz="8" w:space="0" w:color="4F81BD"/>
              <w:right w:val="single" w:sz="8" w:space="0" w:color="4F81BD"/>
            </w:tcBorders>
            <w:shd w:val="clear" w:color="auto" w:fill="auto"/>
            <w:vAlign w:val="center"/>
            <w:hideMark/>
          </w:tcPr>
          <w:p w14:paraId="0AEFF92C"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5</w:t>
            </w:r>
          </w:p>
        </w:tc>
        <w:tc>
          <w:tcPr>
            <w:tcW w:w="482" w:type="pct"/>
            <w:tcBorders>
              <w:top w:val="nil"/>
              <w:left w:val="nil"/>
              <w:bottom w:val="single" w:sz="8" w:space="0" w:color="4F81BD"/>
              <w:right w:val="single" w:sz="8" w:space="0" w:color="4F81BD"/>
            </w:tcBorders>
            <w:shd w:val="clear" w:color="auto" w:fill="auto"/>
            <w:vAlign w:val="center"/>
            <w:hideMark/>
          </w:tcPr>
          <w:p w14:paraId="3336B1DA"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25</w:t>
            </w:r>
          </w:p>
        </w:tc>
        <w:tc>
          <w:tcPr>
            <w:tcW w:w="482" w:type="pct"/>
            <w:tcBorders>
              <w:top w:val="nil"/>
              <w:left w:val="nil"/>
              <w:bottom w:val="single" w:sz="8" w:space="0" w:color="4F81BD"/>
              <w:right w:val="single" w:sz="8" w:space="0" w:color="4F81BD"/>
            </w:tcBorders>
            <w:shd w:val="clear" w:color="auto" w:fill="auto"/>
            <w:vAlign w:val="center"/>
            <w:hideMark/>
          </w:tcPr>
          <w:p w14:paraId="5451B9C2"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SAR</w:t>
            </w:r>
          </w:p>
        </w:tc>
        <w:tc>
          <w:tcPr>
            <w:tcW w:w="743" w:type="pct"/>
            <w:tcBorders>
              <w:top w:val="nil"/>
              <w:left w:val="nil"/>
              <w:bottom w:val="single" w:sz="8" w:space="0" w:color="4F81BD"/>
              <w:right w:val="single" w:sz="8" w:space="0" w:color="4F81BD"/>
            </w:tcBorders>
            <w:shd w:val="clear" w:color="auto" w:fill="auto"/>
            <w:vAlign w:val="center"/>
            <w:hideMark/>
          </w:tcPr>
          <w:p w14:paraId="5E501ED7"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23,45</w:t>
            </w:r>
          </w:p>
        </w:tc>
        <w:tc>
          <w:tcPr>
            <w:tcW w:w="482" w:type="pct"/>
            <w:tcBorders>
              <w:top w:val="nil"/>
              <w:left w:val="nil"/>
              <w:bottom w:val="single" w:sz="8" w:space="0" w:color="4F81BD"/>
              <w:right w:val="single" w:sz="8" w:space="0" w:color="4F81BD"/>
            </w:tcBorders>
            <w:shd w:val="clear" w:color="auto" w:fill="auto"/>
            <w:vAlign w:val="center"/>
            <w:hideMark/>
          </w:tcPr>
          <w:p w14:paraId="42BC165E"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0,81%</w:t>
            </w:r>
          </w:p>
        </w:tc>
        <w:tc>
          <w:tcPr>
            <w:tcW w:w="954" w:type="pct"/>
            <w:tcBorders>
              <w:top w:val="nil"/>
              <w:left w:val="nil"/>
              <w:bottom w:val="single" w:sz="8" w:space="0" w:color="4F81BD"/>
              <w:right w:val="single" w:sz="8" w:space="0" w:color="4F81BD"/>
            </w:tcBorders>
            <w:shd w:val="clear" w:color="auto" w:fill="auto"/>
            <w:vAlign w:val="center"/>
            <w:hideMark/>
          </w:tcPr>
          <w:p w14:paraId="44B2DC14"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Valutni rizik</w:t>
            </w:r>
          </w:p>
        </w:tc>
      </w:tr>
      <w:tr w:rsidR="00ED69B6" w:rsidRPr="00BF51BB" w14:paraId="6D4AB64A" w14:textId="77777777" w:rsidTr="00BF51BB">
        <w:trPr>
          <w:trHeight w:val="31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6D0B55A6"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OPEC fond</w:t>
            </w:r>
          </w:p>
        </w:tc>
        <w:tc>
          <w:tcPr>
            <w:tcW w:w="663" w:type="pct"/>
            <w:tcBorders>
              <w:top w:val="nil"/>
              <w:left w:val="nil"/>
              <w:bottom w:val="single" w:sz="8" w:space="0" w:color="4F81BD"/>
              <w:right w:val="single" w:sz="8" w:space="0" w:color="4F81BD"/>
            </w:tcBorders>
            <w:shd w:val="clear" w:color="auto" w:fill="auto"/>
            <w:vAlign w:val="center"/>
            <w:hideMark/>
          </w:tcPr>
          <w:p w14:paraId="66E1A914" w14:textId="77777777" w:rsidR="00ED69B6" w:rsidRPr="00BF51BB" w:rsidRDefault="00ED69B6" w:rsidP="00ED69B6">
            <w:pPr>
              <w:spacing w:after="0" w:line="240" w:lineRule="auto"/>
              <w:jc w:val="center"/>
              <w:rPr>
                <w:rFonts w:ascii="Arial" w:eastAsia="Times New Roman" w:hAnsi="Arial" w:cs="Arial"/>
                <w:color w:val="000000"/>
                <w:sz w:val="17"/>
                <w:szCs w:val="17"/>
              </w:rPr>
            </w:pPr>
            <w:r w:rsidRPr="00BF51BB">
              <w:rPr>
                <w:rFonts w:ascii="Arial" w:eastAsia="Times New Roman" w:hAnsi="Arial" w:cs="Arial"/>
                <w:color w:val="000000"/>
                <w:sz w:val="17"/>
                <w:szCs w:val="17"/>
              </w:rPr>
              <w:t>Fiksna</w:t>
            </w:r>
          </w:p>
        </w:tc>
        <w:tc>
          <w:tcPr>
            <w:tcW w:w="482" w:type="pct"/>
            <w:tcBorders>
              <w:top w:val="nil"/>
              <w:left w:val="nil"/>
              <w:bottom w:val="single" w:sz="8" w:space="0" w:color="4F81BD"/>
              <w:right w:val="single" w:sz="8" w:space="0" w:color="4F81BD"/>
            </w:tcBorders>
            <w:shd w:val="clear" w:color="auto" w:fill="auto"/>
            <w:vAlign w:val="center"/>
            <w:hideMark/>
          </w:tcPr>
          <w:p w14:paraId="7A205421"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10</w:t>
            </w:r>
          </w:p>
        </w:tc>
        <w:tc>
          <w:tcPr>
            <w:tcW w:w="482" w:type="pct"/>
            <w:tcBorders>
              <w:top w:val="nil"/>
              <w:left w:val="nil"/>
              <w:bottom w:val="single" w:sz="8" w:space="0" w:color="4F81BD"/>
              <w:right w:val="single" w:sz="8" w:space="0" w:color="4F81BD"/>
            </w:tcBorders>
            <w:shd w:val="clear" w:color="auto" w:fill="auto"/>
            <w:vAlign w:val="center"/>
            <w:hideMark/>
          </w:tcPr>
          <w:p w14:paraId="45487D75"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20</w:t>
            </w:r>
          </w:p>
        </w:tc>
        <w:tc>
          <w:tcPr>
            <w:tcW w:w="482" w:type="pct"/>
            <w:tcBorders>
              <w:top w:val="nil"/>
              <w:left w:val="nil"/>
              <w:bottom w:val="single" w:sz="8" w:space="0" w:color="4F81BD"/>
              <w:right w:val="single" w:sz="8" w:space="0" w:color="4F81BD"/>
            </w:tcBorders>
            <w:shd w:val="clear" w:color="auto" w:fill="auto"/>
            <w:vAlign w:val="center"/>
            <w:hideMark/>
          </w:tcPr>
          <w:p w14:paraId="0901DAEF"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USD</w:t>
            </w:r>
          </w:p>
        </w:tc>
        <w:tc>
          <w:tcPr>
            <w:tcW w:w="743" w:type="pct"/>
            <w:tcBorders>
              <w:top w:val="nil"/>
              <w:left w:val="nil"/>
              <w:bottom w:val="single" w:sz="8" w:space="0" w:color="4F81BD"/>
              <w:right w:val="single" w:sz="8" w:space="0" w:color="4F81BD"/>
            </w:tcBorders>
            <w:shd w:val="clear" w:color="auto" w:fill="auto"/>
            <w:vAlign w:val="center"/>
            <w:hideMark/>
          </w:tcPr>
          <w:p w14:paraId="2738A5BE"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30,66</w:t>
            </w:r>
          </w:p>
        </w:tc>
        <w:tc>
          <w:tcPr>
            <w:tcW w:w="482" w:type="pct"/>
            <w:tcBorders>
              <w:top w:val="nil"/>
              <w:left w:val="nil"/>
              <w:bottom w:val="single" w:sz="8" w:space="0" w:color="4F81BD"/>
              <w:right w:val="single" w:sz="8" w:space="0" w:color="4F81BD"/>
            </w:tcBorders>
            <w:shd w:val="clear" w:color="auto" w:fill="auto"/>
            <w:vAlign w:val="center"/>
            <w:hideMark/>
          </w:tcPr>
          <w:p w14:paraId="433B363A"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1,06%</w:t>
            </w:r>
          </w:p>
        </w:tc>
        <w:tc>
          <w:tcPr>
            <w:tcW w:w="954" w:type="pct"/>
            <w:tcBorders>
              <w:top w:val="nil"/>
              <w:left w:val="nil"/>
              <w:bottom w:val="single" w:sz="8" w:space="0" w:color="4F81BD"/>
              <w:right w:val="single" w:sz="8" w:space="0" w:color="4F81BD"/>
            </w:tcBorders>
            <w:shd w:val="clear" w:color="auto" w:fill="auto"/>
            <w:vAlign w:val="center"/>
            <w:hideMark/>
          </w:tcPr>
          <w:p w14:paraId="519C1E7E"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Valutni rizik</w:t>
            </w:r>
          </w:p>
        </w:tc>
      </w:tr>
      <w:tr w:rsidR="00ED69B6" w:rsidRPr="00BF51BB" w14:paraId="371B4365" w14:textId="77777777" w:rsidTr="00BF51BB">
        <w:trPr>
          <w:trHeight w:val="46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66403203"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CEB</w:t>
            </w:r>
          </w:p>
        </w:tc>
        <w:tc>
          <w:tcPr>
            <w:tcW w:w="663" w:type="pct"/>
            <w:tcBorders>
              <w:top w:val="nil"/>
              <w:left w:val="nil"/>
              <w:bottom w:val="single" w:sz="8" w:space="0" w:color="4F81BD"/>
              <w:right w:val="single" w:sz="8" w:space="0" w:color="4F81BD"/>
            </w:tcBorders>
            <w:shd w:val="clear" w:color="auto" w:fill="auto"/>
            <w:vAlign w:val="center"/>
            <w:hideMark/>
          </w:tcPr>
          <w:p w14:paraId="47CB841E" w14:textId="77777777" w:rsidR="00ED69B6" w:rsidRPr="00BF51BB" w:rsidRDefault="00ED69B6" w:rsidP="00ED69B6">
            <w:pPr>
              <w:spacing w:after="0" w:line="240" w:lineRule="auto"/>
              <w:jc w:val="center"/>
              <w:rPr>
                <w:rFonts w:ascii="Arial" w:eastAsia="Times New Roman" w:hAnsi="Arial" w:cs="Arial"/>
                <w:color w:val="000000"/>
                <w:sz w:val="17"/>
                <w:szCs w:val="17"/>
              </w:rPr>
            </w:pPr>
            <w:r w:rsidRPr="00BF51BB">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4F81BD"/>
            </w:tcBorders>
            <w:shd w:val="clear" w:color="auto" w:fill="auto"/>
            <w:vAlign w:val="center"/>
            <w:hideMark/>
          </w:tcPr>
          <w:p w14:paraId="6598435F"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5</w:t>
            </w:r>
          </w:p>
        </w:tc>
        <w:tc>
          <w:tcPr>
            <w:tcW w:w="482" w:type="pct"/>
            <w:tcBorders>
              <w:top w:val="nil"/>
              <w:left w:val="nil"/>
              <w:bottom w:val="single" w:sz="8" w:space="0" w:color="4F81BD"/>
              <w:right w:val="single" w:sz="8" w:space="0" w:color="4F81BD"/>
            </w:tcBorders>
            <w:shd w:val="clear" w:color="auto" w:fill="auto"/>
            <w:vAlign w:val="center"/>
            <w:hideMark/>
          </w:tcPr>
          <w:p w14:paraId="1D5D7080"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10</w:t>
            </w:r>
          </w:p>
        </w:tc>
        <w:tc>
          <w:tcPr>
            <w:tcW w:w="482" w:type="pct"/>
            <w:tcBorders>
              <w:top w:val="nil"/>
              <w:left w:val="nil"/>
              <w:bottom w:val="single" w:sz="8" w:space="0" w:color="4F81BD"/>
              <w:right w:val="single" w:sz="8" w:space="0" w:color="4F81BD"/>
            </w:tcBorders>
            <w:shd w:val="clear" w:color="auto" w:fill="auto"/>
            <w:vAlign w:val="center"/>
            <w:hideMark/>
          </w:tcPr>
          <w:p w14:paraId="24B1A1F0"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4F81BD"/>
            </w:tcBorders>
            <w:shd w:val="clear" w:color="auto" w:fill="auto"/>
            <w:vAlign w:val="center"/>
            <w:hideMark/>
          </w:tcPr>
          <w:p w14:paraId="4D9E39F2"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12,47</w:t>
            </w:r>
          </w:p>
        </w:tc>
        <w:tc>
          <w:tcPr>
            <w:tcW w:w="482" w:type="pct"/>
            <w:tcBorders>
              <w:top w:val="nil"/>
              <w:left w:val="nil"/>
              <w:bottom w:val="single" w:sz="8" w:space="0" w:color="4F81BD"/>
              <w:right w:val="single" w:sz="8" w:space="0" w:color="4F81BD"/>
            </w:tcBorders>
            <w:shd w:val="clear" w:color="auto" w:fill="auto"/>
            <w:vAlign w:val="center"/>
            <w:hideMark/>
          </w:tcPr>
          <w:p w14:paraId="4A21D6E0"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0,43%</w:t>
            </w:r>
          </w:p>
        </w:tc>
        <w:tc>
          <w:tcPr>
            <w:tcW w:w="954" w:type="pct"/>
            <w:tcBorders>
              <w:top w:val="nil"/>
              <w:left w:val="nil"/>
              <w:bottom w:val="single" w:sz="8" w:space="0" w:color="4F81BD"/>
              <w:right w:val="single" w:sz="8" w:space="0" w:color="4F81BD"/>
            </w:tcBorders>
            <w:shd w:val="clear" w:color="auto" w:fill="auto"/>
            <w:vAlign w:val="center"/>
            <w:hideMark/>
          </w:tcPr>
          <w:p w14:paraId="0F3D20AD"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Rizik refiksiranja za varijabilnu</w:t>
            </w:r>
          </w:p>
        </w:tc>
      </w:tr>
      <w:tr w:rsidR="00ED69B6" w:rsidRPr="00BF51BB" w14:paraId="4809079A" w14:textId="77777777" w:rsidTr="00BF51BB">
        <w:trPr>
          <w:trHeight w:val="690"/>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2BF55C86"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IFAD</w:t>
            </w:r>
          </w:p>
        </w:tc>
        <w:tc>
          <w:tcPr>
            <w:tcW w:w="663" w:type="pct"/>
            <w:tcBorders>
              <w:top w:val="nil"/>
              <w:left w:val="nil"/>
              <w:bottom w:val="single" w:sz="8" w:space="0" w:color="4F81BD"/>
              <w:right w:val="single" w:sz="8" w:space="0" w:color="4F81BD"/>
            </w:tcBorders>
            <w:shd w:val="clear" w:color="auto" w:fill="auto"/>
            <w:vAlign w:val="center"/>
            <w:hideMark/>
          </w:tcPr>
          <w:p w14:paraId="7EEB4A8E" w14:textId="77777777" w:rsidR="00ED69B6" w:rsidRPr="00BF51BB" w:rsidRDefault="00ED69B6" w:rsidP="00ED69B6">
            <w:pPr>
              <w:spacing w:after="0" w:line="240" w:lineRule="auto"/>
              <w:jc w:val="center"/>
              <w:rPr>
                <w:rFonts w:ascii="Arial" w:eastAsia="Times New Roman" w:hAnsi="Arial" w:cs="Arial"/>
                <w:color w:val="000000"/>
                <w:sz w:val="17"/>
                <w:szCs w:val="17"/>
              </w:rPr>
            </w:pPr>
            <w:r w:rsidRPr="00BF51BB">
              <w:rPr>
                <w:rFonts w:ascii="Arial" w:eastAsia="Times New Roman" w:hAnsi="Arial" w:cs="Arial"/>
                <w:color w:val="000000"/>
                <w:sz w:val="17"/>
                <w:szCs w:val="17"/>
              </w:rPr>
              <w:t>Fiksna</w:t>
            </w:r>
          </w:p>
        </w:tc>
        <w:tc>
          <w:tcPr>
            <w:tcW w:w="482" w:type="pct"/>
            <w:tcBorders>
              <w:top w:val="nil"/>
              <w:left w:val="nil"/>
              <w:bottom w:val="single" w:sz="8" w:space="0" w:color="4F81BD"/>
              <w:right w:val="single" w:sz="8" w:space="0" w:color="4F81BD"/>
            </w:tcBorders>
            <w:shd w:val="clear" w:color="auto" w:fill="auto"/>
            <w:vAlign w:val="center"/>
            <w:hideMark/>
          </w:tcPr>
          <w:p w14:paraId="23982D89"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10</w:t>
            </w:r>
          </w:p>
        </w:tc>
        <w:tc>
          <w:tcPr>
            <w:tcW w:w="482" w:type="pct"/>
            <w:tcBorders>
              <w:top w:val="nil"/>
              <w:left w:val="nil"/>
              <w:bottom w:val="single" w:sz="8" w:space="0" w:color="4F81BD"/>
              <w:right w:val="single" w:sz="8" w:space="0" w:color="4F81BD"/>
            </w:tcBorders>
            <w:shd w:val="clear" w:color="auto" w:fill="auto"/>
            <w:vAlign w:val="center"/>
            <w:hideMark/>
          </w:tcPr>
          <w:p w14:paraId="2017B5AA"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30</w:t>
            </w:r>
          </w:p>
        </w:tc>
        <w:tc>
          <w:tcPr>
            <w:tcW w:w="482" w:type="pct"/>
            <w:tcBorders>
              <w:top w:val="nil"/>
              <w:left w:val="nil"/>
              <w:bottom w:val="single" w:sz="8" w:space="0" w:color="4F81BD"/>
              <w:right w:val="single" w:sz="8" w:space="0" w:color="4F81BD"/>
            </w:tcBorders>
            <w:shd w:val="clear" w:color="auto" w:fill="auto"/>
            <w:vAlign w:val="center"/>
            <w:hideMark/>
          </w:tcPr>
          <w:p w14:paraId="48A10CE1"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SDR</w:t>
            </w:r>
          </w:p>
        </w:tc>
        <w:tc>
          <w:tcPr>
            <w:tcW w:w="743" w:type="pct"/>
            <w:tcBorders>
              <w:top w:val="nil"/>
              <w:left w:val="nil"/>
              <w:bottom w:val="single" w:sz="8" w:space="0" w:color="4F81BD"/>
              <w:right w:val="single" w:sz="8" w:space="0" w:color="4F81BD"/>
            </w:tcBorders>
            <w:shd w:val="clear" w:color="auto" w:fill="auto"/>
            <w:vAlign w:val="center"/>
            <w:hideMark/>
          </w:tcPr>
          <w:p w14:paraId="6577F093"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13,06</w:t>
            </w:r>
          </w:p>
        </w:tc>
        <w:tc>
          <w:tcPr>
            <w:tcW w:w="482" w:type="pct"/>
            <w:tcBorders>
              <w:top w:val="nil"/>
              <w:left w:val="nil"/>
              <w:bottom w:val="single" w:sz="8" w:space="0" w:color="4F81BD"/>
              <w:right w:val="single" w:sz="8" w:space="0" w:color="4F81BD"/>
            </w:tcBorders>
            <w:shd w:val="clear" w:color="auto" w:fill="auto"/>
            <w:vAlign w:val="center"/>
            <w:hideMark/>
          </w:tcPr>
          <w:p w14:paraId="45551344"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0,45%</w:t>
            </w:r>
          </w:p>
        </w:tc>
        <w:tc>
          <w:tcPr>
            <w:tcW w:w="954" w:type="pct"/>
            <w:tcBorders>
              <w:top w:val="nil"/>
              <w:left w:val="nil"/>
              <w:bottom w:val="single" w:sz="8" w:space="0" w:color="4F81BD"/>
              <w:right w:val="single" w:sz="8" w:space="0" w:color="4F81BD"/>
            </w:tcBorders>
            <w:shd w:val="clear" w:color="auto" w:fill="auto"/>
            <w:vAlign w:val="center"/>
            <w:hideMark/>
          </w:tcPr>
          <w:p w14:paraId="6BD0E5B3"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Rizik refinansiranja i valutni rizik</w:t>
            </w:r>
          </w:p>
        </w:tc>
      </w:tr>
      <w:tr w:rsidR="00ED69B6" w:rsidRPr="00BF51BB" w14:paraId="00745EE2" w14:textId="77777777" w:rsidTr="00BF51BB">
        <w:trPr>
          <w:trHeight w:val="46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1D75774A"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KfW</w:t>
            </w:r>
          </w:p>
        </w:tc>
        <w:tc>
          <w:tcPr>
            <w:tcW w:w="663" w:type="pct"/>
            <w:tcBorders>
              <w:top w:val="nil"/>
              <w:left w:val="nil"/>
              <w:bottom w:val="single" w:sz="8" w:space="0" w:color="4F81BD"/>
              <w:right w:val="single" w:sz="8" w:space="0" w:color="4F81BD"/>
            </w:tcBorders>
            <w:shd w:val="clear" w:color="auto" w:fill="auto"/>
            <w:vAlign w:val="center"/>
            <w:hideMark/>
          </w:tcPr>
          <w:p w14:paraId="3E6E0B47" w14:textId="77777777" w:rsidR="00ED69B6" w:rsidRPr="00BF51BB" w:rsidRDefault="00ED69B6" w:rsidP="00ED69B6">
            <w:pPr>
              <w:spacing w:after="0" w:line="240" w:lineRule="auto"/>
              <w:jc w:val="center"/>
              <w:rPr>
                <w:rFonts w:ascii="Arial" w:eastAsia="Times New Roman" w:hAnsi="Arial" w:cs="Arial"/>
                <w:color w:val="000000"/>
                <w:sz w:val="17"/>
                <w:szCs w:val="17"/>
              </w:rPr>
            </w:pPr>
            <w:r w:rsidRPr="00BF51BB">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4F81BD"/>
            </w:tcBorders>
            <w:shd w:val="clear" w:color="auto" w:fill="auto"/>
            <w:vAlign w:val="center"/>
            <w:hideMark/>
          </w:tcPr>
          <w:p w14:paraId="1EB381E1"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2,5 - 10</w:t>
            </w:r>
          </w:p>
        </w:tc>
        <w:tc>
          <w:tcPr>
            <w:tcW w:w="482" w:type="pct"/>
            <w:tcBorders>
              <w:top w:val="nil"/>
              <w:left w:val="nil"/>
              <w:bottom w:val="single" w:sz="8" w:space="0" w:color="4F81BD"/>
              <w:right w:val="single" w:sz="8" w:space="0" w:color="4F81BD"/>
            </w:tcBorders>
            <w:shd w:val="clear" w:color="auto" w:fill="auto"/>
            <w:vAlign w:val="center"/>
            <w:hideMark/>
          </w:tcPr>
          <w:p w14:paraId="678A5B78"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12-20</w:t>
            </w:r>
          </w:p>
        </w:tc>
        <w:tc>
          <w:tcPr>
            <w:tcW w:w="482" w:type="pct"/>
            <w:tcBorders>
              <w:top w:val="nil"/>
              <w:left w:val="nil"/>
              <w:bottom w:val="single" w:sz="8" w:space="0" w:color="4F81BD"/>
              <w:right w:val="single" w:sz="8" w:space="0" w:color="4F81BD"/>
            </w:tcBorders>
            <w:shd w:val="clear" w:color="auto" w:fill="auto"/>
            <w:vAlign w:val="center"/>
            <w:hideMark/>
          </w:tcPr>
          <w:p w14:paraId="41E3F66A"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4F81BD"/>
            </w:tcBorders>
            <w:shd w:val="clear" w:color="auto" w:fill="auto"/>
            <w:vAlign w:val="center"/>
            <w:hideMark/>
          </w:tcPr>
          <w:p w14:paraId="617128F5"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57,42</w:t>
            </w:r>
          </w:p>
        </w:tc>
        <w:tc>
          <w:tcPr>
            <w:tcW w:w="482" w:type="pct"/>
            <w:tcBorders>
              <w:top w:val="nil"/>
              <w:left w:val="nil"/>
              <w:bottom w:val="single" w:sz="8" w:space="0" w:color="4F81BD"/>
              <w:right w:val="single" w:sz="8" w:space="0" w:color="4F81BD"/>
            </w:tcBorders>
            <w:shd w:val="clear" w:color="auto" w:fill="auto"/>
            <w:vAlign w:val="center"/>
            <w:hideMark/>
          </w:tcPr>
          <w:p w14:paraId="4D3D20C9"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1,99%</w:t>
            </w:r>
          </w:p>
        </w:tc>
        <w:tc>
          <w:tcPr>
            <w:tcW w:w="954" w:type="pct"/>
            <w:tcBorders>
              <w:top w:val="nil"/>
              <w:left w:val="nil"/>
              <w:bottom w:val="single" w:sz="8" w:space="0" w:color="4F81BD"/>
              <w:right w:val="single" w:sz="8" w:space="0" w:color="4F81BD"/>
            </w:tcBorders>
            <w:shd w:val="clear" w:color="auto" w:fill="auto"/>
            <w:vAlign w:val="center"/>
            <w:hideMark/>
          </w:tcPr>
          <w:p w14:paraId="3D1F9A6F"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Rizik refinansiranja</w:t>
            </w:r>
          </w:p>
        </w:tc>
      </w:tr>
      <w:tr w:rsidR="00ED69B6" w:rsidRPr="00BF51BB" w14:paraId="608AC310" w14:textId="77777777" w:rsidTr="00BF51BB">
        <w:trPr>
          <w:trHeight w:val="52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0B68AD51"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Ostala sredstva</w:t>
            </w:r>
          </w:p>
        </w:tc>
        <w:tc>
          <w:tcPr>
            <w:tcW w:w="663" w:type="pct"/>
            <w:tcBorders>
              <w:top w:val="nil"/>
              <w:left w:val="nil"/>
              <w:bottom w:val="single" w:sz="8" w:space="0" w:color="4F81BD"/>
              <w:right w:val="single" w:sz="8" w:space="0" w:color="4F81BD"/>
            </w:tcBorders>
            <w:shd w:val="clear" w:color="auto" w:fill="auto"/>
            <w:vAlign w:val="center"/>
            <w:hideMark/>
          </w:tcPr>
          <w:p w14:paraId="49CDAC28" w14:textId="77777777" w:rsidR="00ED69B6" w:rsidRPr="00BF51BB" w:rsidRDefault="00ED69B6" w:rsidP="00ED69B6">
            <w:pPr>
              <w:spacing w:after="0" w:line="240" w:lineRule="auto"/>
              <w:jc w:val="center"/>
              <w:rPr>
                <w:rFonts w:ascii="Arial" w:eastAsia="Times New Roman" w:hAnsi="Arial" w:cs="Arial"/>
                <w:color w:val="000000"/>
                <w:sz w:val="17"/>
                <w:szCs w:val="17"/>
              </w:rPr>
            </w:pPr>
            <w:r w:rsidRPr="00BF51BB">
              <w:rPr>
                <w:rFonts w:ascii="Arial" w:eastAsia="Times New Roman" w:hAnsi="Arial" w:cs="Arial"/>
                <w:color w:val="000000"/>
                <w:sz w:val="17"/>
                <w:szCs w:val="17"/>
              </w:rPr>
              <w:t>Fiksna ili varijabilna</w:t>
            </w:r>
          </w:p>
        </w:tc>
        <w:tc>
          <w:tcPr>
            <w:tcW w:w="482" w:type="pct"/>
            <w:tcBorders>
              <w:top w:val="nil"/>
              <w:left w:val="nil"/>
              <w:bottom w:val="single" w:sz="8" w:space="0" w:color="4F81BD"/>
              <w:right w:val="single" w:sz="8" w:space="0" w:color="4F81BD"/>
            </w:tcBorders>
            <w:shd w:val="clear" w:color="auto" w:fill="auto"/>
            <w:vAlign w:val="center"/>
            <w:hideMark/>
          </w:tcPr>
          <w:p w14:paraId="7252548E"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3-5</w:t>
            </w:r>
          </w:p>
        </w:tc>
        <w:tc>
          <w:tcPr>
            <w:tcW w:w="482" w:type="pct"/>
            <w:tcBorders>
              <w:top w:val="nil"/>
              <w:left w:val="nil"/>
              <w:bottom w:val="single" w:sz="8" w:space="0" w:color="4F81BD"/>
              <w:right w:val="single" w:sz="8" w:space="0" w:color="4F81BD"/>
            </w:tcBorders>
            <w:shd w:val="clear" w:color="auto" w:fill="auto"/>
            <w:vAlign w:val="center"/>
            <w:hideMark/>
          </w:tcPr>
          <w:p w14:paraId="5B82C1D2"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10-15</w:t>
            </w:r>
          </w:p>
        </w:tc>
        <w:tc>
          <w:tcPr>
            <w:tcW w:w="482" w:type="pct"/>
            <w:tcBorders>
              <w:top w:val="nil"/>
              <w:left w:val="nil"/>
              <w:bottom w:val="single" w:sz="8" w:space="0" w:color="4F81BD"/>
              <w:right w:val="single" w:sz="8" w:space="0" w:color="4F81BD"/>
            </w:tcBorders>
            <w:shd w:val="clear" w:color="auto" w:fill="auto"/>
            <w:vAlign w:val="center"/>
            <w:hideMark/>
          </w:tcPr>
          <w:p w14:paraId="42528768"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EUR</w:t>
            </w:r>
          </w:p>
        </w:tc>
        <w:tc>
          <w:tcPr>
            <w:tcW w:w="743" w:type="pct"/>
            <w:tcBorders>
              <w:top w:val="nil"/>
              <w:left w:val="nil"/>
              <w:bottom w:val="single" w:sz="8" w:space="0" w:color="4F81BD"/>
              <w:right w:val="single" w:sz="8" w:space="0" w:color="4F81BD"/>
            </w:tcBorders>
            <w:shd w:val="clear" w:color="auto" w:fill="auto"/>
            <w:vAlign w:val="center"/>
            <w:hideMark/>
          </w:tcPr>
          <w:p w14:paraId="73216CC1"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170,01</w:t>
            </w:r>
          </w:p>
        </w:tc>
        <w:tc>
          <w:tcPr>
            <w:tcW w:w="482" w:type="pct"/>
            <w:tcBorders>
              <w:top w:val="nil"/>
              <w:left w:val="nil"/>
              <w:bottom w:val="single" w:sz="8" w:space="0" w:color="4F81BD"/>
              <w:right w:val="single" w:sz="8" w:space="0" w:color="4F81BD"/>
            </w:tcBorders>
            <w:shd w:val="clear" w:color="auto" w:fill="auto"/>
            <w:vAlign w:val="center"/>
            <w:hideMark/>
          </w:tcPr>
          <w:p w14:paraId="64562F5B"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5,88%</w:t>
            </w:r>
          </w:p>
        </w:tc>
        <w:tc>
          <w:tcPr>
            <w:tcW w:w="954" w:type="pct"/>
            <w:tcBorders>
              <w:top w:val="nil"/>
              <w:left w:val="nil"/>
              <w:bottom w:val="single" w:sz="8" w:space="0" w:color="4F81BD"/>
              <w:right w:val="single" w:sz="8" w:space="0" w:color="4F81BD"/>
            </w:tcBorders>
            <w:shd w:val="clear" w:color="auto" w:fill="auto"/>
            <w:vAlign w:val="center"/>
            <w:hideMark/>
          </w:tcPr>
          <w:p w14:paraId="5963B104"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Rizik refinansiranja i refiksiranja za varijabilnu</w:t>
            </w:r>
          </w:p>
        </w:tc>
      </w:tr>
      <w:tr w:rsidR="00ED69B6" w:rsidRPr="00BF51BB" w14:paraId="59AE91CB" w14:textId="77777777" w:rsidTr="00BF51BB">
        <w:trPr>
          <w:trHeight w:val="315"/>
        </w:trPr>
        <w:tc>
          <w:tcPr>
            <w:tcW w:w="713" w:type="pct"/>
            <w:tcBorders>
              <w:top w:val="nil"/>
              <w:left w:val="single" w:sz="8" w:space="0" w:color="4F81BD"/>
              <w:bottom w:val="single" w:sz="8" w:space="0" w:color="4F81BD"/>
              <w:right w:val="single" w:sz="8" w:space="0" w:color="4F81BD"/>
            </w:tcBorders>
            <w:shd w:val="clear" w:color="auto" w:fill="auto"/>
            <w:vAlign w:val="center"/>
            <w:hideMark/>
          </w:tcPr>
          <w:p w14:paraId="466A2A22" w14:textId="77777777" w:rsidR="00ED69B6" w:rsidRPr="00BF51BB" w:rsidRDefault="00ED69B6" w:rsidP="00ED69B6">
            <w:pPr>
              <w:spacing w:after="0" w:line="240" w:lineRule="auto"/>
              <w:rPr>
                <w:rFonts w:ascii="Arial" w:eastAsia="Times New Roman" w:hAnsi="Arial" w:cs="Arial"/>
                <w:bCs/>
                <w:color w:val="000000"/>
                <w:sz w:val="16"/>
                <w:szCs w:val="16"/>
              </w:rPr>
            </w:pPr>
            <w:r w:rsidRPr="00BF51BB">
              <w:rPr>
                <w:rFonts w:ascii="Arial" w:eastAsia="Times New Roman" w:hAnsi="Arial" w:cs="Arial"/>
                <w:bCs/>
                <w:color w:val="000000"/>
                <w:sz w:val="16"/>
                <w:szCs w:val="16"/>
              </w:rPr>
              <w:t>UKUPNO</w:t>
            </w:r>
          </w:p>
        </w:tc>
        <w:tc>
          <w:tcPr>
            <w:tcW w:w="663" w:type="pct"/>
            <w:tcBorders>
              <w:top w:val="nil"/>
              <w:left w:val="nil"/>
              <w:bottom w:val="single" w:sz="8" w:space="0" w:color="4F81BD"/>
              <w:right w:val="single" w:sz="8" w:space="0" w:color="4F81BD"/>
            </w:tcBorders>
            <w:shd w:val="clear" w:color="auto" w:fill="auto"/>
            <w:vAlign w:val="center"/>
            <w:hideMark/>
          </w:tcPr>
          <w:p w14:paraId="71DF34B6"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 </w:t>
            </w:r>
          </w:p>
        </w:tc>
        <w:tc>
          <w:tcPr>
            <w:tcW w:w="482" w:type="pct"/>
            <w:tcBorders>
              <w:top w:val="nil"/>
              <w:left w:val="nil"/>
              <w:bottom w:val="single" w:sz="8" w:space="0" w:color="4F81BD"/>
              <w:right w:val="single" w:sz="8" w:space="0" w:color="4F81BD"/>
            </w:tcBorders>
            <w:shd w:val="clear" w:color="auto" w:fill="auto"/>
            <w:vAlign w:val="center"/>
            <w:hideMark/>
          </w:tcPr>
          <w:p w14:paraId="1AF62C92"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 </w:t>
            </w:r>
          </w:p>
        </w:tc>
        <w:tc>
          <w:tcPr>
            <w:tcW w:w="482" w:type="pct"/>
            <w:tcBorders>
              <w:top w:val="nil"/>
              <w:left w:val="nil"/>
              <w:bottom w:val="single" w:sz="8" w:space="0" w:color="4F81BD"/>
              <w:right w:val="single" w:sz="8" w:space="0" w:color="4F81BD"/>
            </w:tcBorders>
            <w:shd w:val="clear" w:color="auto" w:fill="auto"/>
            <w:vAlign w:val="center"/>
            <w:hideMark/>
          </w:tcPr>
          <w:p w14:paraId="711899A7" w14:textId="77777777" w:rsidR="00ED69B6" w:rsidRPr="00BF51BB" w:rsidRDefault="00ED69B6" w:rsidP="00ED69B6">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 </w:t>
            </w:r>
          </w:p>
        </w:tc>
        <w:tc>
          <w:tcPr>
            <w:tcW w:w="482" w:type="pct"/>
            <w:tcBorders>
              <w:top w:val="nil"/>
              <w:left w:val="nil"/>
              <w:bottom w:val="single" w:sz="8" w:space="0" w:color="4F81BD"/>
              <w:right w:val="single" w:sz="8" w:space="0" w:color="4F81BD"/>
            </w:tcBorders>
            <w:shd w:val="clear" w:color="auto" w:fill="auto"/>
            <w:vAlign w:val="center"/>
            <w:hideMark/>
          </w:tcPr>
          <w:p w14:paraId="57CB99D9" w14:textId="77777777" w:rsidR="00ED69B6" w:rsidRPr="00BF51BB" w:rsidRDefault="00ED69B6" w:rsidP="00ED69B6">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 </w:t>
            </w:r>
          </w:p>
        </w:tc>
        <w:tc>
          <w:tcPr>
            <w:tcW w:w="743" w:type="pct"/>
            <w:tcBorders>
              <w:top w:val="nil"/>
              <w:left w:val="nil"/>
              <w:bottom w:val="single" w:sz="8" w:space="0" w:color="4F81BD"/>
              <w:right w:val="single" w:sz="8" w:space="0" w:color="4F81BD"/>
            </w:tcBorders>
            <w:shd w:val="clear" w:color="auto" w:fill="auto"/>
            <w:vAlign w:val="center"/>
            <w:hideMark/>
          </w:tcPr>
          <w:p w14:paraId="38D9EF2D"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2.889,75</w:t>
            </w:r>
          </w:p>
        </w:tc>
        <w:tc>
          <w:tcPr>
            <w:tcW w:w="482" w:type="pct"/>
            <w:tcBorders>
              <w:top w:val="nil"/>
              <w:left w:val="nil"/>
              <w:bottom w:val="single" w:sz="8" w:space="0" w:color="4F81BD"/>
              <w:right w:val="single" w:sz="8" w:space="0" w:color="4F81BD"/>
            </w:tcBorders>
            <w:shd w:val="clear" w:color="auto" w:fill="auto"/>
            <w:vAlign w:val="center"/>
            <w:hideMark/>
          </w:tcPr>
          <w:p w14:paraId="1BB966EB" w14:textId="77777777" w:rsidR="00ED69B6" w:rsidRPr="00BF51BB" w:rsidRDefault="00ED69B6" w:rsidP="00ED69B6">
            <w:pPr>
              <w:spacing w:after="0" w:line="240" w:lineRule="auto"/>
              <w:jc w:val="right"/>
              <w:rPr>
                <w:rFonts w:ascii="Arial" w:eastAsia="Times New Roman" w:hAnsi="Arial" w:cs="Arial"/>
                <w:color w:val="000000"/>
                <w:sz w:val="18"/>
                <w:szCs w:val="18"/>
              </w:rPr>
            </w:pPr>
            <w:r w:rsidRPr="00BF51BB">
              <w:rPr>
                <w:rFonts w:ascii="Arial" w:eastAsia="Times New Roman" w:hAnsi="Arial" w:cs="Arial"/>
                <w:color w:val="000000"/>
                <w:sz w:val="18"/>
                <w:szCs w:val="18"/>
              </w:rPr>
              <w:t>100,00%</w:t>
            </w:r>
          </w:p>
        </w:tc>
        <w:tc>
          <w:tcPr>
            <w:tcW w:w="954" w:type="pct"/>
            <w:tcBorders>
              <w:top w:val="nil"/>
              <w:left w:val="nil"/>
              <w:bottom w:val="single" w:sz="8" w:space="0" w:color="4F81BD"/>
              <w:right w:val="single" w:sz="8" w:space="0" w:color="4F81BD"/>
            </w:tcBorders>
            <w:shd w:val="clear" w:color="auto" w:fill="auto"/>
            <w:vAlign w:val="center"/>
            <w:hideMark/>
          </w:tcPr>
          <w:p w14:paraId="32AE097B" w14:textId="77777777" w:rsidR="00ED69B6" w:rsidRPr="00BF51BB" w:rsidRDefault="00ED69B6" w:rsidP="00ED69B6">
            <w:pPr>
              <w:spacing w:after="0" w:line="240" w:lineRule="auto"/>
              <w:jc w:val="center"/>
              <w:rPr>
                <w:rFonts w:ascii="Arial" w:eastAsia="Times New Roman" w:hAnsi="Arial" w:cs="Arial"/>
                <w:color w:val="000000"/>
                <w:sz w:val="16"/>
                <w:szCs w:val="16"/>
              </w:rPr>
            </w:pPr>
            <w:r w:rsidRPr="00BF51BB">
              <w:rPr>
                <w:rFonts w:ascii="Arial" w:eastAsia="Times New Roman" w:hAnsi="Arial" w:cs="Arial"/>
                <w:color w:val="000000"/>
                <w:sz w:val="16"/>
                <w:szCs w:val="16"/>
              </w:rPr>
              <w:t> </w:t>
            </w:r>
          </w:p>
        </w:tc>
      </w:tr>
    </w:tbl>
    <w:p w14:paraId="06345D07" w14:textId="77777777" w:rsidR="00BF7FA5" w:rsidRPr="00BF51BB" w:rsidRDefault="00BF7FA5" w:rsidP="00ED768D">
      <w:pPr>
        <w:pStyle w:val="NoSpacing"/>
        <w:rPr>
          <w:rFonts w:ascii="Arial" w:hAnsi="Arial" w:cs="Arial"/>
          <w:lang w:val="hr-HR"/>
        </w:rPr>
      </w:pPr>
    </w:p>
    <w:p w14:paraId="65A5873A" w14:textId="5259D600" w:rsidR="00BF7FA5" w:rsidRPr="00BF51BB" w:rsidRDefault="00BF7FA5" w:rsidP="00ED768D">
      <w:pPr>
        <w:pStyle w:val="NoSpacing"/>
        <w:rPr>
          <w:rFonts w:ascii="Arial" w:hAnsi="Arial" w:cs="Arial"/>
          <w:lang w:val="hr-HR"/>
        </w:rPr>
      </w:pPr>
    </w:p>
    <w:p w14:paraId="4C830C51" w14:textId="77777777" w:rsidR="00ED768D" w:rsidRPr="00BF51BB" w:rsidRDefault="00ED768D" w:rsidP="00627D74">
      <w:pPr>
        <w:pStyle w:val="Heading3"/>
        <w:numPr>
          <w:ilvl w:val="1"/>
          <w:numId w:val="10"/>
        </w:numPr>
        <w:rPr>
          <w:rFonts w:ascii="Arial" w:hAnsi="Arial" w:cs="Arial"/>
          <w:b w:val="0"/>
          <w:color w:val="auto"/>
        </w:rPr>
      </w:pPr>
      <w:bookmarkStart w:id="124" w:name="_Toc101781046"/>
      <w:r w:rsidRPr="00BF51BB">
        <w:rPr>
          <w:rFonts w:ascii="Arial" w:hAnsi="Arial" w:cs="Arial"/>
          <w:b w:val="0"/>
          <w:color w:val="auto"/>
          <w:sz w:val="24"/>
        </w:rPr>
        <w:t>Domaći izvori finansiranja</w:t>
      </w:r>
      <w:bookmarkEnd w:id="124"/>
    </w:p>
    <w:p w14:paraId="5A7C6FAB" w14:textId="77777777" w:rsidR="00205074" w:rsidRPr="00BF51BB" w:rsidRDefault="00205074" w:rsidP="006F06B8">
      <w:pPr>
        <w:spacing w:after="0"/>
      </w:pPr>
    </w:p>
    <w:p w14:paraId="72D4D0B4" w14:textId="02B5F040" w:rsidR="00B60AE7" w:rsidRPr="00BF51BB" w:rsidRDefault="00ED768D" w:rsidP="006F06B8">
      <w:pPr>
        <w:pStyle w:val="NoSpacing"/>
        <w:spacing w:line="276" w:lineRule="auto"/>
        <w:ind w:firstLine="284"/>
        <w:jc w:val="both"/>
        <w:rPr>
          <w:rFonts w:ascii="Arial" w:eastAsia="Times New Roman" w:hAnsi="Arial" w:cs="Arial"/>
          <w:lang w:val="hr-HR"/>
        </w:rPr>
      </w:pPr>
      <w:r w:rsidRPr="00BF51BB">
        <w:rPr>
          <w:rFonts w:ascii="Arial" w:eastAsia="Times New Roman" w:hAnsi="Arial" w:cs="Arial"/>
          <w:lang w:val="hr-HR"/>
        </w:rPr>
        <w:t xml:space="preserve">Domaće tržište </w:t>
      </w:r>
      <w:r w:rsidR="002B6A7D" w:rsidRPr="00BF51BB">
        <w:rPr>
          <w:rFonts w:ascii="Arial" w:eastAsia="Times New Roman" w:hAnsi="Arial" w:cs="Arial"/>
          <w:lang w:val="hr-HR"/>
        </w:rPr>
        <w:t>vrijednosnih papira</w:t>
      </w:r>
      <w:r w:rsidRPr="00BF51BB">
        <w:rPr>
          <w:rFonts w:ascii="Arial" w:eastAsia="Times New Roman" w:hAnsi="Arial" w:cs="Arial"/>
          <w:lang w:val="hr-HR"/>
        </w:rPr>
        <w:t xml:space="preserve"> je relativno malo i nerazvijeno, ali </w:t>
      </w:r>
      <w:r w:rsidR="001B198A" w:rsidRPr="00BF51BB">
        <w:rPr>
          <w:rFonts w:ascii="Arial" w:eastAsia="Times New Roman" w:hAnsi="Arial" w:cs="Arial"/>
          <w:lang w:val="hr-HR"/>
        </w:rPr>
        <w:t>ima trend</w:t>
      </w:r>
      <w:r w:rsidRPr="00BF51BB">
        <w:rPr>
          <w:rFonts w:ascii="Arial" w:eastAsia="Times New Roman" w:hAnsi="Arial" w:cs="Arial"/>
          <w:lang w:val="hr-HR"/>
        </w:rPr>
        <w:t xml:space="preserve"> rast</w:t>
      </w:r>
      <w:r w:rsidR="001B198A" w:rsidRPr="00BF51BB">
        <w:rPr>
          <w:rFonts w:ascii="Arial" w:eastAsia="Times New Roman" w:hAnsi="Arial" w:cs="Arial"/>
          <w:lang w:val="hr-HR"/>
        </w:rPr>
        <w:t>a</w:t>
      </w:r>
      <w:r w:rsidRPr="00BF51BB">
        <w:rPr>
          <w:rFonts w:ascii="Arial" w:eastAsia="Times New Roman" w:hAnsi="Arial" w:cs="Arial"/>
          <w:lang w:val="hr-HR"/>
        </w:rPr>
        <w:t xml:space="preserve"> prilagođavajući se finansijskim potre</w:t>
      </w:r>
      <w:r w:rsidR="00E672EB" w:rsidRPr="00BF51BB">
        <w:rPr>
          <w:rFonts w:ascii="Arial" w:eastAsia="Times New Roman" w:hAnsi="Arial" w:cs="Arial"/>
          <w:lang w:val="hr-HR"/>
        </w:rPr>
        <w:t>bam</w:t>
      </w:r>
      <w:r w:rsidRPr="00BF51BB">
        <w:rPr>
          <w:rFonts w:ascii="Arial" w:eastAsia="Times New Roman" w:hAnsi="Arial" w:cs="Arial"/>
          <w:lang w:val="hr-HR"/>
        </w:rPr>
        <w:t>a Vlade F</w:t>
      </w:r>
      <w:r w:rsidR="001B198A" w:rsidRPr="00BF51BB">
        <w:rPr>
          <w:rFonts w:ascii="Arial" w:eastAsia="Times New Roman" w:hAnsi="Arial" w:cs="Arial"/>
          <w:lang w:val="hr-HR"/>
        </w:rPr>
        <w:t xml:space="preserve">ederacije </w:t>
      </w:r>
      <w:r w:rsidRPr="00BF51BB">
        <w:rPr>
          <w:rFonts w:ascii="Arial" w:eastAsia="Times New Roman" w:hAnsi="Arial" w:cs="Arial"/>
          <w:lang w:val="hr-HR"/>
        </w:rPr>
        <w:t xml:space="preserve">BiH. </w:t>
      </w:r>
    </w:p>
    <w:p w14:paraId="69578492" w14:textId="77777777" w:rsidR="00D450C0" w:rsidRPr="00BF51BB" w:rsidRDefault="00ED768D" w:rsidP="006F06B8">
      <w:pPr>
        <w:pStyle w:val="NoSpacing"/>
        <w:spacing w:line="276" w:lineRule="auto"/>
        <w:ind w:firstLine="284"/>
        <w:jc w:val="both"/>
        <w:rPr>
          <w:rFonts w:ascii="Arial" w:eastAsia="MS Mincho" w:hAnsi="Arial" w:cs="Arial"/>
          <w:kern w:val="24"/>
          <w:lang w:val="hr-HR" w:eastAsia="fr-FR"/>
        </w:rPr>
      </w:pPr>
      <w:r w:rsidRPr="00BF51BB">
        <w:rPr>
          <w:rFonts w:ascii="Arial" w:eastAsia="Times New Roman" w:hAnsi="Arial" w:cs="Arial"/>
          <w:lang w:val="hr-HR"/>
        </w:rPr>
        <w:t>Domaće k</w:t>
      </w:r>
      <w:r w:rsidRPr="00BF51BB">
        <w:rPr>
          <w:rFonts w:ascii="Arial" w:eastAsia="MS Mincho" w:hAnsi="Arial" w:cs="Arial"/>
          <w:kern w:val="24"/>
          <w:lang w:val="hr-HR" w:eastAsia="fr-FR"/>
        </w:rPr>
        <w:t>omercijalne banke su najveći investitori u trezorske zapise i tržišne obveznice Vlade F</w:t>
      </w:r>
      <w:r w:rsidR="001B198A" w:rsidRPr="00BF51BB">
        <w:rPr>
          <w:rFonts w:ascii="Arial" w:eastAsia="MS Mincho" w:hAnsi="Arial" w:cs="Arial"/>
          <w:kern w:val="24"/>
          <w:lang w:val="hr-HR" w:eastAsia="fr-FR"/>
        </w:rPr>
        <w:t xml:space="preserve">ederacije </w:t>
      </w:r>
      <w:r w:rsidRPr="00BF51BB">
        <w:rPr>
          <w:rFonts w:ascii="Arial" w:eastAsia="MS Mincho" w:hAnsi="Arial" w:cs="Arial"/>
          <w:kern w:val="24"/>
          <w:lang w:val="hr-HR" w:eastAsia="fr-FR"/>
        </w:rPr>
        <w:t>BiH</w:t>
      </w:r>
      <w:r w:rsidR="00D94844" w:rsidRPr="00BF51BB">
        <w:rPr>
          <w:rFonts w:ascii="Arial" w:eastAsia="MS Mincho" w:hAnsi="Arial" w:cs="Arial"/>
          <w:kern w:val="24"/>
          <w:lang w:val="hr-HR" w:eastAsia="fr-FR"/>
        </w:rPr>
        <w:t xml:space="preserve"> i</w:t>
      </w:r>
      <w:r w:rsidR="00894709" w:rsidRPr="00BF51BB">
        <w:rPr>
          <w:rFonts w:ascii="Arial" w:eastAsia="MS Mincho" w:hAnsi="Arial" w:cs="Arial"/>
          <w:kern w:val="24"/>
          <w:lang w:val="hr-HR" w:eastAsia="fr-FR"/>
        </w:rPr>
        <w:t xml:space="preserve"> </w:t>
      </w:r>
      <w:r w:rsidRPr="00BF51BB">
        <w:rPr>
          <w:rFonts w:ascii="Arial" w:eastAsia="MS Mincho" w:hAnsi="Arial" w:cs="Arial"/>
          <w:kern w:val="24"/>
          <w:lang w:val="hr-HR" w:eastAsia="fr-FR"/>
        </w:rPr>
        <w:t xml:space="preserve">uglavnom </w:t>
      </w:r>
      <w:r w:rsidR="00D94844" w:rsidRPr="00BF51BB">
        <w:rPr>
          <w:rFonts w:ascii="Arial" w:eastAsia="MS Mincho" w:hAnsi="Arial" w:cs="Arial"/>
          <w:kern w:val="24"/>
          <w:lang w:val="hr-HR" w:eastAsia="fr-FR"/>
        </w:rPr>
        <w:t xml:space="preserve">ih </w:t>
      </w:r>
      <w:r w:rsidRPr="00BF51BB">
        <w:rPr>
          <w:rFonts w:ascii="Arial" w:eastAsia="MS Mincho" w:hAnsi="Arial" w:cs="Arial"/>
          <w:kern w:val="24"/>
          <w:lang w:val="hr-HR" w:eastAsia="fr-FR"/>
        </w:rPr>
        <w:t>čuvaju do dospijeća</w:t>
      </w:r>
      <w:r w:rsidR="00186026" w:rsidRPr="00BF51BB">
        <w:rPr>
          <w:rFonts w:ascii="Arial" w:eastAsia="MS Mincho" w:hAnsi="Arial" w:cs="Arial"/>
          <w:kern w:val="24"/>
          <w:lang w:val="hr-HR" w:eastAsia="fr-FR"/>
        </w:rPr>
        <w:t>.</w:t>
      </w:r>
    </w:p>
    <w:p w14:paraId="5D85C68E" w14:textId="77777777" w:rsidR="00AF5BF0" w:rsidRPr="00BF51BB" w:rsidRDefault="00AF5BF0" w:rsidP="006F06B8">
      <w:pPr>
        <w:pStyle w:val="NoSpacing"/>
        <w:spacing w:line="276" w:lineRule="auto"/>
        <w:jc w:val="both"/>
        <w:rPr>
          <w:rFonts w:ascii="Arial" w:eastAsia="Times New Roman" w:hAnsi="Arial" w:cs="Arial"/>
          <w:lang w:val="hr-HR"/>
        </w:rPr>
      </w:pPr>
    </w:p>
    <w:p w14:paraId="701F168A" w14:textId="6CAC5C62" w:rsidR="00314132" w:rsidRPr="00BF51BB" w:rsidRDefault="00ED768D" w:rsidP="006F06B8">
      <w:pPr>
        <w:pStyle w:val="NoSpacing"/>
        <w:spacing w:line="276" w:lineRule="auto"/>
        <w:jc w:val="both"/>
        <w:rPr>
          <w:rFonts w:ascii="Arial" w:eastAsia="Times New Roman" w:hAnsi="Arial" w:cs="Arial"/>
          <w:lang w:val="hr-HR"/>
        </w:rPr>
      </w:pPr>
      <w:r w:rsidRPr="00BF51BB">
        <w:rPr>
          <w:rFonts w:ascii="Arial" w:eastAsia="Times New Roman" w:hAnsi="Arial" w:cs="Arial"/>
          <w:lang w:val="hr-HR"/>
        </w:rPr>
        <w:t xml:space="preserve">Slika </w:t>
      </w:r>
      <w:r w:rsidR="008A7690" w:rsidRPr="00BF51BB">
        <w:rPr>
          <w:rFonts w:ascii="Arial" w:eastAsia="Times New Roman" w:hAnsi="Arial" w:cs="Arial"/>
          <w:lang w:val="hr-HR"/>
        </w:rPr>
        <w:t>8</w:t>
      </w:r>
      <w:r w:rsidRPr="00BF51BB">
        <w:rPr>
          <w:rFonts w:ascii="Arial" w:eastAsia="Times New Roman" w:hAnsi="Arial" w:cs="Arial"/>
          <w:lang w:val="hr-HR"/>
        </w:rPr>
        <w:t xml:space="preserve">. </w:t>
      </w:r>
      <w:r w:rsidR="00FE4D1A" w:rsidRPr="00BF51BB">
        <w:rPr>
          <w:rFonts w:ascii="Arial" w:eastAsia="Times New Roman" w:hAnsi="Arial" w:cs="Arial"/>
          <w:lang w:val="hr-HR"/>
        </w:rPr>
        <w:t>Kretanje unutrašnjeg</w:t>
      </w:r>
      <w:r w:rsidRPr="00BF51BB">
        <w:rPr>
          <w:rFonts w:ascii="Arial" w:eastAsia="Times New Roman" w:hAnsi="Arial" w:cs="Arial"/>
          <w:lang w:val="hr-HR"/>
        </w:rPr>
        <w:t xml:space="preserve"> duga </w:t>
      </w:r>
      <w:r w:rsidRPr="00BF51BB">
        <w:rPr>
          <w:rFonts w:ascii="Arial" w:hAnsi="Arial" w:cs="Arial"/>
          <w:lang w:val="hr-HR"/>
        </w:rPr>
        <w:t>F</w:t>
      </w:r>
      <w:r w:rsidR="00C65506" w:rsidRPr="00BF51BB">
        <w:rPr>
          <w:rFonts w:ascii="Arial" w:hAnsi="Arial" w:cs="Arial"/>
          <w:lang w:val="hr-HR"/>
        </w:rPr>
        <w:t xml:space="preserve">ederacije </w:t>
      </w:r>
      <w:r w:rsidRPr="00BF51BB">
        <w:rPr>
          <w:rFonts w:ascii="Arial" w:hAnsi="Arial" w:cs="Arial"/>
          <w:lang w:val="hr-HR"/>
        </w:rPr>
        <w:t>BiH</w:t>
      </w:r>
      <w:r w:rsidRPr="00BF51BB">
        <w:rPr>
          <w:rFonts w:ascii="Arial" w:hAnsi="Arial" w:cs="Arial"/>
          <w:bCs/>
          <w:lang w:val="hr-HR"/>
        </w:rPr>
        <w:t xml:space="preserve"> </w:t>
      </w:r>
      <w:r w:rsidRPr="00BF51BB">
        <w:rPr>
          <w:rFonts w:ascii="Arial" w:eastAsia="Times New Roman" w:hAnsi="Arial" w:cs="Arial"/>
          <w:lang w:val="hr-HR"/>
        </w:rPr>
        <w:t xml:space="preserve">po osnovu tržišnih vrijednosnih papira </w:t>
      </w:r>
      <w:r w:rsidR="00FE4D1A" w:rsidRPr="00BF51BB">
        <w:rPr>
          <w:rFonts w:ascii="Arial" w:eastAsia="Times New Roman" w:hAnsi="Arial" w:cs="Arial"/>
          <w:lang w:val="hr-HR"/>
        </w:rPr>
        <w:t xml:space="preserve">u periodu </w:t>
      </w:r>
      <w:r w:rsidRPr="00BF51BB">
        <w:rPr>
          <w:rFonts w:ascii="Arial" w:eastAsia="Times New Roman" w:hAnsi="Arial" w:cs="Arial"/>
          <w:lang w:val="hr-HR"/>
        </w:rPr>
        <w:t>2012</w:t>
      </w:r>
      <w:r w:rsidR="006B072E" w:rsidRPr="00BF51BB">
        <w:rPr>
          <w:rFonts w:ascii="Arial" w:eastAsia="Times New Roman" w:hAnsi="Arial" w:cs="Arial"/>
          <w:lang w:val="hr-HR"/>
        </w:rPr>
        <w:t xml:space="preserve"> – </w:t>
      </w:r>
      <w:r w:rsidR="00271FF1" w:rsidRPr="00BF51BB">
        <w:rPr>
          <w:rFonts w:ascii="Arial" w:eastAsia="Times New Roman" w:hAnsi="Arial" w:cs="Arial"/>
          <w:lang w:val="hr-HR"/>
        </w:rPr>
        <w:t>2021</w:t>
      </w:r>
      <w:r w:rsidR="00B96B4D" w:rsidRPr="00BF51BB">
        <w:rPr>
          <w:rFonts w:ascii="Arial" w:eastAsia="Times New Roman" w:hAnsi="Arial" w:cs="Arial"/>
          <w:lang w:val="hr-HR"/>
        </w:rPr>
        <w:t>.</w:t>
      </w:r>
      <w:r w:rsidR="009406F3" w:rsidRPr="00BF51BB">
        <w:rPr>
          <w:rFonts w:ascii="Arial" w:eastAsia="Times New Roman" w:hAnsi="Arial" w:cs="Arial"/>
          <w:lang w:val="hr-HR"/>
        </w:rPr>
        <w:t xml:space="preserve"> </w:t>
      </w:r>
      <w:r w:rsidR="00F234BC" w:rsidRPr="00BF51BB">
        <w:rPr>
          <w:rFonts w:ascii="Arial" w:eastAsia="Times New Roman" w:hAnsi="Arial" w:cs="Arial"/>
          <w:lang w:val="hr-HR"/>
        </w:rPr>
        <w:t>(mil.</w:t>
      </w:r>
      <w:r w:rsidR="004F6214" w:rsidRPr="00BF51BB">
        <w:rPr>
          <w:rFonts w:ascii="Arial" w:eastAsia="Times New Roman" w:hAnsi="Arial" w:cs="Arial"/>
          <w:lang w:val="hr-HR"/>
        </w:rPr>
        <w:t xml:space="preserve"> </w:t>
      </w:r>
      <w:r w:rsidR="00F234BC" w:rsidRPr="00BF51BB">
        <w:rPr>
          <w:rFonts w:ascii="Arial" w:eastAsia="Times New Roman" w:hAnsi="Arial" w:cs="Arial"/>
          <w:lang w:val="hr-HR"/>
        </w:rPr>
        <w:t xml:space="preserve">KM)    </w:t>
      </w:r>
    </w:p>
    <w:p w14:paraId="6339DCF7" w14:textId="77777777" w:rsidR="00271FF1" w:rsidRPr="00BF51BB" w:rsidRDefault="00271FF1" w:rsidP="006F06B8">
      <w:pPr>
        <w:pStyle w:val="NoSpacing"/>
        <w:spacing w:line="276" w:lineRule="auto"/>
        <w:jc w:val="both"/>
        <w:rPr>
          <w:rFonts w:ascii="Arial" w:eastAsia="Times New Roman" w:hAnsi="Arial" w:cs="Arial"/>
          <w:lang w:val="hr-HR"/>
        </w:rPr>
      </w:pPr>
    </w:p>
    <w:p w14:paraId="100B55C2" w14:textId="227C3EDD" w:rsidR="00271FF1" w:rsidRPr="00BF51BB" w:rsidRDefault="00271FF1" w:rsidP="006F06B8">
      <w:pPr>
        <w:pStyle w:val="NoSpacing"/>
        <w:spacing w:line="276" w:lineRule="auto"/>
        <w:jc w:val="both"/>
        <w:rPr>
          <w:rFonts w:ascii="Arial" w:eastAsia="Times New Roman" w:hAnsi="Arial" w:cs="Arial"/>
          <w:lang w:val="hr-HR"/>
        </w:rPr>
      </w:pPr>
      <w:r w:rsidRPr="00BF51BB">
        <w:rPr>
          <w:noProof/>
        </w:rPr>
        <w:drawing>
          <wp:inline distT="0" distB="0" distL="0" distR="0" wp14:anchorId="1384724A" wp14:editId="009BBDDA">
            <wp:extent cx="5925600" cy="2336400"/>
            <wp:effectExtent l="0" t="0" r="18415" b="698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3B0ADFB" w14:textId="77777777" w:rsidR="009406F3" w:rsidRPr="00BF51BB" w:rsidRDefault="00F234BC" w:rsidP="006F06B8">
      <w:pPr>
        <w:pStyle w:val="NoSpacing"/>
        <w:spacing w:line="276" w:lineRule="auto"/>
        <w:jc w:val="both"/>
        <w:rPr>
          <w:rFonts w:ascii="Arial" w:eastAsia="Times New Roman" w:hAnsi="Arial" w:cs="Arial"/>
          <w:sz w:val="24"/>
          <w:szCs w:val="24"/>
          <w:lang w:val="hr-HR"/>
        </w:rPr>
      </w:pPr>
      <w:r w:rsidRPr="00BF51BB">
        <w:rPr>
          <w:rFonts w:ascii="Arial" w:eastAsia="Times New Roman" w:hAnsi="Arial" w:cs="Arial"/>
          <w:sz w:val="24"/>
          <w:szCs w:val="24"/>
          <w:lang w:val="hr-HR"/>
        </w:rPr>
        <w:t xml:space="preserve">       </w:t>
      </w:r>
    </w:p>
    <w:p w14:paraId="68FDF780" w14:textId="762D5B0A" w:rsidR="00ED768D" w:rsidRPr="00BF51BB" w:rsidRDefault="00ED768D">
      <w:pPr>
        <w:pStyle w:val="NoSpacing"/>
        <w:spacing w:line="276" w:lineRule="auto"/>
        <w:ind w:firstLine="426"/>
        <w:jc w:val="both"/>
        <w:rPr>
          <w:rFonts w:ascii="Arial" w:eastAsia="Times New Roman" w:hAnsi="Arial" w:cs="Arial"/>
          <w:szCs w:val="24"/>
          <w:lang w:val="hr-HR"/>
        </w:rPr>
      </w:pPr>
      <w:r w:rsidRPr="00BF51BB">
        <w:rPr>
          <w:rFonts w:ascii="Arial" w:eastAsia="Times New Roman" w:hAnsi="Arial" w:cs="Arial"/>
          <w:szCs w:val="24"/>
          <w:lang w:val="hr-HR"/>
        </w:rPr>
        <w:lastRenderedPageBreak/>
        <w:t xml:space="preserve">U namjeri da osigura dalji razvoj domaćeg tržišta </w:t>
      </w:r>
      <w:r w:rsidR="00D945EA" w:rsidRPr="00BF51BB">
        <w:rPr>
          <w:rFonts w:ascii="Arial" w:eastAsia="Times New Roman" w:hAnsi="Arial" w:cs="Arial"/>
          <w:szCs w:val="24"/>
          <w:lang w:val="hr-HR"/>
        </w:rPr>
        <w:t>vrijednosnih</w:t>
      </w:r>
      <w:r w:rsidRPr="00BF51BB">
        <w:rPr>
          <w:rFonts w:ascii="Arial" w:eastAsia="Times New Roman" w:hAnsi="Arial" w:cs="Arial"/>
          <w:szCs w:val="24"/>
          <w:lang w:val="hr-HR"/>
        </w:rPr>
        <w:t xml:space="preserve"> papira</w:t>
      </w:r>
      <w:r w:rsidR="00894709" w:rsidRPr="00BF51BB">
        <w:rPr>
          <w:rFonts w:ascii="Arial" w:eastAsia="Times New Roman" w:hAnsi="Arial" w:cs="Arial"/>
          <w:szCs w:val="24"/>
          <w:lang w:val="hr-HR"/>
        </w:rPr>
        <w:t xml:space="preserve"> i</w:t>
      </w:r>
      <w:r w:rsidRPr="00BF51BB">
        <w:rPr>
          <w:rFonts w:ascii="Arial" w:eastAsia="Times New Roman" w:hAnsi="Arial" w:cs="Arial"/>
          <w:szCs w:val="24"/>
          <w:lang w:val="hr-HR"/>
        </w:rPr>
        <w:t xml:space="preserve"> transparentnost zaduživanja, </w:t>
      </w:r>
      <w:r w:rsidR="00C00D11" w:rsidRPr="00BF51BB">
        <w:rPr>
          <w:rFonts w:ascii="Arial" w:eastAsia="Times New Roman" w:hAnsi="Arial" w:cs="Arial"/>
          <w:szCs w:val="24"/>
          <w:lang w:val="hr-HR"/>
        </w:rPr>
        <w:t xml:space="preserve">vodeći </w:t>
      </w:r>
      <w:r w:rsidR="0075508D" w:rsidRPr="00BF51BB">
        <w:rPr>
          <w:rFonts w:ascii="Arial" w:eastAsia="Times New Roman" w:hAnsi="Arial" w:cs="Arial"/>
          <w:szCs w:val="24"/>
          <w:lang w:val="hr-HR"/>
        </w:rPr>
        <w:t xml:space="preserve">pri tom </w:t>
      </w:r>
      <w:r w:rsidR="00C00D11" w:rsidRPr="00BF51BB">
        <w:rPr>
          <w:rFonts w:ascii="Arial" w:eastAsia="Times New Roman" w:hAnsi="Arial" w:cs="Arial"/>
          <w:szCs w:val="24"/>
          <w:lang w:val="hr-HR"/>
        </w:rPr>
        <w:t>računa</w:t>
      </w:r>
      <w:r w:rsidR="00C17159" w:rsidRPr="00BF51BB">
        <w:rPr>
          <w:rFonts w:ascii="Arial" w:eastAsia="Times New Roman" w:hAnsi="Arial" w:cs="Arial"/>
          <w:szCs w:val="24"/>
          <w:lang w:val="hr-HR"/>
        </w:rPr>
        <w:t xml:space="preserve"> o svojim finansijskim potre</w:t>
      </w:r>
      <w:r w:rsidR="00E672EB" w:rsidRPr="00BF51BB">
        <w:rPr>
          <w:rFonts w:ascii="Arial" w:eastAsia="Times New Roman" w:hAnsi="Arial" w:cs="Arial"/>
          <w:szCs w:val="24"/>
          <w:lang w:val="hr-HR"/>
        </w:rPr>
        <w:t>bam</w:t>
      </w:r>
      <w:r w:rsidR="00C17159" w:rsidRPr="00BF51BB">
        <w:rPr>
          <w:rFonts w:ascii="Arial" w:eastAsia="Times New Roman" w:hAnsi="Arial" w:cs="Arial"/>
          <w:szCs w:val="24"/>
          <w:lang w:val="hr-HR"/>
        </w:rPr>
        <w:t>a</w:t>
      </w:r>
      <w:r w:rsidR="005336FE" w:rsidRPr="00BF51BB">
        <w:rPr>
          <w:rFonts w:ascii="Arial" w:eastAsia="Times New Roman" w:hAnsi="Arial" w:cs="Arial"/>
          <w:szCs w:val="24"/>
          <w:lang w:val="hr-HR"/>
        </w:rPr>
        <w:t xml:space="preserve"> i troškovima</w:t>
      </w:r>
      <w:r w:rsidR="00C17159" w:rsidRPr="00BF51BB">
        <w:rPr>
          <w:rFonts w:ascii="Arial" w:eastAsia="Times New Roman" w:hAnsi="Arial" w:cs="Arial"/>
          <w:szCs w:val="24"/>
          <w:lang w:val="hr-HR"/>
        </w:rPr>
        <w:t xml:space="preserve">, </w:t>
      </w:r>
      <w:r w:rsidRPr="00BF51BB">
        <w:rPr>
          <w:rFonts w:ascii="Arial" w:eastAsia="Times New Roman" w:hAnsi="Arial" w:cs="Arial"/>
          <w:szCs w:val="24"/>
          <w:lang w:val="hr-HR"/>
        </w:rPr>
        <w:t>Vlada F</w:t>
      </w:r>
      <w:r w:rsidR="00D450C0" w:rsidRPr="00BF51BB">
        <w:rPr>
          <w:rFonts w:ascii="Arial" w:eastAsia="Times New Roman" w:hAnsi="Arial" w:cs="Arial"/>
          <w:szCs w:val="24"/>
          <w:lang w:val="hr-HR"/>
        </w:rPr>
        <w:t xml:space="preserve">ederacije </w:t>
      </w:r>
      <w:r w:rsidRPr="00BF51BB">
        <w:rPr>
          <w:rFonts w:ascii="Arial" w:eastAsia="Times New Roman" w:hAnsi="Arial" w:cs="Arial"/>
          <w:szCs w:val="24"/>
          <w:lang w:val="hr-HR"/>
        </w:rPr>
        <w:t xml:space="preserve">BiH će nastaviti sa </w:t>
      </w:r>
      <w:r w:rsidR="00544DDC" w:rsidRPr="00BF51BB">
        <w:rPr>
          <w:rFonts w:ascii="Arial" w:eastAsia="Times New Roman" w:hAnsi="Arial" w:cs="Arial"/>
          <w:szCs w:val="24"/>
          <w:lang w:val="hr-HR"/>
        </w:rPr>
        <w:t xml:space="preserve">aukcijama </w:t>
      </w:r>
      <w:r w:rsidR="0047387A" w:rsidRPr="00BF51BB">
        <w:rPr>
          <w:rFonts w:ascii="Arial" w:eastAsia="Times New Roman" w:hAnsi="Arial" w:cs="Arial"/>
          <w:szCs w:val="24"/>
          <w:lang w:val="hr-HR"/>
        </w:rPr>
        <w:t>obveznica</w:t>
      </w:r>
      <w:r w:rsidR="00544DDC" w:rsidRPr="00BF51BB">
        <w:rPr>
          <w:rFonts w:ascii="Arial" w:eastAsia="Times New Roman" w:hAnsi="Arial" w:cs="Arial"/>
          <w:szCs w:val="24"/>
          <w:lang w:val="hr-HR"/>
        </w:rPr>
        <w:t xml:space="preserve"> u mjeri koja je pot</w:t>
      </w:r>
      <w:r w:rsidR="00741A2A" w:rsidRPr="00BF51BB">
        <w:rPr>
          <w:rFonts w:ascii="Arial" w:eastAsia="Times New Roman" w:hAnsi="Arial" w:cs="Arial"/>
          <w:szCs w:val="24"/>
          <w:lang w:val="hr-HR"/>
        </w:rPr>
        <w:t>rebna da se iznos sredstava na J</w:t>
      </w:r>
      <w:r w:rsidR="00544DDC" w:rsidRPr="00BF51BB">
        <w:rPr>
          <w:rFonts w:ascii="Arial" w:eastAsia="Times New Roman" w:hAnsi="Arial" w:cs="Arial"/>
          <w:szCs w:val="24"/>
          <w:lang w:val="hr-HR"/>
        </w:rPr>
        <w:t>edinstvenom računu trezora</w:t>
      </w:r>
      <w:r w:rsidR="00741A2A" w:rsidRPr="00BF51BB">
        <w:rPr>
          <w:rFonts w:ascii="Arial" w:eastAsia="Times New Roman" w:hAnsi="Arial" w:cs="Arial"/>
          <w:szCs w:val="24"/>
          <w:lang w:val="hr-HR"/>
        </w:rPr>
        <w:t xml:space="preserve"> Federacije BiH</w:t>
      </w:r>
      <w:r w:rsidR="00544DDC" w:rsidRPr="00BF51BB">
        <w:rPr>
          <w:rFonts w:ascii="Arial" w:eastAsia="Times New Roman" w:hAnsi="Arial" w:cs="Arial"/>
          <w:szCs w:val="24"/>
          <w:lang w:val="hr-HR"/>
        </w:rPr>
        <w:t xml:space="preserve"> održava na zadovoljavajućem nivou kao i aukcijama trezorskih zapisa </w:t>
      </w:r>
      <w:r w:rsidR="00A93432" w:rsidRPr="00BF51BB">
        <w:rPr>
          <w:rFonts w:ascii="Arial" w:eastAsia="Times New Roman" w:hAnsi="Arial" w:cs="Arial"/>
          <w:szCs w:val="24"/>
          <w:lang w:val="hr-HR"/>
        </w:rPr>
        <w:t xml:space="preserve">u slučaju pojave deficita jedinstvenog računa uzrokovanog </w:t>
      </w:r>
      <w:r w:rsidR="00AF7CAC" w:rsidRPr="00BF51BB">
        <w:rPr>
          <w:rFonts w:ascii="Arial" w:eastAsia="Times New Roman" w:hAnsi="Arial" w:cs="Arial"/>
          <w:szCs w:val="24"/>
          <w:lang w:val="hr-HR"/>
        </w:rPr>
        <w:t>neusklađenošću</w:t>
      </w:r>
      <w:r w:rsidR="00A93432" w:rsidRPr="00BF51BB">
        <w:rPr>
          <w:rFonts w:ascii="Arial" w:eastAsia="Times New Roman" w:hAnsi="Arial" w:cs="Arial"/>
          <w:szCs w:val="24"/>
          <w:lang w:val="hr-HR"/>
        </w:rPr>
        <w:t xml:space="preserve"> gotovinskih tokova</w:t>
      </w:r>
      <w:r w:rsidR="00544DDC" w:rsidRPr="00BF51BB">
        <w:rPr>
          <w:rFonts w:ascii="Arial" w:eastAsia="Times New Roman" w:hAnsi="Arial" w:cs="Arial"/>
          <w:szCs w:val="24"/>
          <w:lang w:val="hr-HR"/>
        </w:rPr>
        <w:t>.</w:t>
      </w:r>
      <w:r w:rsidRPr="00BF51BB">
        <w:rPr>
          <w:rFonts w:ascii="Arial" w:eastAsia="Times New Roman" w:hAnsi="Arial" w:cs="Arial"/>
          <w:szCs w:val="24"/>
          <w:lang w:val="hr-HR"/>
        </w:rPr>
        <w:t xml:space="preserve"> </w:t>
      </w:r>
    </w:p>
    <w:p w14:paraId="0E040B40" w14:textId="77777777" w:rsidR="00CC15D4" w:rsidRDefault="00CC15D4">
      <w:pPr>
        <w:pStyle w:val="NoSpacing"/>
        <w:spacing w:line="276" w:lineRule="auto"/>
        <w:ind w:firstLine="426"/>
        <w:jc w:val="both"/>
        <w:rPr>
          <w:rFonts w:ascii="Arial" w:eastAsia="MS Mincho" w:hAnsi="Arial" w:cs="Arial"/>
          <w:kern w:val="24"/>
          <w:szCs w:val="24"/>
          <w:lang w:val="hr-HR" w:eastAsia="fr-FR"/>
        </w:rPr>
      </w:pPr>
    </w:p>
    <w:p w14:paraId="720CD71E" w14:textId="5AEE962C" w:rsidR="005336FE" w:rsidRPr="00BF51BB" w:rsidRDefault="00D94844">
      <w:pPr>
        <w:pStyle w:val="NoSpacing"/>
        <w:spacing w:line="276" w:lineRule="auto"/>
        <w:ind w:firstLine="426"/>
        <w:jc w:val="both"/>
        <w:rPr>
          <w:rFonts w:ascii="Arial" w:eastAsia="MS Mincho" w:hAnsi="Arial" w:cs="Arial"/>
          <w:kern w:val="24"/>
          <w:szCs w:val="24"/>
          <w:lang w:val="hr-HR" w:eastAsia="fr-FR"/>
        </w:rPr>
      </w:pPr>
      <w:r w:rsidRPr="00BF51BB">
        <w:rPr>
          <w:rFonts w:ascii="Arial" w:eastAsia="MS Mincho" w:hAnsi="Arial" w:cs="Arial"/>
          <w:kern w:val="24"/>
          <w:szCs w:val="24"/>
          <w:lang w:val="hr-HR" w:eastAsia="fr-FR"/>
        </w:rPr>
        <w:t xml:space="preserve">Broj emisija i visina ponude </w:t>
      </w:r>
      <w:r w:rsidR="00ED768D" w:rsidRPr="00BF51BB">
        <w:rPr>
          <w:rFonts w:ascii="Arial" w:eastAsia="MS Mincho" w:hAnsi="Arial" w:cs="Arial"/>
          <w:kern w:val="24"/>
          <w:szCs w:val="24"/>
          <w:lang w:val="hr-HR" w:eastAsia="fr-FR"/>
        </w:rPr>
        <w:t xml:space="preserve">trezorskih zapisa (ročnosti </w:t>
      </w:r>
      <w:r w:rsidR="00017C6F" w:rsidRPr="00BF51BB">
        <w:rPr>
          <w:rFonts w:ascii="Arial" w:eastAsia="MS Mincho" w:hAnsi="Arial" w:cs="Arial"/>
          <w:kern w:val="24"/>
          <w:szCs w:val="24"/>
          <w:lang w:val="hr-HR" w:eastAsia="fr-FR"/>
        </w:rPr>
        <w:t>tri, šest, devet</w:t>
      </w:r>
      <w:r w:rsidR="00017C6F" w:rsidRPr="00BF51BB" w:rsidDel="00017C6F">
        <w:rPr>
          <w:rFonts w:ascii="Arial" w:eastAsia="MS Mincho" w:hAnsi="Arial" w:cs="Arial"/>
          <w:kern w:val="24"/>
          <w:szCs w:val="24"/>
          <w:lang w:val="hr-HR" w:eastAsia="fr-FR"/>
        </w:rPr>
        <w:t xml:space="preserve"> </w:t>
      </w:r>
      <w:r w:rsidR="00ED768D" w:rsidRPr="00BF51BB">
        <w:rPr>
          <w:rFonts w:ascii="Arial" w:eastAsia="MS Mincho" w:hAnsi="Arial" w:cs="Arial"/>
          <w:kern w:val="24"/>
          <w:szCs w:val="24"/>
          <w:lang w:val="hr-HR" w:eastAsia="fr-FR"/>
        </w:rPr>
        <w:t xml:space="preserve">i </w:t>
      </w:r>
      <w:r w:rsidR="0019781C" w:rsidRPr="00BF51BB">
        <w:rPr>
          <w:rFonts w:ascii="Arial" w:eastAsia="MS Mincho" w:hAnsi="Arial" w:cs="Arial"/>
          <w:kern w:val="24"/>
          <w:szCs w:val="24"/>
          <w:lang w:val="hr-HR" w:eastAsia="fr-FR"/>
        </w:rPr>
        <w:t>dvanaest</w:t>
      </w:r>
      <w:r w:rsidR="00ED768D" w:rsidRPr="00BF51BB">
        <w:rPr>
          <w:rFonts w:ascii="Arial" w:eastAsia="MS Mincho" w:hAnsi="Arial" w:cs="Arial"/>
          <w:kern w:val="24"/>
          <w:szCs w:val="24"/>
          <w:lang w:val="hr-HR" w:eastAsia="fr-FR"/>
        </w:rPr>
        <w:t xml:space="preserve"> mjeseci) će varirati zavisno od potreba trezora </w:t>
      </w:r>
      <w:r w:rsidR="00EC1261" w:rsidRPr="00BF51BB">
        <w:rPr>
          <w:rFonts w:ascii="Arial" w:eastAsia="MS Mincho" w:hAnsi="Arial" w:cs="Arial"/>
          <w:kern w:val="24"/>
          <w:szCs w:val="24"/>
          <w:lang w:val="hr-HR" w:eastAsia="fr-FR"/>
        </w:rPr>
        <w:t>u procesu upravljanja</w:t>
      </w:r>
      <w:r w:rsidR="00ED768D" w:rsidRPr="00BF51BB">
        <w:rPr>
          <w:rFonts w:ascii="Arial" w:eastAsia="MS Mincho" w:hAnsi="Arial" w:cs="Arial"/>
          <w:kern w:val="24"/>
          <w:szCs w:val="24"/>
          <w:lang w:val="hr-HR" w:eastAsia="fr-FR"/>
        </w:rPr>
        <w:t xml:space="preserve"> likvidnošću. </w:t>
      </w:r>
      <w:r w:rsidRPr="00BF51BB">
        <w:rPr>
          <w:rFonts w:ascii="Arial" w:eastAsia="MS Mincho" w:hAnsi="Arial" w:cs="Arial"/>
          <w:kern w:val="24"/>
          <w:szCs w:val="24"/>
          <w:lang w:val="hr-HR" w:eastAsia="fr-FR"/>
        </w:rPr>
        <w:t xml:space="preserve">Za buduća </w:t>
      </w:r>
      <w:r w:rsidR="00665414" w:rsidRPr="00BF51BB">
        <w:rPr>
          <w:rFonts w:ascii="Arial" w:eastAsia="MS Mincho" w:hAnsi="Arial" w:cs="Arial"/>
          <w:kern w:val="24"/>
          <w:szCs w:val="24"/>
          <w:lang w:val="hr-HR" w:eastAsia="fr-FR"/>
        </w:rPr>
        <w:t>izdanja obveznica Federacija će uzimati u obzir</w:t>
      </w:r>
      <w:r w:rsidR="00ED768D" w:rsidRPr="00BF51BB">
        <w:rPr>
          <w:rFonts w:ascii="Arial" w:eastAsia="MS Mincho" w:hAnsi="Arial" w:cs="Arial"/>
          <w:kern w:val="24"/>
          <w:szCs w:val="24"/>
          <w:lang w:val="hr-HR" w:eastAsia="fr-FR"/>
        </w:rPr>
        <w:t xml:space="preserve"> interes</w:t>
      </w:r>
      <w:r w:rsidR="00665414" w:rsidRPr="00BF51BB">
        <w:rPr>
          <w:rFonts w:ascii="Arial" w:eastAsia="MS Mincho" w:hAnsi="Arial" w:cs="Arial"/>
          <w:kern w:val="24"/>
          <w:szCs w:val="24"/>
          <w:lang w:val="hr-HR" w:eastAsia="fr-FR"/>
        </w:rPr>
        <w:t>e</w:t>
      </w:r>
      <w:r w:rsidR="00ED768D" w:rsidRPr="00BF51BB">
        <w:rPr>
          <w:rFonts w:ascii="Arial" w:eastAsia="MS Mincho" w:hAnsi="Arial" w:cs="Arial"/>
          <w:kern w:val="24"/>
          <w:szCs w:val="24"/>
          <w:lang w:val="hr-HR" w:eastAsia="fr-FR"/>
        </w:rPr>
        <w:t xml:space="preserve"> investitora</w:t>
      </w:r>
      <w:r w:rsidR="00F81139" w:rsidRPr="00BF51BB">
        <w:rPr>
          <w:rFonts w:ascii="Arial" w:eastAsia="MS Mincho" w:hAnsi="Arial" w:cs="Arial"/>
          <w:kern w:val="24"/>
          <w:szCs w:val="24"/>
          <w:lang w:val="hr-HR" w:eastAsia="fr-FR"/>
        </w:rPr>
        <w:t>,</w:t>
      </w:r>
      <w:r w:rsidR="00ED768D" w:rsidRPr="00BF51BB">
        <w:rPr>
          <w:rFonts w:ascii="Arial" w:eastAsia="MS Mincho" w:hAnsi="Arial" w:cs="Arial"/>
          <w:kern w:val="24"/>
          <w:szCs w:val="24"/>
          <w:lang w:val="hr-HR" w:eastAsia="fr-FR"/>
        </w:rPr>
        <w:t xml:space="preserve"> </w:t>
      </w:r>
      <w:r w:rsidR="00665414" w:rsidRPr="00BF51BB">
        <w:rPr>
          <w:rFonts w:ascii="Arial" w:eastAsia="MS Mincho" w:hAnsi="Arial" w:cs="Arial"/>
          <w:kern w:val="24"/>
          <w:szCs w:val="24"/>
          <w:lang w:val="hr-HR" w:eastAsia="fr-FR"/>
        </w:rPr>
        <w:t xml:space="preserve">ali će </w:t>
      </w:r>
      <w:r w:rsidR="00ED768D" w:rsidRPr="00BF51BB">
        <w:rPr>
          <w:rFonts w:ascii="Arial" w:eastAsia="MS Mincho" w:hAnsi="Arial" w:cs="Arial"/>
          <w:kern w:val="24"/>
          <w:szCs w:val="24"/>
          <w:lang w:val="hr-HR" w:eastAsia="fr-FR"/>
        </w:rPr>
        <w:t>nastojat</w:t>
      </w:r>
      <w:r w:rsidR="00665414" w:rsidRPr="00BF51BB">
        <w:rPr>
          <w:rFonts w:ascii="Arial" w:eastAsia="MS Mincho" w:hAnsi="Arial" w:cs="Arial"/>
          <w:kern w:val="24"/>
          <w:szCs w:val="24"/>
          <w:lang w:val="hr-HR" w:eastAsia="fr-FR"/>
        </w:rPr>
        <w:t>i</w:t>
      </w:r>
      <w:r w:rsidR="00ED768D" w:rsidRPr="00BF51BB">
        <w:rPr>
          <w:rFonts w:ascii="Arial" w:eastAsia="MS Mincho" w:hAnsi="Arial" w:cs="Arial"/>
          <w:kern w:val="24"/>
          <w:szCs w:val="24"/>
          <w:lang w:val="hr-HR" w:eastAsia="fr-FR"/>
        </w:rPr>
        <w:t xml:space="preserve"> </w:t>
      </w:r>
      <w:r w:rsidR="005336FE" w:rsidRPr="00BF51BB">
        <w:rPr>
          <w:rFonts w:ascii="Arial" w:eastAsia="MS Mincho" w:hAnsi="Arial" w:cs="Arial"/>
          <w:kern w:val="24"/>
          <w:szCs w:val="24"/>
          <w:lang w:val="hr-HR" w:eastAsia="fr-FR"/>
        </w:rPr>
        <w:t xml:space="preserve">produžiti </w:t>
      </w:r>
      <w:r w:rsidR="00665414" w:rsidRPr="00BF51BB">
        <w:rPr>
          <w:rFonts w:ascii="Arial" w:eastAsia="MS Mincho" w:hAnsi="Arial" w:cs="Arial"/>
          <w:kern w:val="24"/>
          <w:szCs w:val="24"/>
          <w:lang w:val="hr-HR" w:eastAsia="fr-FR"/>
        </w:rPr>
        <w:t xml:space="preserve">prosječno vrijeme </w:t>
      </w:r>
      <w:r w:rsidR="00AF7CAC" w:rsidRPr="00BF51BB">
        <w:rPr>
          <w:rFonts w:ascii="Arial" w:eastAsia="MS Mincho" w:hAnsi="Arial" w:cs="Arial"/>
          <w:kern w:val="24"/>
          <w:szCs w:val="24"/>
          <w:lang w:val="hr-HR" w:eastAsia="fr-FR"/>
        </w:rPr>
        <w:t>dospijeća</w:t>
      </w:r>
      <w:r w:rsidR="00665414" w:rsidRPr="00BF51BB">
        <w:rPr>
          <w:rFonts w:ascii="Arial" w:eastAsia="MS Mincho" w:hAnsi="Arial" w:cs="Arial"/>
          <w:kern w:val="24"/>
          <w:szCs w:val="24"/>
          <w:lang w:val="hr-HR" w:eastAsia="fr-FR"/>
        </w:rPr>
        <w:t xml:space="preserve"> </w:t>
      </w:r>
      <w:r w:rsidR="005336FE" w:rsidRPr="00BF51BB">
        <w:rPr>
          <w:rFonts w:ascii="Arial" w:eastAsia="MS Mincho" w:hAnsi="Arial" w:cs="Arial"/>
          <w:kern w:val="24"/>
          <w:szCs w:val="24"/>
          <w:lang w:val="hr-HR" w:eastAsia="fr-FR"/>
        </w:rPr>
        <w:t>vrijednosnih papira izdavanjem</w:t>
      </w:r>
      <w:r w:rsidR="00ED768D" w:rsidRPr="00BF51BB">
        <w:rPr>
          <w:rFonts w:ascii="Arial" w:eastAsia="MS Mincho" w:hAnsi="Arial" w:cs="Arial"/>
          <w:kern w:val="24"/>
          <w:szCs w:val="24"/>
          <w:lang w:val="hr-HR" w:eastAsia="fr-FR"/>
        </w:rPr>
        <w:t xml:space="preserve"> obveznic</w:t>
      </w:r>
      <w:r w:rsidRPr="00BF51BB">
        <w:rPr>
          <w:rFonts w:ascii="Arial" w:eastAsia="MS Mincho" w:hAnsi="Arial" w:cs="Arial"/>
          <w:kern w:val="24"/>
          <w:szCs w:val="24"/>
          <w:lang w:val="hr-HR" w:eastAsia="fr-FR"/>
        </w:rPr>
        <w:t>a</w:t>
      </w:r>
      <w:r w:rsidR="00ED768D" w:rsidRPr="00BF51BB">
        <w:rPr>
          <w:rFonts w:ascii="Arial" w:eastAsia="MS Mincho" w:hAnsi="Arial" w:cs="Arial"/>
          <w:kern w:val="24"/>
          <w:szCs w:val="24"/>
          <w:lang w:val="hr-HR" w:eastAsia="fr-FR"/>
        </w:rPr>
        <w:t xml:space="preserve"> </w:t>
      </w:r>
      <w:r w:rsidR="00D945EA" w:rsidRPr="00BF51BB">
        <w:rPr>
          <w:rFonts w:ascii="Arial" w:eastAsia="MS Mincho" w:hAnsi="Arial" w:cs="Arial"/>
          <w:kern w:val="24"/>
          <w:szCs w:val="24"/>
          <w:lang w:val="hr-HR" w:eastAsia="fr-FR"/>
        </w:rPr>
        <w:t>sa dos</w:t>
      </w:r>
      <w:r w:rsidR="00167596" w:rsidRPr="00BF51BB">
        <w:rPr>
          <w:rFonts w:ascii="Arial" w:eastAsia="MS Mincho" w:hAnsi="Arial" w:cs="Arial"/>
          <w:kern w:val="24"/>
          <w:szCs w:val="24"/>
          <w:lang w:val="hr-HR" w:eastAsia="fr-FR"/>
        </w:rPr>
        <w:t>pi</w:t>
      </w:r>
      <w:r w:rsidR="005336FE" w:rsidRPr="00BF51BB">
        <w:rPr>
          <w:rFonts w:ascii="Arial" w:eastAsia="MS Mincho" w:hAnsi="Arial" w:cs="Arial"/>
          <w:kern w:val="24"/>
          <w:szCs w:val="24"/>
          <w:lang w:val="hr-HR" w:eastAsia="fr-FR"/>
        </w:rPr>
        <w:t>jećem</w:t>
      </w:r>
      <w:r w:rsidR="00ED768D" w:rsidRPr="00BF51BB">
        <w:rPr>
          <w:rFonts w:ascii="Arial" w:eastAsia="MS Mincho" w:hAnsi="Arial" w:cs="Arial"/>
          <w:kern w:val="24"/>
          <w:szCs w:val="24"/>
          <w:lang w:val="hr-HR" w:eastAsia="fr-FR"/>
        </w:rPr>
        <w:t xml:space="preserve"> </w:t>
      </w:r>
      <w:r w:rsidR="005336FE" w:rsidRPr="00BF51BB">
        <w:rPr>
          <w:rFonts w:ascii="Arial" w:eastAsia="MS Mincho" w:hAnsi="Arial" w:cs="Arial"/>
          <w:kern w:val="24"/>
          <w:szCs w:val="24"/>
          <w:lang w:val="hr-HR" w:eastAsia="fr-FR"/>
        </w:rPr>
        <w:t>dužim</w:t>
      </w:r>
      <w:r w:rsidR="00B85DE7" w:rsidRPr="00BF51BB">
        <w:rPr>
          <w:rFonts w:ascii="Arial" w:eastAsia="MS Mincho" w:hAnsi="Arial" w:cs="Arial"/>
          <w:kern w:val="24"/>
          <w:szCs w:val="24"/>
          <w:lang w:val="hr-HR" w:eastAsia="fr-FR"/>
        </w:rPr>
        <w:t xml:space="preserve"> </w:t>
      </w:r>
      <w:r w:rsidR="00ED768D" w:rsidRPr="00BF51BB">
        <w:rPr>
          <w:rFonts w:ascii="Arial" w:eastAsia="MS Mincho" w:hAnsi="Arial" w:cs="Arial"/>
          <w:kern w:val="24"/>
          <w:szCs w:val="24"/>
          <w:lang w:val="hr-HR" w:eastAsia="fr-FR"/>
        </w:rPr>
        <w:t xml:space="preserve">od </w:t>
      </w:r>
      <w:r w:rsidR="00665414" w:rsidRPr="00BF51BB">
        <w:rPr>
          <w:rFonts w:ascii="Arial" w:eastAsia="MS Mincho" w:hAnsi="Arial" w:cs="Arial"/>
          <w:kern w:val="24"/>
          <w:szCs w:val="24"/>
          <w:lang w:val="hr-HR" w:eastAsia="fr-FR"/>
        </w:rPr>
        <w:t>pet</w:t>
      </w:r>
      <w:r w:rsidR="00017C6F" w:rsidRPr="00BF51BB">
        <w:rPr>
          <w:rFonts w:ascii="Arial" w:eastAsia="MS Mincho" w:hAnsi="Arial" w:cs="Arial"/>
          <w:kern w:val="24"/>
          <w:szCs w:val="24"/>
          <w:lang w:val="hr-HR" w:eastAsia="fr-FR"/>
        </w:rPr>
        <w:t xml:space="preserve"> </w:t>
      </w:r>
      <w:r w:rsidRPr="00BF51BB">
        <w:rPr>
          <w:rFonts w:ascii="Arial" w:eastAsia="MS Mincho" w:hAnsi="Arial" w:cs="Arial"/>
          <w:kern w:val="24"/>
          <w:szCs w:val="24"/>
          <w:lang w:val="hr-HR" w:eastAsia="fr-FR"/>
        </w:rPr>
        <w:t>godina</w:t>
      </w:r>
      <w:r w:rsidR="00665414" w:rsidRPr="00BF51BB">
        <w:rPr>
          <w:rFonts w:ascii="Arial" w:eastAsia="MS Mincho" w:hAnsi="Arial" w:cs="Arial"/>
          <w:kern w:val="24"/>
          <w:szCs w:val="24"/>
          <w:lang w:val="hr-HR" w:eastAsia="fr-FR"/>
        </w:rPr>
        <w:t>.</w:t>
      </w:r>
      <w:r w:rsidR="00ED768D" w:rsidRPr="00BF51BB">
        <w:rPr>
          <w:rFonts w:ascii="Arial" w:eastAsia="MS Mincho" w:hAnsi="Arial" w:cs="Arial"/>
          <w:kern w:val="24"/>
          <w:szCs w:val="24"/>
          <w:lang w:val="hr-HR" w:eastAsia="fr-FR"/>
        </w:rPr>
        <w:t xml:space="preserve"> </w:t>
      </w:r>
    </w:p>
    <w:p w14:paraId="1C4582C8" w14:textId="77777777" w:rsidR="00CC15D4" w:rsidRDefault="00CC15D4">
      <w:pPr>
        <w:pStyle w:val="NoSpacing"/>
        <w:spacing w:line="276" w:lineRule="auto"/>
        <w:ind w:firstLine="426"/>
        <w:jc w:val="both"/>
        <w:rPr>
          <w:rFonts w:ascii="Arial" w:eastAsia="MS Mincho" w:hAnsi="Arial" w:cs="Arial"/>
          <w:kern w:val="24"/>
          <w:szCs w:val="24"/>
          <w:lang w:val="hr-HR" w:eastAsia="fr-FR"/>
        </w:rPr>
      </w:pPr>
    </w:p>
    <w:p w14:paraId="71A59022" w14:textId="7D03F7C7" w:rsidR="00ED768D" w:rsidRPr="00BF51BB" w:rsidRDefault="00186026">
      <w:pPr>
        <w:pStyle w:val="NoSpacing"/>
        <w:spacing w:line="276" w:lineRule="auto"/>
        <w:ind w:firstLine="426"/>
        <w:jc w:val="both"/>
        <w:rPr>
          <w:rFonts w:ascii="Arial" w:eastAsia="MS Mincho" w:hAnsi="Arial" w:cs="Arial"/>
          <w:kern w:val="24"/>
          <w:szCs w:val="24"/>
          <w:lang w:val="hr-HR" w:eastAsia="fr-FR"/>
        </w:rPr>
      </w:pPr>
      <w:r w:rsidRPr="00BF51BB">
        <w:rPr>
          <w:rFonts w:ascii="Arial" w:eastAsia="MS Mincho" w:hAnsi="Arial" w:cs="Arial"/>
          <w:kern w:val="24"/>
          <w:szCs w:val="24"/>
          <w:lang w:val="hr-HR" w:eastAsia="fr-FR"/>
        </w:rPr>
        <w:t>A</w:t>
      </w:r>
      <w:r w:rsidR="00ED768D" w:rsidRPr="00BF51BB">
        <w:rPr>
          <w:rFonts w:ascii="Arial" w:eastAsia="MS Mincho" w:hAnsi="Arial" w:cs="Arial"/>
          <w:kern w:val="24"/>
          <w:szCs w:val="24"/>
          <w:lang w:val="hr-HR" w:eastAsia="fr-FR"/>
        </w:rPr>
        <w:t>ukcije trž</w:t>
      </w:r>
      <w:r w:rsidR="00894709" w:rsidRPr="00BF51BB">
        <w:rPr>
          <w:rFonts w:ascii="Arial" w:eastAsia="MS Mincho" w:hAnsi="Arial" w:cs="Arial"/>
          <w:kern w:val="24"/>
          <w:szCs w:val="24"/>
          <w:lang w:val="hr-HR" w:eastAsia="fr-FR"/>
        </w:rPr>
        <w:t>iš</w:t>
      </w:r>
      <w:r w:rsidR="00ED768D" w:rsidRPr="00BF51BB">
        <w:rPr>
          <w:rFonts w:ascii="Arial" w:eastAsia="MS Mincho" w:hAnsi="Arial" w:cs="Arial"/>
          <w:kern w:val="24"/>
          <w:szCs w:val="24"/>
          <w:lang w:val="hr-HR" w:eastAsia="fr-FR"/>
        </w:rPr>
        <w:t>nih vrijednosnih papira F</w:t>
      </w:r>
      <w:r w:rsidR="00F81139" w:rsidRPr="00BF51BB">
        <w:rPr>
          <w:rFonts w:ascii="Arial" w:eastAsia="MS Mincho" w:hAnsi="Arial" w:cs="Arial"/>
          <w:kern w:val="24"/>
          <w:szCs w:val="24"/>
          <w:lang w:val="hr-HR" w:eastAsia="fr-FR"/>
        </w:rPr>
        <w:t xml:space="preserve">ederacije </w:t>
      </w:r>
      <w:r w:rsidR="00ED768D" w:rsidRPr="00BF51BB">
        <w:rPr>
          <w:rFonts w:ascii="Arial" w:eastAsia="MS Mincho" w:hAnsi="Arial" w:cs="Arial"/>
          <w:kern w:val="24"/>
          <w:szCs w:val="24"/>
          <w:lang w:val="hr-HR" w:eastAsia="fr-FR"/>
        </w:rPr>
        <w:t>BiH održavaju se u skladu sa godišnjim indikativnim kalendarom aukcija, koj</w:t>
      </w:r>
      <w:r w:rsidR="00B85DE7" w:rsidRPr="00BF51BB">
        <w:rPr>
          <w:rFonts w:ascii="Arial" w:eastAsia="MS Mincho" w:hAnsi="Arial" w:cs="Arial"/>
          <w:kern w:val="24"/>
          <w:szCs w:val="24"/>
          <w:lang w:val="hr-HR" w:eastAsia="fr-FR"/>
        </w:rPr>
        <w:t>i</w:t>
      </w:r>
      <w:r w:rsidR="00ED768D" w:rsidRPr="00BF51BB">
        <w:rPr>
          <w:rFonts w:ascii="Arial" w:eastAsia="MS Mincho" w:hAnsi="Arial" w:cs="Arial"/>
          <w:kern w:val="24"/>
          <w:szCs w:val="24"/>
          <w:lang w:val="hr-HR" w:eastAsia="fr-FR"/>
        </w:rPr>
        <w:t xml:space="preserve"> </w:t>
      </w:r>
      <w:r w:rsidR="00280357" w:rsidRPr="00BF51BB">
        <w:rPr>
          <w:rFonts w:ascii="Arial" w:eastAsia="MS Mincho" w:hAnsi="Arial" w:cs="Arial"/>
          <w:kern w:val="24"/>
          <w:szCs w:val="24"/>
          <w:lang w:val="hr-HR" w:eastAsia="fr-FR"/>
        </w:rPr>
        <w:t>Ministarstvo finansija</w:t>
      </w:r>
      <w:r w:rsidR="00ED768D" w:rsidRPr="00BF51BB">
        <w:rPr>
          <w:rFonts w:ascii="Arial" w:eastAsia="MS Mincho" w:hAnsi="Arial" w:cs="Arial"/>
          <w:kern w:val="24"/>
          <w:szCs w:val="24"/>
          <w:lang w:val="hr-HR" w:eastAsia="fr-FR"/>
        </w:rPr>
        <w:t xml:space="preserve"> objavljuje na svojoj </w:t>
      </w:r>
      <w:r w:rsidR="0019781C" w:rsidRPr="00BF51BB">
        <w:rPr>
          <w:rFonts w:ascii="Arial" w:eastAsia="MS Mincho" w:hAnsi="Arial" w:cs="Arial"/>
          <w:kern w:val="24"/>
          <w:szCs w:val="24"/>
          <w:lang w:val="hr-HR" w:eastAsia="fr-FR"/>
        </w:rPr>
        <w:t>web</w:t>
      </w:r>
      <w:r w:rsidR="00B85DE7" w:rsidRPr="00BF51BB">
        <w:rPr>
          <w:rFonts w:ascii="Arial" w:eastAsia="MS Mincho" w:hAnsi="Arial" w:cs="Arial"/>
          <w:kern w:val="24"/>
          <w:szCs w:val="24"/>
          <w:lang w:val="hr-HR" w:eastAsia="fr-FR"/>
        </w:rPr>
        <w:t xml:space="preserve"> </w:t>
      </w:r>
      <w:r w:rsidRPr="00BF51BB">
        <w:rPr>
          <w:rFonts w:ascii="Arial" w:eastAsia="MS Mincho" w:hAnsi="Arial" w:cs="Arial"/>
          <w:kern w:val="24"/>
          <w:szCs w:val="24"/>
          <w:lang w:val="hr-HR" w:eastAsia="fr-FR"/>
        </w:rPr>
        <w:t xml:space="preserve">stranici, osim u slučaju kada zbog zadovoljavajuće likvidnosti jedinstvenog računa trezora </w:t>
      </w:r>
      <w:r w:rsidR="00D311D5" w:rsidRPr="00BF51BB">
        <w:rPr>
          <w:rFonts w:ascii="Arial" w:eastAsia="MS Mincho" w:hAnsi="Arial" w:cs="Arial"/>
          <w:kern w:val="24"/>
          <w:szCs w:val="24"/>
          <w:lang w:val="hr-HR" w:eastAsia="fr-FR"/>
        </w:rPr>
        <w:t>Ministarstv</w:t>
      </w:r>
      <w:r w:rsidR="003720F7" w:rsidRPr="00BF51BB">
        <w:rPr>
          <w:rFonts w:ascii="Arial" w:eastAsia="MS Mincho" w:hAnsi="Arial" w:cs="Arial"/>
          <w:kern w:val="24"/>
          <w:szCs w:val="24"/>
          <w:lang w:val="hr-HR" w:eastAsia="fr-FR"/>
        </w:rPr>
        <w:t>o</w:t>
      </w:r>
      <w:r w:rsidR="00D311D5" w:rsidRPr="00BF51BB">
        <w:rPr>
          <w:rFonts w:ascii="Arial" w:eastAsia="MS Mincho" w:hAnsi="Arial" w:cs="Arial"/>
          <w:kern w:val="24"/>
          <w:szCs w:val="24"/>
          <w:lang w:val="hr-HR" w:eastAsia="fr-FR"/>
        </w:rPr>
        <w:t xml:space="preserve"> finansija</w:t>
      </w:r>
      <w:r w:rsidRPr="00BF51BB">
        <w:rPr>
          <w:rFonts w:ascii="Arial" w:eastAsia="MS Mincho" w:hAnsi="Arial" w:cs="Arial"/>
          <w:kern w:val="24"/>
          <w:szCs w:val="24"/>
          <w:lang w:val="hr-HR" w:eastAsia="fr-FR"/>
        </w:rPr>
        <w:t xml:space="preserve"> otkaže najavljene aukcije.</w:t>
      </w:r>
      <w:r w:rsidR="00ED768D" w:rsidRPr="00BF51BB">
        <w:rPr>
          <w:rFonts w:ascii="Arial" w:eastAsia="MS Mincho" w:hAnsi="Arial" w:cs="Arial"/>
          <w:kern w:val="24"/>
          <w:szCs w:val="24"/>
          <w:lang w:val="hr-HR" w:eastAsia="fr-FR"/>
        </w:rPr>
        <w:t xml:space="preserve"> </w:t>
      </w:r>
    </w:p>
    <w:p w14:paraId="77975A77" w14:textId="77777777" w:rsidR="00ED768D" w:rsidRPr="00BF51BB" w:rsidRDefault="00ED768D" w:rsidP="00ED768D">
      <w:pPr>
        <w:pStyle w:val="NoSpacing"/>
        <w:jc w:val="both"/>
        <w:rPr>
          <w:rFonts w:ascii="Arial" w:eastAsia="MS Mincho" w:hAnsi="Arial" w:cs="Arial"/>
          <w:kern w:val="24"/>
          <w:sz w:val="14"/>
          <w:szCs w:val="24"/>
          <w:lang w:val="hr-HR" w:eastAsia="fr-FR"/>
        </w:rPr>
      </w:pPr>
    </w:p>
    <w:p w14:paraId="047679A6" w14:textId="4C191958" w:rsidR="00ED768D" w:rsidRDefault="00ED768D" w:rsidP="00154166">
      <w:pPr>
        <w:pStyle w:val="NoSpacing"/>
        <w:jc w:val="both"/>
        <w:rPr>
          <w:rFonts w:ascii="Arial" w:eastAsia="MS Mincho" w:hAnsi="Arial" w:cs="Arial"/>
          <w:kern w:val="24"/>
          <w:szCs w:val="24"/>
          <w:lang w:val="hr-HR" w:eastAsia="fr-FR"/>
        </w:rPr>
      </w:pPr>
      <w:r w:rsidRPr="00BF51BB">
        <w:rPr>
          <w:rFonts w:ascii="Arial" w:eastAsia="MS Mincho" w:hAnsi="Arial" w:cs="Arial"/>
          <w:kern w:val="24"/>
          <w:szCs w:val="24"/>
          <w:lang w:val="hr-HR" w:eastAsia="fr-FR"/>
        </w:rPr>
        <w:t xml:space="preserve">Tabela </w:t>
      </w:r>
      <w:r w:rsidR="005A0B60" w:rsidRPr="00BF51BB">
        <w:rPr>
          <w:rFonts w:ascii="Arial" w:eastAsia="MS Mincho" w:hAnsi="Arial" w:cs="Arial"/>
          <w:kern w:val="24"/>
          <w:szCs w:val="24"/>
          <w:lang w:val="hr-HR" w:eastAsia="fr-FR"/>
        </w:rPr>
        <w:t>9</w:t>
      </w:r>
      <w:r w:rsidRPr="00BF51BB">
        <w:rPr>
          <w:rFonts w:ascii="Arial" w:eastAsia="MS Mincho" w:hAnsi="Arial" w:cs="Arial"/>
          <w:kern w:val="24"/>
          <w:szCs w:val="24"/>
          <w:lang w:val="hr-HR" w:eastAsia="fr-FR"/>
        </w:rPr>
        <w:t xml:space="preserve">. </w:t>
      </w:r>
      <w:r w:rsidR="00F81139" w:rsidRPr="00BF51BB">
        <w:rPr>
          <w:rFonts w:ascii="Arial" w:eastAsia="MS Mincho" w:hAnsi="Arial" w:cs="Arial"/>
          <w:kern w:val="24"/>
          <w:szCs w:val="24"/>
          <w:lang w:val="hr-HR" w:eastAsia="fr-FR"/>
        </w:rPr>
        <w:t>Struktura, troškovi i rizici d</w:t>
      </w:r>
      <w:r w:rsidRPr="00BF51BB">
        <w:rPr>
          <w:rFonts w:ascii="Arial" w:eastAsia="MS Mincho" w:hAnsi="Arial" w:cs="Arial"/>
          <w:kern w:val="24"/>
          <w:szCs w:val="24"/>
          <w:lang w:val="hr-HR" w:eastAsia="fr-FR"/>
        </w:rPr>
        <w:t>omaći</w:t>
      </w:r>
      <w:r w:rsidR="00F81139" w:rsidRPr="00BF51BB">
        <w:rPr>
          <w:rFonts w:ascii="Arial" w:eastAsia="MS Mincho" w:hAnsi="Arial" w:cs="Arial"/>
          <w:kern w:val="24"/>
          <w:szCs w:val="24"/>
          <w:lang w:val="hr-HR" w:eastAsia="fr-FR"/>
        </w:rPr>
        <w:t>h</w:t>
      </w:r>
      <w:r w:rsidRPr="00BF51BB">
        <w:rPr>
          <w:rFonts w:ascii="Arial" w:eastAsia="MS Mincho" w:hAnsi="Arial" w:cs="Arial"/>
          <w:kern w:val="24"/>
          <w:szCs w:val="24"/>
          <w:lang w:val="hr-HR" w:eastAsia="fr-FR"/>
        </w:rPr>
        <w:t xml:space="preserve"> izvor</w:t>
      </w:r>
      <w:r w:rsidR="00F81139" w:rsidRPr="00BF51BB">
        <w:rPr>
          <w:rFonts w:ascii="Arial" w:eastAsia="MS Mincho" w:hAnsi="Arial" w:cs="Arial"/>
          <w:kern w:val="24"/>
          <w:szCs w:val="24"/>
          <w:lang w:val="hr-HR" w:eastAsia="fr-FR"/>
        </w:rPr>
        <w:t>a</w:t>
      </w:r>
      <w:r w:rsidRPr="00BF51BB">
        <w:rPr>
          <w:rFonts w:ascii="Arial" w:eastAsia="MS Mincho" w:hAnsi="Arial" w:cs="Arial"/>
          <w:kern w:val="24"/>
          <w:szCs w:val="24"/>
          <w:lang w:val="hr-HR" w:eastAsia="fr-FR"/>
        </w:rPr>
        <w:t xml:space="preserve"> finansiranja</w:t>
      </w:r>
    </w:p>
    <w:p w14:paraId="79EE2F24" w14:textId="77777777" w:rsidR="00CC15D4" w:rsidRPr="00BF51BB" w:rsidRDefault="00CC15D4" w:rsidP="00154166">
      <w:pPr>
        <w:pStyle w:val="NoSpacing"/>
        <w:jc w:val="both"/>
        <w:rPr>
          <w:rFonts w:ascii="Arial" w:eastAsia="MS Mincho" w:hAnsi="Arial" w:cs="Arial"/>
          <w:kern w:val="24"/>
          <w:szCs w:val="24"/>
          <w:lang w:val="hr-HR" w:eastAsia="fr-FR"/>
        </w:rPr>
      </w:pPr>
    </w:p>
    <w:tbl>
      <w:tblPr>
        <w:tblStyle w:val="GridTable4-Accent11"/>
        <w:tblpPr w:leftFromText="180" w:rightFromText="180" w:vertAnchor="text" w:tblpY="50"/>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71"/>
        <w:gridCol w:w="3544"/>
        <w:gridCol w:w="4536"/>
      </w:tblGrid>
      <w:tr w:rsidR="005B6230" w:rsidRPr="00BF51BB" w14:paraId="0DEAA8C3" w14:textId="77777777" w:rsidTr="005B623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2C7DF0D0" w14:textId="77777777" w:rsidR="005B6230" w:rsidRPr="00BF51BB" w:rsidRDefault="005B6230" w:rsidP="005B6230">
            <w:pPr>
              <w:pStyle w:val="NoSpacing"/>
              <w:jc w:val="center"/>
              <w:rPr>
                <w:rFonts w:ascii="Arial Narrow" w:hAnsi="Arial Narrow" w:cs="Arial"/>
                <w:b w:val="0"/>
                <w:i/>
                <w:color w:val="auto"/>
                <w:sz w:val="20"/>
                <w:szCs w:val="20"/>
                <w:lang w:val="hr-HR"/>
              </w:rPr>
            </w:pPr>
            <w:bookmarkStart w:id="125" w:name="_GoBack"/>
            <w:r w:rsidRPr="00BF51BB">
              <w:rPr>
                <w:rFonts w:ascii="Arial Narrow" w:hAnsi="Arial Narrow" w:cs="Arial"/>
                <w:b w:val="0"/>
                <w:i/>
                <w:color w:val="auto"/>
                <w:sz w:val="20"/>
                <w:szCs w:val="20"/>
                <w:lang w:val="hr-HR"/>
              </w:rPr>
              <w:t>OPIS</w:t>
            </w:r>
          </w:p>
        </w:tc>
        <w:tc>
          <w:tcPr>
            <w:tcW w:w="3544" w:type="dxa"/>
            <w:shd w:val="clear" w:color="auto" w:fill="auto"/>
            <w:vAlign w:val="center"/>
          </w:tcPr>
          <w:p w14:paraId="768C152E" w14:textId="77777777" w:rsidR="005B6230" w:rsidRPr="00BF51BB" w:rsidRDefault="005B6230" w:rsidP="005B6230">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lang w:val="hr-HR"/>
              </w:rPr>
            </w:pPr>
            <w:r w:rsidRPr="00BF51BB">
              <w:rPr>
                <w:rFonts w:ascii="Arial Narrow" w:hAnsi="Arial Narrow" w:cs="Arial"/>
                <w:b w:val="0"/>
                <w:i/>
                <w:color w:val="auto"/>
                <w:sz w:val="20"/>
                <w:szCs w:val="20"/>
                <w:lang w:val="hr-HR"/>
              </w:rPr>
              <w:t>Trezorski zapisi</w:t>
            </w:r>
          </w:p>
        </w:tc>
        <w:tc>
          <w:tcPr>
            <w:tcW w:w="4536" w:type="dxa"/>
            <w:shd w:val="clear" w:color="auto" w:fill="auto"/>
            <w:vAlign w:val="center"/>
          </w:tcPr>
          <w:p w14:paraId="771579B2" w14:textId="77777777" w:rsidR="005B6230" w:rsidRPr="00BF51BB" w:rsidRDefault="005B6230" w:rsidP="005B6230">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lang w:val="hr-HR"/>
              </w:rPr>
            </w:pPr>
            <w:r w:rsidRPr="00BF51BB">
              <w:rPr>
                <w:rFonts w:ascii="Arial Narrow" w:hAnsi="Arial Narrow" w:cs="Arial"/>
                <w:b w:val="0"/>
                <w:i/>
                <w:color w:val="auto"/>
                <w:sz w:val="20"/>
                <w:szCs w:val="20"/>
                <w:lang w:val="hr-HR"/>
              </w:rPr>
              <w:t>Obveznice FBiH</w:t>
            </w:r>
          </w:p>
        </w:tc>
      </w:tr>
      <w:tr w:rsidR="005B6230" w:rsidRPr="00BF51BB" w14:paraId="43E23CD5" w14:textId="77777777" w:rsidTr="005B62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7E59077E" w14:textId="77777777" w:rsidR="005B6230" w:rsidRPr="00BF51BB" w:rsidRDefault="005B6230" w:rsidP="005B6230">
            <w:pPr>
              <w:rPr>
                <w:rFonts w:ascii="Arial Narrow" w:eastAsia="Times New Roman" w:hAnsi="Arial Narrow" w:cs="Arial"/>
                <w:b w:val="0"/>
                <w:i/>
                <w:sz w:val="20"/>
                <w:szCs w:val="20"/>
              </w:rPr>
            </w:pPr>
            <w:r w:rsidRPr="00BF51BB">
              <w:rPr>
                <w:rFonts w:ascii="Arial Narrow" w:eastAsia="Times New Roman" w:hAnsi="Arial Narrow" w:cs="Arial"/>
                <w:b w:val="0"/>
                <w:i/>
                <w:sz w:val="20"/>
                <w:szCs w:val="20"/>
              </w:rPr>
              <w:t xml:space="preserve">Struktura </w:t>
            </w:r>
          </w:p>
        </w:tc>
        <w:tc>
          <w:tcPr>
            <w:tcW w:w="3544" w:type="dxa"/>
            <w:shd w:val="clear" w:color="auto" w:fill="auto"/>
            <w:vAlign w:val="center"/>
          </w:tcPr>
          <w:p w14:paraId="388177FE" w14:textId="77777777" w:rsidR="005B6230" w:rsidRPr="00BF51BB"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BF51BB">
              <w:rPr>
                <w:rFonts w:ascii="Arial Narrow" w:eastAsia="Times New Roman" w:hAnsi="Arial Narrow" w:cs="Arial"/>
                <w:i/>
                <w:sz w:val="20"/>
                <w:szCs w:val="20"/>
              </w:rPr>
              <w:t>Diskont, jednokratna isplata</w:t>
            </w:r>
          </w:p>
        </w:tc>
        <w:tc>
          <w:tcPr>
            <w:tcW w:w="4536" w:type="dxa"/>
            <w:shd w:val="clear" w:color="auto" w:fill="auto"/>
            <w:vAlign w:val="center"/>
          </w:tcPr>
          <w:p w14:paraId="59E511A1" w14:textId="77777777" w:rsidR="005B6230" w:rsidRPr="00BF51BB"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BF51BB">
              <w:rPr>
                <w:rFonts w:ascii="Arial Narrow" w:eastAsia="Times New Roman" w:hAnsi="Arial Narrow" w:cs="Arial"/>
                <w:i/>
                <w:sz w:val="20"/>
                <w:szCs w:val="20"/>
              </w:rPr>
              <w:t>Fiksna ili varijabilna kamata, jednokratna isplata</w:t>
            </w:r>
          </w:p>
        </w:tc>
      </w:tr>
      <w:tr w:rsidR="005B6230" w:rsidRPr="00BF51BB" w14:paraId="6C9AA92D" w14:textId="77777777" w:rsidTr="005B6230">
        <w:trPr>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9448E12" w14:textId="77777777" w:rsidR="005B6230" w:rsidRPr="00BF51BB" w:rsidRDefault="005B6230" w:rsidP="005B6230">
            <w:pPr>
              <w:rPr>
                <w:rFonts w:ascii="Arial Narrow" w:eastAsia="Times New Roman" w:hAnsi="Arial Narrow" w:cs="Arial"/>
                <w:b w:val="0"/>
                <w:i/>
                <w:sz w:val="20"/>
                <w:szCs w:val="20"/>
              </w:rPr>
            </w:pPr>
            <w:r w:rsidRPr="00BF51BB">
              <w:rPr>
                <w:rFonts w:ascii="Arial Narrow" w:eastAsia="Times New Roman" w:hAnsi="Arial Narrow" w:cs="Arial"/>
                <w:b w:val="0"/>
                <w:i/>
                <w:sz w:val="20"/>
                <w:szCs w:val="20"/>
              </w:rPr>
              <w:t xml:space="preserve">Karakteristike </w:t>
            </w:r>
          </w:p>
        </w:tc>
        <w:tc>
          <w:tcPr>
            <w:tcW w:w="3544" w:type="dxa"/>
            <w:shd w:val="clear" w:color="auto" w:fill="auto"/>
            <w:vAlign w:val="center"/>
          </w:tcPr>
          <w:p w14:paraId="360B2873" w14:textId="77777777" w:rsidR="005B6230" w:rsidRPr="00BF51BB"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BF51BB">
              <w:rPr>
                <w:rFonts w:ascii="Arial Narrow" w:eastAsia="Times New Roman" w:hAnsi="Arial Narrow" w:cs="Arial"/>
                <w:i/>
                <w:sz w:val="20"/>
                <w:szCs w:val="20"/>
              </w:rPr>
              <w:t>Jednostavni, dobra potražnja</w:t>
            </w:r>
          </w:p>
        </w:tc>
        <w:tc>
          <w:tcPr>
            <w:tcW w:w="4536" w:type="dxa"/>
            <w:shd w:val="clear" w:color="auto" w:fill="auto"/>
            <w:vAlign w:val="center"/>
          </w:tcPr>
          <w:p w14:paraId="651B8A6F" w14:textId="77777777" w:rsidR="005B6230" w:rsidRPr="00BF51BB"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BF51BB">
              <w:rPr>
                <w:rFonts w:ascii="Arial Narrow" w:eastAsia="Times New Roman" w:hAnsi="Arial Narrow" w:cs="Arial"/>
                <w:i/>
                <w:sz w:val="20"/>
                <w:szCs w:val="20"/>
              </w:rPr>
              <w:t>Tražnja zadovoljava trenutne potrebe, razvoj tržišta će utjecati na potražnju</w:t>
            </w:r>
          </w:p>
        </w:tc>
      </w:tr>
      <w:tr w:rsidR="005B6230" w:rsidRPr="00BF51BB" w14:paraId="07146A20" w14:textId="77777777" w:rsidTr="005B62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04590FEC" w14:textId="77777777" w:rsidR="005B6230" w:rsidRPr="00BF51BB" w:rsidRDefault="005B6230" w:rsidP="005B6230">
            <w:pPr>
              <w:rPr>
                <w:rFonts w:ascii="Arial Narrow" w:eastAsia="Times New Roman" w:hAnsi="Arial Narrow" w:cs="Arial"/>
                <w:b w:val="0"/>
                <w:i/>
                <w:sz w:val="20"/>
                <w:szCs w:val="20"/>
              </w:rPr>
            </w:pPr>
            <w:r w:rsidRPr="00BF51BB">
              <w:rPr>
                <w:rFonts w:ascii="Arial Narrow" w:eastAsia="Times New Roman" w:hAnsi="Arial Narrow" w:cs="Arial"/>
                <w:b w:val="0"/>
                <w:i/>
                <w:sz w:val="20"/>
                <w:szCs w:val="20"/>
              </w:rPr>
              <w:t>Troškovi</w:t>
            </w:r>
          </w:p>
        </w:tc>
        <w:tc>
          <w:tcPr>
            <w:tcW w:w="3544" w:type="dxa"/>
            <w:shd w:val="clear" w:color="auto" w:fill="auto"/>
            <w:vAlign w:val="center"/>
          </w:tcPr>
          <w:p w14:paraId="67C48BDA" w14:textId="77777777" w:rsidR="005B6230" w:rsidRPr="00BF51BB"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BF51BB">
              <w:rPr>
                <w:rFonts w:ascii="Arial Narrow" w:eastAsia="Times New Roman" w:hAnsi="Arial Narrow" w:cs="Arial"/>
                <w:i/>
                <w:sz w:val="20"/>
                <w:szCs w:val="20"/>
              </w:rPr>
              <w:t>Niski, osim u slučaju krize likvidnosti ili izdanja većih volumena</w:t>
            </w:r>
          </w:p>
        </w:tc>
        <w:tc>
          <w:tcPr>
            <w:tcW w:w="4536" w:type="dxa"/>
            <w:shd w:val="clear" w:color="auto" w:fill="auto"/>
            <w:vAlign w:val="center"/>
          </w:tcPr>
          <w:p w14:paraId="7A361018" w14:textId="77777777" w:rsidR="005B6230" w:rsidRPr="00BF51BB" w:rsidRDefault="005B6230" w:rsidP="005B6230">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sidRPr="00BF51BB">
              <w:rPr>
                <w:rFonts w:ascii="Arial Narrow" w:eastAsia="Times New Roman" w:hAnsi="Arial Narrow" w:cs="Arial"/>
                <w:i/>
                <w:sz w:val="20"/>
                <w:szCs w:val="20"/>
              </w:rPr>
              <w:t>Rast volumena izdanja i produžetak ročnosti može izazvati rast troškova</w:t>
            </w:r>
          </w:p>
        </w:tc>
      </w:tr>
      <w:tr w:rsidR="005B6230" w:rsidRPr="00BF51BB" w14:paraId="3F0EB17A" w14:textId="77777777" w:rsidTr="005B6230">
        <w:trPr>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3537F56A" w14:textId="77777777" w:rsidR="005B6230" w:rsidRPr="00BF51BB" w:rsidRDefault="005B6230" w:rsidP="005B6230">
            <w:pPr>
              <w:rPr>
                <w:rFonts w:ascii="Arial Narrow" w:eastAsia="Times New Roman" w:hAnsi="Arial Narrow" w:cs="Arial"/>
                <w:b w:val="0"/>
                <w:i/>
                <w:sz w:val="20"/>
                <w:szCs w:val="20"/>
              </w:rPr>
            </w:pPr>
            <w:r w:rsidRPr="00BF51BB">
              <w:rPr>
                <w:rFonts w:ascii="Arial Narrow" w:eastAsia="Times New Roman" w:hAnsi="Arial Narrow" w:cs="Arial"/>
                <w:b w:val="0"/>
                <w:i/>
                <w:sz w:val="20"/>
                <w:szCs w:val="20"/>
              </w:rPr>
              <w:t>Rizici</w:t>
            </w:r>
          </w:p>
        </w:tc>
        <w:tc>
          <w:tcPr>
            <w:tcW w:w="3544" w:type="dxa"/>
            <w:shd w:val="clear" w:color="auto" w:fill="auto"/>
            <w:vAlign w:val="center"/>
          </w:tcPr>
          <w:p w14:paraId="3ECEA84B" w14:textId="77777777" w:rsidR="005B6230" w:rsidRPr="00BF51BB"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BF51BB">
              <w:rPr>
                <w:rFonts w:ascii="Arial Narrow" w:eastAsia="Times New Roman" w:hAnsi="Arial Narrow" w:cs="Arial"/>
                <w:i/>
                <w:sz w:val="20"/>
                <w:szCs w:val="20"/>
              </w:rPr>
              <w:t>Rizici refiksiranja i refinansiranja</w:t>
            </w:r>
          </w:p>
        </w:tc>
        <w:tc>
          <w:tcPr>
            <w:tcW w:w="4536" w:type="dxa"/>
            <w:shd w:val="clear" w:color="auto" w:fill="auto"/>
            <w:vAlign w:val="center"/>
          </w:tcPr>
          <w:p w14:paraId="191B1559" w14:textId="77777777" w:rsidR="005B6230" w:rsidRPr="00BF51BB" w:rsidRDefault="005B6230" w:rsidP="005B6230">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sidRPr="00BF51BB">
              <w:rPr>
                <w:rFonts w:ascii="Arial Narrow" w:eastAsia="Times New Roman" w:hAnsi="Arial Narrow" w:cs="Arial"/>
                <w:i/>
                <w:sz w:val="20"/>
                <w:szCs w:val="20"/>
              </w:rPr>
              <w:t>Rizici zavise od ostvarene ročnosti, a uključuju rizik refinansiranja, a u slučaju varijabilnih stopa i rizik refiksiranja</w:t>
            </w:r>
          </w:p>
        </w:tc>
      </w:tr>
      <w:bookmarkEnd w:id="125"/>
    </w:tbl>
    <w:p w14:paraId="7F85A20F" w14:textId="423D6473" w:rsidR="00B63B7A" w:rsidRPr="00BF51BB" w:rsidRDefault="00B63B7A" w:rsidP="00154166">
      <w:pPr>
        <w:pStyle w:val="NoSpacing"/>
        <w:jc w:val="both"/>
        <w:rPr>
          <w:rFonts w:ascii="Arial" w:eastAsia="MS Mincho" w:hAnsi="Arial" w:cs="Arial"/>
          <w:kern w:val="24"/>
          <w:sz w:val="24"/>
          <w:szCs w:val="24"/>
          <w:lang w:val="hr-HR" w:eastAsia="fr-FR"/>
        </w:rPr>
      </w:pPr>
    </w:p>
    <w:p w14:paraId="666A9363" w14:textId="77777777" w:rsidR="005B6230" w:rsidRPr="00BF51BB" w:rsidRDefault="005B6230" w:rsidP="00154166">
      <w:pPr>
        <w:pStyle w:val="NoSpacing"/>
        <w:jc w:val="both"/>
        <w:rPr>
          <w:rFonts w:ascii="Arial" w:eastAsia="MS Mincho" w:hAnsi="Arial" w:cs="Arial"/>
          <w:kern w:val="24"/>
          <w:sz w:val="24"/>
          <w:szCs w:val="24"/>
          <w:lang w:val="hr-HR" w:eastAsia="fr-FR"/>
        </w:rPr>
      </w:pPr>
    </w:p>
    <w:p w14:paraId="0E1CA0D5" w14:textId="77777777" w:rsidR="00186026" w:rsidRPr="00BF51BB" w:rsidRDefault="00186026" w:rsidP="00154166">
      <w:pPr>
        <w:spacing w:after="0" w:line="240" w:lineRule="auto"/>
        <w:rPr>
          <w:sz w:val="8"/>
        </w:rPr>
      </w:pPr>
    </w:p>
    <w:p w14:paraId="33FA207E" w14:textId="77862EAE" w:rsidR="00ED768D" w:rsidRPr="00BF51BB" w:rsidRDefault="00ED768D" w:rsidP="00154166">
      <w:pPr>
        <w:pStyle w:val="Heading1"/>
        <w:numPr>
          <w:ilvl w:val="0"/>
          <w:numId w:val="10"/>
        </w:numPr>
        <w:spacing w:before="0"/>
        <w:rPr>
          <w:rFonts w:ascii="Arial" w:hAnsi="Arial" w:cs="Arial"/>
          <w:b w:val="0"/>
          <w:color w:val="auto"/>
        </w:rPr>
      </w:pPr>
      <w:bookmarkStart w:id="126" w:name="_Toc407962575"/>
      <w:bookmarkStart w:id="127" w:name="_Toc101781047"/>
      <w:r w:rsidRPr="00BF51BB">
        <w:rPr>
          <w:rFonts w:ascii="Arial" w:hAnsi="Arial" w:cs="Arial"/>
          <w:b w:val="0"/>
          <w:color w:val="auto"/>
          <w:sz w:val="24"/>
        </w:rPr>
        <w:lastRenderedPageBreak/>
        <w:t>PRETPOSTAVKE CIJENA I OPISI SCENARIJA ŠOKA</w:t>
      </w:r>
      <w:bookmarkEnd w:id="126"/>
      <w:bookmarkEnd w:id="127"/>
    </w:p>
    <w:p w14:paraId="0034032D" w14:textId="77777777" w:rsidR="005B6230" w:rsidRPr="00BF51BB" w:rsidRDefault="005B6230" w:rsidP="00205074">
      <w:pPr>
        <w:pStyle w:val="ParagraphNumbering"/>
        <w:keepNext/>
        <w:numPr>
          <w:ilvl w:val="0"/>
          <w:numId w:val="0"/>
        </w:numPr>
        <w:spacing w:after="0" w:line="276" w:lineRule="auto"/>
        <w:ind w:firstLine="420"/>
        <w:jc w:val="both"/>
        <w:rPr>
          <w:rFonts w:ascii="Arial" w:hAnsi="Arial" w:cs="Arial"/>
          <w:sz w:val="22"/>
        </w:rPr>
      </w:pPr>
    </w:p>
    <w:p w14:paraId="00BBA79F" w14:textId="4EC937DF" w:rsidR="005336FE" w:rsidRPr="00BF51BB" w:rsidRDefault="00E964E3" w:rsidP="00205074">
      <w:pPr>
        <w:pStyle w:val="ParagraphNumbering"/>
        <w:keepNext/>
        <w:numPr>
          <w:ilvl w:val="0"/>
          <w:numId w:val="0"/>
        </w:numPr>
        <w:spacing w:after="0" w:line="276" w:lineRule="auto"/>
        <w:ind w:firstLine="420"/>
        <w:jc w:val="both"/>
        <w:rPr>
          <w:rFonts w:ascii="Arial" w:hAnsi="Arial" w:cs="Arial"/>
          <w:sz w:val="22"/>
        </w:rPr>
      </w:pPr>
      <w:r w:rsidRPr="00BF51BB">
        <w:rPr>
          <w:rFonts w:ascii="Arial" w:hAnsi="Arial" w:cs="Arial"/>
          <w:sz w:val="22"/>
        </w:rPr>
        <w:t>U</w:t>
      </w:r>
      <w:r w:rsidR="00214C62" w:rsidRPr="00BF51BB">
        <w:rPr>
          <w:rFonts w:ascii="Arial" w:hAnsi="Arial" w:cs="Arial"/>
          <w:sz w:val="22"/>
        </w:rPr>
        <w:t xml:space="preserve"> ovom </w:t>
      </w:r>
      <w:r w:rsidR="005336FE" w:rsidRPr="00BF51BB">
        <w:rPr>
          <w:rFonts w:ascii="Arial" w:hAnsi="Arial" w:cs="Arial"/>
          <w:sz w:val="22"/>
        </w:rPr>
        <w:t>dijelu</w:t>
      </w:r>
      <w:r w:rsidR="00701419" w:rsidRPr="00BF51BB">
        <w:rPr>
          <w:rFonts w:ascii="Arial" w:hAnsi="Arial" w:cs="Arial"/>
          <w:sz w:val="22"/>
        </w:rPr>
        <w:t xml:space="preserve"> predstavljena</w:t>
      </w:r>
      <w:r w:rsidR="00214C62" w:rsidRPr="00BF51BB">
        <w:rPr>
          <w:rFonts w:ascii="Arial" w:hAnsi="Arial" w:cs="Arial"/>
          <w:sz w:val="22"/>
        </w:rPr>
        <w:t xml:space="preserve"> </w:t>
      </w:r>
      <w:r w:rsidRPr="00BF51BB">
        <w:rPr>
          <w:rFonts w:ascii="Arial" w:hAnsi="Arial" w:cs="Arial"/>
          <w:sz w:val="22"/>
        </w:rPr>
        <w:t xml:space="preserve">su </w:t>
      </w:r>
      <w:r w:rsidR="00701419" w:rsidRPr="00BF51BB">
        <w:rPr>
          <w:rFonts w:ascii="Arial" w:hAnsi="Arial" w:cs="Arial"/>
          <w:sz w:val="22"/>
        </w:rPr>
        <w:t>četiri osnovna</w:t>
      </w:r>
      <w:r w:rsidR="00ED768D" w:rsidRPr="00BF51BB">
        <w:rPr>
          <w:rFonts w:ascii="Arial" w:hAnsi="Arial" w:cs="Arial"/>
          <w:sz w:val="22"/>
        </w:rPr>
        <w:t xml:space="preserve"> </w:t>
      </w:r>
      <w:r w:rsidR="008570FF" w:rsidRPr="00BF51BB">
        <w:rPr>
          <w:rFonts w:ascii="Arial" w:hAnsi="Arial" w:cs="Arial"/>
          <w:sz w:val="22"/>
        </w:rPr>
        <w:t>scenarij</w:t>
      </w:r>
      <w:r w:rsidR="00701419" w:rsidRPr="00BF51BB">
        <w:rPr>
          <w:rFonts w:ascii="Arial" w:hAnsi="Arial" w:cs="Arial"/>
          <w:sz w:val="22"/>
        </w:rPr>
        <w:t>a</w:t>
      </w:r>
      <w:r w:rsidR="008570FF" w:rsidRPr="00BF51BB">
        <w:rPr>
          <w:rFonts w:ascii="Arial" w:hAnsi="Arial" w:cs="Arial"/>
          <w:sz w:val="22"/>
        </w:rPr>
        <w:t xml:space="preserve"> </w:t>
      </w:r>
      <w:r w:rsidR="005336FE" w:rsidRPr="00BF51BB">
        <w:rPr>
          <w:rFonts w:ascii="Arial" w:hAnsi="Arial" w:cs="Arial"/>
          <w:sz w:val="22"/>
        </w:rPr>
        <w:t>finansiranja potreba Vlade Federacije BiH</w:t>
      </w:r>
      <w:r w:rsidRPr="00BF51BB">
        <w:rPr>
          <w:rFonts w:ascii="Arial" w:hAnsi="Arial" w:cs="Arial"/>
          <w:sz w:val="22"/>
        </w:rPr>
        <w:t>.</w:t>
      </w:r>
      <w:r w:rsidR="00214C62" w:rsidRPr="00BF51BB">
        <w:rPr>
          <w:rFonts w:ascii="Arial" w:hAnsi="Arial" w:cs="Arial"/>
          <w:sz w:val="22"/>
        </w:rPr>
        <w:t xml:space="preserve"> P</w:t>
      </w:r>
      <w:r w:rsidR="00ED768D" w:rsidRPr="00BF51BB">
        <w:rPr>
          <w:rFonts w:ascii="Arial" w:hAnsi="Arial" w:cs="Arial"/>
          <w:sz w:val="22"/>
        </w:rPr>
        <w:t>retpostavk</w:t>
      </w:r>
      <w:r w:rsidR="00214C62" w:rsidRPr="00BF51BB">
        <w:rPr>
          <w:rFonts w:ascii="Arial" w:hAnsi="Arial" w:cs="Arial"/>
          <w:sz w:val="22"/>
        </w:rPr>
        <w:t>e</w:t>
      </w:r>
      <w:r w:rsidR="00ED768D" w:rsidRPr="00BF51BB">
        <w:rPr>
          <w:rFonts w:ascii="Arial" w:hAnsi="Arial" w:cs="Arial"/>
          <w:sz w:val="22"/>
        </w:rPr>
        <w:t xml:space="preserve"> visine kamatnih stopa i </w:t>
      </w:r>
      <w:r w:rsidR="00D35900" w:rsidRPr="00BF51BB">
        <w:rPr>
          <w:rFonts w:ascii="Arial" w:hAnsi="Arial" w:cs="Arial"/>
          <w:sz w:val="22"/>
        </w:rPr>
        <w:t>proc</w:t>
      </w:r>
      <w:r w:rsidR="00D945EA" w:rsidRPr="00BF51BB">
        <w:rPr>
          <w:rFonts w:ascii="Arial" w:hAnsi="Arial" w:cs="Arial"/>
          <w:sz w:val="22"/>
        </w:rPr>
        <w:t>i</w:t>
      </w:r>
      <w:r w:rsidR="00D35900" w:rsidRPr="00BF51BB">
        <w:rPr>
          <w:rFonts w:ascii="Arial" w:hAnsi="Arial" w:cs="Arial"/>
          <w:sz w:val="22"/>
        </w:rPr>
        <w:t xml:space="preserve">jenjeno kretanje </w:t>
      </w:r>
      <w:r w:rsidR="00214C62" w:rsidRPr="00BF51BB">
        <w:rPr>
          <w:rFonts w:ascii="Arial" w:hAnsi="Arial" w:cs="Arial"/>
          <w:sz w:val="22"/>
        </w:rPr>
        <w:t>vrijednosti deviznih kurseva</w:t>
      </w:r>
      <w:r w:rsidR="00ED768D" w:rsidRPr="00BF51BB">
        <w:rPr>
          <w:rFonts w:ascii="Arial" w:hAnsi="Arial" w:cs="Arial"/>
          <w:sz w:val="22"/>
        </w:rPr>
        <w:t xml:space="preserve"> </w:t>
      </w:r>
      <w:r w:rsidR="003C2CA0" w:rsidRPr="00BF51BB">
        <w:rPr>
          <w:rFonts w:ascii="Arial" w:hAnsi="Arial" w:cs="Arial"/>
          <w:sz w:val="22"/>
        </w:rPr>
        <w:t xml:space="preserve">za vanjski dug u </w:t>
      </w:r>
      <w:r w:rsidR="00ED768D" w:rsidRPr="00BF51BB">
        <w:rPr>
          <w:rFonts w:ascii="Arial" w:hAnsi="Arial" w:cs="Arial"/>
          <w:sz w:val="22"/>
        </w:rPr>
        <w:t>period</w:t>
      </w:r>
      <w:r w:rsidR="003C2CA0" w:rsidRPr="00BF51BB">
        <w:rPr>
          <w:rFonts w:ascii="Arial" w:hAnsi="Arial" w:cs="Arial"/>
          <w:sz w:val="22"/>
        </w:rPr>
        <w:t>u</w:t>
      </w:r>
      <w:r w:rsidR="00ED768D" w:rsidRPr="00BF51BB">
        <w:rPr>
          <w:rFonts w:ascii="Arial" w:hAnsi="Arial" w:cs="Arial"/>
          <w:sz w:val="22"/>
        </w:rPr>
        <w:t xml:space="preserve"> </w:t>
      </w:r>
      <w:r w:rsidR="002E7622" w:rsidRPr="00BF51BB">
        <w:rPr>
          <w:rFonts w:ascii="Arial" w:hAnsi="Arial" w:cs="Arial"/>
          <w:sz w:val="22"/>
        </w:rPr>
        <w:t xml:space="preserve">2022 </w:t>
      </w:r>
      <w:r w:rsidR="00ED768D" w:rsidRPr="00BF51BB">
        <w:rPr>
          <w:rFonts w:ascii="Arial" w:hAnsi="Arial" w:cs="Arial"/>
          <w:sz w:val="22"/>
        </w:rPr>
        <w:t xml:space="preserve">– </w:t>
      </w:r>
      <w:r w:rsidR="002E7622" w:rsidRPr="00BF51BB">
        <w:rPr>
          <w:rFonts w:ascii="Arial" w:hAnsi="Arial" w:cs="Arial"/>
          <w:sz w:val="22"/>
        </w:rPr>
        <w:t>2024</w:t>
      </w:r>
      <w:r w:rsidR="00ED768D" w:rsidRPr="00BF51BB">
        <w:rPr>
          <w:rFonts w:ascii="Arial" w:hAnsi="Arial" w:cs="Arial"/>
          <w:sz w:val="22"/>
        </w:rPr>
        <w:t>. godina</w:t>
      </w:r>
      <w:r w:rsidR="00214C62" w:rsidRPr="00BF51BB">
        <w:rPr>
          <w:rFonts w:ascii="Arial" w:hAnsi="Arial" w:cs="Arial"/>
          <w:sz w:val="22"/>
        </w:rPr>
        <w:t xml:space="preserve"> preuzeti su od Ministarstva finansija i trezora BiH</w:t>
      </w:r>
      <w:r w:rsidR="00ED768D" w:rsidRPr="00BF51BB">
        <w:rPr>
          <w:rFonts w:ascii="Arial" w:hAnsi="Arial" w:cs="Arial"/>
          <w:sz w:val="22"/>
        </w:rPr>
        <w:t xml:space="preserve">. </w:t>
      </w:r>
    </w:p>
    <w:p w14:paraId="5E8D59FB" w14:textId="77777777" w:rsidR="00B63B7A" w:rsidRPr="00BF51BB" w:rsidRDefault="00B63B7A" w:rsidP="00205074">
      <w:pPr>
        <w:pStyle w:val="ParagraphNumbering"/>
        <w:keepNext/>
        <w:numPr>
          <w:ilvl w:val="0"/>
          <w:numId w:val="0"/>
        </w:numPr>
        <w:spacing w:after="0" w:line="276" w:lineRule="auto"/>
        <w:ind w:firstLine="420"/>
        <w:jc w:val="both"/>
        <w:rPr>
          <w:rFonts w:ascii="Arial" w:hAnsi="Arial" w:cs="Arial"/>
          <w:sz w:val="22"/>
        </w:rPr>
      </w:pPr>
    </w:p>
    <w:p w14:paraId="3A1A1D7C" w14:textId="77777777" w:rsidR="00ED768D" w:rsidRPr="00BF51BB" w:rsidRDefault="00F279C3" w:rsidP="00205074">
      <w:pPr>
        <w:pStyle w:val="ParagraphNumbering"/>
        <w:keepNext/>
        <w:numPr>
          <w:ilvl w:val="0"/>
          <w:numId w:val="0"/>
        </w:numPr>
        <w:spacing w:after="0" w:line="276" w:lineRule="auto"/>
        <w:ind w:firstLine="420"/>
        <w:jc w:val="both"/>
        <w:rPr>
          <w:rFonts w:ascii="Arial" w:hAnsi="Arial" w:cs="Arial"/>
          <w:sz w:val="22"/>
        </w:rPr>
      </w:pPr>
      <w:r w:rsidRPr="00BF51BB">
        <w:rPr>
          <w:rFonts w:ascii="Arial" w:hAnsi="Arial" w:cs="Arial"/>
          <w:sz w:val="22"/>
        </w:rPr>
        <w:t>Na</w:t>
      </w:r>
      <w:r w:rsidR="00B11D27" w:rsidRPr="00BF51BB">
        <w:rPr>
          <w:rFonts w:ascii="Arial" w:hAnsi="Arial" w:cs="Arial"/>
          <w:sz w:val="22"/>
        </w:rPr>
        <w:t xml:space="preserve">vedeni scenariji su testirani </w:t>
      </w:r>
      <w:r w:rsidRPr="00BF51BB">
        <w:rPr>
          <w:rFonts w:ascii="Arial" w:hAnsi="Arial" w:cs="Arial"/>
          <w:sz w:val="22"/>
        </w:rPr>
        <w:t>na ut</w:t>
      </w:r>
      <w:r w:rsidR="00D945EA" w:rsidRPr="00BF51BB">
        <w:rPr>
          <w:rFonts w:ascii="Arial" w:hAnsi="Arial" w:cs="Arial"/>
          <w:sz w:val="22"/>
        </w:rPr>
        <w:t>je</w:t>
      </w:r>
      <w:r w:rsidRPr="00BF51BB">
        <w:rPr>
          <w:rFonts w:ascii="Arial" w:hAnsi="Arial" w:cs="Arial"/>
          <w:sz w:val="22"/>
        </w:rPr>
        <w:t>caj šokova</w:t>
      </w:r>
      <w:r w:rsidR="00214C62" w:rsidRPr="00BF51BB">
        <w:rPr>
          <w:rFonts w:ascii="Arial" w:hAnsi="Arial" w:cs="Arial"/>
          <w:sz w:val="22"/>
        </w:rPr>
        <w:t>,</w:t>
      </w:r>
      <w:r w:rsidRPr="00BF51BB">
        <w:rPr>
          <w:rFonts w:ascii="Arial" w:hAnsi="Arial" w:cs="Arial"/>
          <w:sz w:val="22"/>
        </w:rPr>
        <w:t xml:space="preserve"> i to </w:t>
      </w:r>
      <w:r w:rsidR="00ED768D" w:rsidRPr="00BF51BB">
        <w:rPr>
          <w:rFonts w:ascii="Arial" w:hAnsi="Arial" w:cs="Arial"/>
          <w:sz w:val="22"/>
        </w:rPr>
        <w:t>po jedan odvojeni kamatni i valutni</w:t>
      </w:r>
      <w:r w:rsidR="00A76757" w:rsidRPr="00BF51BB">
        <w:rPr>
          <w:rFonts w:ascii="Arial" w:hAnsi="Arial" w:cs="Arial"/>
          <w:sz w:val="22"/>
        </w:rPr>
        <w:t xml:space="preserve"> i</w:t>
      </w:r>
      <w:r w:rsidR="00ED768D" w:rsidRPr="00BF51BB">
        <w:rPr>
          <w:rFonts w:ascii="Arial" w:hAnsi="Arial" w:cs="Arial"/>
          <w:sz w:val="22"/>
        </w:rPr>
        <w:t xml:space="preserve"> jedan kombinovani kamatno-valutni.</w:t>
      </w:r>
    </w:p>
    <w:p w14:paraId="63024BD9" w14:textId="77777777" w:rsidR="00656E8F" w:rsidRPr="00BF51BB" w:rsidRDefault="00656E8F" w:rsidP="00205074">
      <w:pPr>
        <w:pStyle w:val="ParagraphNumbering"/>
        <w:keepNext/>
        <w:numPr>
          <w:ilvl w:val="0"/>
          <w:numId w:val="0"/>
        </w:numPr>
        <w:spacing w:after="0" w:line="276" w:lineRule="auto"/>
        <w:ind w:firstLine="420"/>
        <w:jc w:val="both"/>
        <w:rPr>
          <w:rFonts w:ascii="Arial" w:hAnsi="Arial" w:cs="Arial"/>
          <w:sz w:val="22"/>
        </w:rPr>
      </w:pPr>
    </w:p>
    <w:p w14:paraId="16E9E3A9" w14:textId="7A943EA4" w:rsidR="00DE51BE" w:rsidRPr="00BF51BB" w:rsidRDefault="00ED768D" w:rsidP="005336FE">
      <w:pPr>
        <w:pStyle w:val="ParagraphNumbering"/>
        <w:keepNext/>
        <w:numPr>
          <w:ilvl w:val="0"/>
          <w:numId w:val="0"/>
        </w:numPr>
        <w:spacing w:after="0" w:line="276" w:lineRule="auto"/>
        <w:ind w:firstLine="420"/>
        <w:jc w:val="both"/>
        <w:rPr>
          <w:rFonts w:ascii="Arial" w:hAnsi="Arial" w:cs="Arial"/>
          <w:sz w:val="22"/>
        </w:rPr>
      </w:pPr>
      <w:r w:rsidRPr="00BF51BB">
        <w:rPr>
          <w:rFonts w:ascii="Arial" w:hAnsi="Arial" w:cs="Arial"/>
          <w:sz w:val="22"/>
        </w:rPr>
        <w:t xml:space="preserve">Pretpostavke o budućim kretanjima </w:t>
      </w:r>
      <w:r w:rsidR="00DE51BE" w:rsidRPr="00BF51BB">
        <w:rPr>
          <w:rFonts w:ascii="Arial" w:hAnsi="Arial" w:cs="Arial"/>
          <w:sz w:val="22"/>
        </w:rPr>
        <w:t xml:space="preserve">fiksnih </w:t>
      </w:r>
      <w:r w:rsidRPr="00BF51BB">
        <w:rPr>
          <w:rFonts w:ascii="Arial" w:hAnsi="Arial" w:cs="Arial"/>
          <w:sz w:val="22"/>
        </w:rPr>
        <w:t xml:space="preserve">kamatnih stopa na </w:t>
      </w:r>
      <w:r w:rsidR="00E7734D" w:rsidRPr="00BF51BB">
        <w:rPr>
          <w:rFonts w:ascii="Arial" w:hAnsi="Arial" w:cs="Arial"/>
          <w:sz w:val="22"/>
        </w:rPr>
        <w:t>vanjski</w:t>
      </w:r>
      <w:r w:rsidRPr="00BF51BB">
        <w:rPr>
          <w:rFonts w:ascii="Arial" w:hAnsi="Arial" w:cs="Arial"/>
          <w:sz w:val="22"/>
        </w:rPr>
        <w:t xml:space="preserve"> dug zasnovane su na krivuljama prinosa </w:t>
      </w:r>
      <w:r w:rsidR="00DE51BE" w:rsidRPr="00BF51BB">
        <w:rPr>
          <w:rFonts w:ascii="Arial" w:hAnsi="Arial" w:cs="Arial"/>
          <w:sz w:val="22"/>
        </w:rPr>
        <w:t xml:space="preserve">na </w:t>
      </w:r>
      <w:r w:rsidR="00C00D11" w:rsidRPr="00BF51BB">
        <w:rPr>
          <w:rFonts w:ascii="Arial" w:hAnsi="Arial" w:cs="Arial"/>
          <w:sz w:val="22"/>
        </w:rPr>
        <w:t>n</w:t>
      </w:r>
      <w:r w:rsidR="00DE51BE" w:rsidRPr="00BF51BB">
        <w:rPr>
          <w:rFonts w:ascii="Arial" w:hAnsi="Arial" w:cs="Arial"/>
          <w:sz w:val="22"/>
        </w:rPr>
        <w:t>jemačke</w:t>
      </w:r>
      <w:r w:rsidRPr="00BF51BB">
        <w:rPr>
          <w:rFonts w:ascii="Arial" w:hAnsi="Arial" w:cs="Arial"/>
          <w:sz w:val="22"/>
        </w:rPr>
        <w:t xml:space="preserve"> i </w:t>
      </w:r>
      <w:r w:rsidR="00C00D11" w:rsidRPr="00BF51BB">
        <w:rPr>
          <w:rFonts w:ascii="Arial" w:hAnsi="Arial" w:cs="Arial"/>
          <w:sz w:val="22"/>
        </w:rPr>
        <w:t>a</w:t>
      </w:r>
      <w:r w:rsidR="00DE51BE" w:rsidRPr="00BF51BB">
        <w:rPr>
          <w:rFonts w:ascii="Arial" w:hAnsi="Arial" w:cs="Arial"/>
          <w:sz w:val="22"/>
        </w:rPr>
        <w:t>meričke obveznice</w:t>
      </w:r>
      <w:r w:rsidRPr="00BF51BB">
        <w:rPr>
          <w:rFonts w:ascii="Arial" w:hAnsi="Arial" w:cs="Arial"/>
          <w:sz w:val="22"/>
        </w:rPr>
        <w:t xml:space="preserve"> </w:t>
      </w:r>
      <w:r w:rsidR="001844A7" w:rsidRPr="00BF51BB">
        <w:rPr>
          <w:rFonts w:ascii="Arial" w:hAnsi="Arial" w:cs="Arial"/>
          <w:sz w:val="22"/>
        </w:rPr>
        <w:t>prve polovine juna</w:t>
      </w:r>
      <w:r w:rsidRPr="00BF51BB">
        <w:rPr>
          <w:rFonts w:ascii="Arial" w:hAnsi="Arial" w:cs="Arial"/>
          <w:sz w:val="22"/>
        </w:rPr>
        <w:t xml:space="preserve"> 20</w:t>
      </w:r>
      <w:r w:rsidR="00B63B7A" w:rsidRPr="00BF51BB">
        <w:rPr>
          <w:rFonts w:ascii="Arial" w:hAnsi="Arial" w:cs="Arial"/>
          <w:sz w:val="22"/>
        </w:rPr>
        <w:t>20</w:t>
      </w:r>
      <w:r w:rsidRPr="00BF51BB">
        <w:rPr>
          <w:rFonts w:ascii="Arial" w:hAnsi="Arial" w:cs="Arial"/>
          <w:sz w:val="22"/>
        </w:rPr>
        <w:t>. godine</w:t>
      </w:r>
      <w:r w:rsidR="00B63B7A" w:rsidRPr="00BF51BB">
        <w:rPr>
          <w:rFonts w:ascii="Arial" w:hAnsi="Arial" w:cs="Arial"/>
          <w:sz w:val="22"/>
        </w:rPr>
        <w:t>.</w:t>
      </w:r>
    </w:p>
    <w:p w14:paraId="6A24BBA4" w14:textId="77777777" w:rsidR="00656E8F" w:rsidRPr="00BF51BB" w:rsidRDefault="00656E8F" w:rsidP="005336FE">
      <w:pPr>
        <w:pStyle w:val="ParagraphNumbering"/>
        <w:keepNext/>
        <w:numPr>
          <w:ilvl w:val="0"/>
          <w:numId w:val="0"/>
        </w:numPr>
        <w:spacing w:after="0" w:line="276" w:lineRule="auto"/>
        <w:ind w:firstLine="420"/>
        <w:jc w:val="both"/>
        <w:rPr>
          <w:rFonts w:ascii="Arial" w:hAnsi="Arial" w:cs="Arial"/>
          <w:sz w:val="22"/>
        </w:rPr>
      </w:pPr>
    </w:p>
    <w:p w14:paraId="25CF7F85" w14:textId="77777777" w:rsidR="005336FE" w:rsidRPr="00BF51BB" w:rsidRDefault="00ED768D" w:rsidP="006B072E">
      <w:pPr>
        <w:pStyle w:val="ParagraphNumbering"/>
        <w:keepNext/>
        <w:numPr>
          <w:ilvl w:val="0"/>
          <w:numId w:val="0"/>
        </w:numPr>
        <w:spacing w:after="0" w:line="276" w:lineRule="auto"/>
        <w:ind w:firstLine="420"/>
        <w:jc w:val="both"/>
        <w:rPr>
          <w:rFonts w:ascii="Arial" w:hAnsi="Arial" w:cs="Arial"/>
          <w:sz w:val="22"/>
        </w:rPr>
      </w:pPr>
      <w:r w:rsidRPr="00BF51BB">
        <w:rPr>
          <w:rFonts w:ascii="Arial" w:hAnsi="Arial" w:cs="Arial"/>
          <w:sz w:val="22"/>
        </w:rPr>
        <w:t xml:space="preserve"> Za projekcije </w:t>
      </w:r>
      <w:r w:rsidR="00DE51BE" w:rsidRPr="00BF51BB">
        <w:rPr>
          <w:rFonts w:ascii="Arial" w:hAnsi="Arial" w:cs="Arial"/>
          <w:sz w:val="22"/>
        </w:rPr>
        <w:t xml:space="preserve">varijabilnih kamatnih stopa, </w:t>
      </w:r>
      <w:r w:rsidRPr="00BF51BB">
        <w:rPr>
          <w:rFonts w:ascii="Arial" w:hAnsi="Arial" w:cs="Arial"/>
          <w:sz w:val="22"/>
        </w:rPr>
        <w:t>6M</w:t>
      </w:r>
      <w:r w:rsidR="0007589E" w:rsidRPr="00BF51BB">
        <w:rPr>
          <w:rFonts w:ascii="Arial" w:hAnsi="Arial" w:cs="Arial"/>
          <w:sz w:val="22"/>
        </w:rPr>
        <w:t xml:space="preserve"> </w:t>
      </w:r>
      <w:r w:rsidRPr="00BF51BB">
        <w:rPr>
          <w:rFonts w:ascii="Arial" w:hAnsi="Arial" w:cs="Arial"/>
          <w:sz w:val="22"/>
        </w:rPr>
        <w:t>LIBOR</w:t>
      </w:r>
      <w:r w:rsidRPr="00BF51BB">
        <w:rPr>
          <w:rFonts w:ascii="Arial" w:hAnsi="Arial" w:cs="Arial"/>
          <w:sz w:val="22"/>
          <w:vertAlign w:val="superscript"/>
        </w:rPr>
        <w:footnoteReference w:id="14"/>
      </w:r>
      <w:r w:rsidRPr="00BF51BB">
        <w:rPr>
          <w:rFonts w:ascii="Arial" w:hAnsi="Arial" w:cs="Arial"/>
          <w:sz w:val="22"/>
        </w:rPr>
        <w:t xml:space="preserve"> i 6M</w:t>
      </w:r>
      <w:r w:rsidR="0007589E" w:rsidRPr="00BF51BB">
        <w:rPr>
          <w:rFonts w:ascii="Arial" w:hAnsi="Arial" w:cs="Arial"/>
          <w:sz w:val="22"/>
        </w:rPr>
        <w:t xml:space="preserve"> </w:t>
      </w:r>
      <w:r w:rsidRPr="00BF51BB">
        <w:rPr>
          <w:rFonts w:ascii="Arial" w:hAnsi="Arial" w:cs="Arial"/>
          <w:sz w:val="22"/>
        </w:rPr>
        <w:t>EURIBOR</w:t>
      </w:r>
      <w:r w:rsidRPr="00BF51BB">
        <w:rPr>
          <w:rFonts w:ascii="Arial" w:hAnsi="Arial" w:cs="Arial"/>
          <w:sz w:val="22"/>
          <w:vertAlign w:val="superscript"/>
        </w:rPr>
        <w:footnoteReference w:id="15"/>
      </w:r>
      <w:r w:rsidRPr="00BF51BB">
        <w:rPr>
          <w:rFonts w:ascii="Arial" w:hAnsi="Arial" w:cs="Arial"/>
          <w:sz w:val="22"/>
        </w:rPr>
        <w:t xml:space="preserve"> pretpostav</w:t>
      </w:r>
      <w:r w:rsidR="00A76757" w:rsidRPr="00BF51BB">
        <w:rPr>
          <w:rFonts w:ascii="Arial" w:hAnsi="Arial" w:cs="Arial"/>
          <w:sz w:val="22"/>
        </w:rPr>
        <w:t xml:space="preserve">ljeno je </w:t>
      </w:r>
      <w:r w:rsidRPr="00BF51BB">
        <w:rPr>
          <w:rFonts w:ascii="Arial" w:hAnsi="Arial" w:cs="Arial"/>
          <w:sz w:val="22"/>
        </w:rPr>
        <w:t xml:space="preserve">da će razlika između vrijednosti 6M EURIBOR (6M LIBOR) i prinosa na njemačke jednogodišnje obveznice (američke jednogodišnje obveznice) biti jednaka </w:t>
      </w:r>
      <w:r w:rsidR="00DE51BE" w:rsidRPr="00BF51BB">
        <w:rPr>
          <w:rFonts w:ascii="Arial" w:hAnsi="Arial" w:cs="Arial"/>
          <w:sz w:val="22"/>
        </w:rPr>
        <w:t>tokom posmatranog perioda</w:t>
      </w:r>
      <w:r w:rsidRPr="00BF51BB">
        <w:rPr>
          <w:rFonts w:ascii="Arial" w:hAnsi="Arial" w:cs="Arial"/>
          <w:sz w:val="22"/>
        </w:rPr>
        <w:t xml:space="preserve">. </w:t>
      </w:r>
    </w:p>
    <w:p w14:paraId="4C2F3A26" w14:textId="77777777" w:rsidR="002B5DCA" w:rsidRPr="00BF51BB" w:rsidRDefault="002B5DCA" w:rsidP="006B072E">
      <w:pPr>
        <w:pStyle w:val="ParagraphNumbering"/>
        <w:keepNext/>
        <w:numPr>
          <w:ilvl w:val="0"/>
          <w:numId w:val="0"/>
        </w:numPr>
        <w:spacing w:after="0" w:line="276" w:lineRule="auto"/>
        <w:ind w:firstLine="420"/>
        <w:jc w:val="both"/>
        <w:rPr>
          <w:rFonts w:ascii="Arial" w:hAnsi="Arial" w:cs="Arial"/>
          <w:sz w:val="22"/>
        </w:rPr>
      </w:pPr>
    </w:p>
    <w:p w14:paraId="245BE2D7" w14:textId="5D2B71A4" w:rsidR="0007589E" w:rsidRPr="00BF51BB" w:rsidRDefault="00ED768D" w:rsidP="006B072E">
      <w:pPr>
        <w:pStyle w:val="ParagraphNumbering"/>
        <w:keepNext/>
        <w:numPr>
          <w:ilvl w:val="0"/>
          <w:numId w:val="0"/>
        </w:numPr>
        <w:spacing w:after="0" w:line="276" w:lineRule="auto"/>
        <w:ind w:firstLine="420"/>
        <w:jc w:val="both"/>
        <w:rPr>
          <w:rFonts w:ascii="Arial" w:hAnsi="Arial" w:cs="Arial"/>
          <w:sz w:val="22"/>
        </w:rPr>
      </w:pPr>
      <w:r w:rsidRPr="00BF51BB">
        <w:rPr>
          <w:rFonts w:ascii="Arial" w:hAnsi="Arial" w:cs="Arial"/>
          <w:sz w:val="22"/>
        </w:rPr>
        <w:t xml:space="preserve">Ove kamatne stope predstavljaju referentne kamatne stope za </w:t>
      </w:r>
      <w:r w:rsidR="00DE51BE" w:rsidRPr="00BF51BB">
        <w:rPr>
          <w:rFonts w:ascii="Arial" w:hAnsi="Arial" w:cs="Arial"/>
          <w:sz w:val="22"/>
        </w:rPr>
        <w:t>instrumente duga</w:t>
      </w:r>
      <w:r w:rsidRPr="00BF51BB">
        <w:rPr>
          <w:rFonts w:ascii="Arial" w:hAnsi="Arial" w:cs="Arial"/>
          <w:sz w:val="22"/>
        </w:rPr>
        <w:t xml:space="preserve"> sa promjenjivim kamatama, dok su za instrumente</w:t>
      </w:r>
      <w:r w:rsidR="00DE51BE" w:rsidRPr="00BF51BB">
        <w:rPr>
          <w:rFonts w:ascii="Arial" w:hAnsi="Arial" w:cs="Arial"/>
          <w:sz w:val="22"/>
        </w:rPr>
        <w:t xml:space="preserve"> duga</w:t>
      </w:r>
      <w:r w:rsidRPr="00BF51BB">
        <w:rPr>
          <w:rFonts w:ascii="Arial" w:hAnsi="Arial" w:cs="Arial"/>
          <w:sz w:val="22"/>
        </w:rPr>
        <w:t xml:space="preserve"> sa fiksnom kamatnom </w:t>
      </w:r>
      <w:r w:rsidR="00DE51BE" w:rsidRPr="00BF51BB">
        <w:rPr>
          <w:rFonts w:ascii="Arial" w:hAnsi="Arial" w:cs="Arial"/>
          <w:sz w:val="22"/>
        </w:rPr>
        <w:t xml:space="preserve">stopom </w:t>
      </w:r>
      <w:r w:rsidR="002B6A7D" w:rsidRPr="00BF51BB">
        <w:rPr>
          <w:rFonts w:ascii="Arial" w:hAnsi="Arial" w:cs="Arial"/>
          <w:sz w:val="22"/>
        </w:rPr>
        <w:t xml:space="preserve">prilikom procjena visine kamata </w:t>
      </w:r>
      <w:r w:rsidRPr="00BF51BB">
        <w:rPr>
          <w:rFonts w:ascii="Arial" w:hAnsi="Arial" w:cs="Arial"/>
          <w:sz w:val="22"/>
        </w:rPr>
        <w:t>uzeta u obzir postojeća</w:t>
      </w:r>
      <w:r w:rsidR="002B6A7D" w:rsidRPr="00BF51BB">
        <w:rPr>
          <w:rFonts w:ascii="Arial" w:hAnsi="Arial" w:cs="Arial"/>
          <w:sz w:val="22"/>
        </w:rPr>
        <w:t xml:space="preserve"> zaduženja</w:t>
      </w:r>
      <w:r w:rsidRPr="00BF51BB">
        <w:rPr>
          <w:rFonts w:ascii="Arial" w:hAnsi="Arial" w:cs="Arial"/>
          <w:sz w:val="22"/>
        </w:rPr>
        <w:t>.</w:t>
      </w:r>
      <w:r w:rsidR="006C32B2" w:rsidRPr="00BF51BB">
        <w:rPr>
          <w:rFonts w:ascii="Arial" w:hAnsi="Arial" w:cs="Arial"/>
          <w:sz w:val="22"/>
        </w:rPr>
        <w:t xml:space="preserve"> </w:t>
      </w:r>
    </w:p>
    <w:p w14:paraId="1E3F6D6E" w14:textId="77777777" w:rsidR="00656E8F" w:rsidRPr="00BF51BB" w:rsidRDefault="00656E8F" w:rsidP="006B072E">
      <w:pPr>
        <w:pStyle w:val="ParagraphNumbering"/>
        <w:keepNext/>
        <w:numPr>
          <w:ilvl w:val="0"/>
          <w:numId w:val="0"/>
        </w:numPr>
        <w:spacing w:after="0" w:line="276" w:lineRule="auto"/>
        <w:ind w:firstLine="420"/>
        <w:jc w:val="both"/>
        <w:rPr>
          <w:rFonts w:ascii="Arial" w:hAnsi="Arial" w:cs="Arial"/>
          <w:sz w:val="22"/>
        </w:rPr>
      </w:pPr>
    </w:p>
    <w:p w14:paraId="741A1D8E" w14:textId="2B069A3A" w:rsidR="00AC74DF" w:rsidRPr="00BF51BB" w:rsidRDefault="00B63B7A" w:rsidP="00BF51BB">
      <w:pPr>
        <w:spacing w:after="0"/>
        <w:ind w:firstLine="420"/>
        <w:jc w:val="both"/>
        <w:rPr>
          <w:rFonts w:ascii="Arial" w:hAnsi="Arial" w:cs="Arial"/>
          <w:szCs w:val="24"/>
        </w:rPr>
      </w:pPr>
      <w:r w:rsidRPr="00BF51BB">
        <w:rPr>
          <w:rFonts w:ascii="Arial" w:hAnsi="Arial" w:cs="Arial"/>
          <w:szCs w:val="24"/>
        </w:rPr>
        <w:t>Kretanje kamatnih stopa na domaći dug izračunato na osnovu jednostavnih očekivanja na bazi kamatnih stopa postojećeg portfolija unutrašnjeg duga Federacije BiH.</w:t>
      </w:r>
    </w:p>
    <w:p w14:paraId="70C13126" w14:textId="77777777" w:rsidR="00AD3357" w:rsidRDefault="00AD3357" w:rsidP="006B072E">
      <w:pPr>
        <w:spacing w:after="0" w:line="240" w:lineRule="auto"/>
        <w:jc w:val="both"/>
        <w:rPr>
          <w:rFonts w:ascii="Arial" w:hAnsi="Arial" w:cs="Arial"/>
          <w:szCs w:val="24"/>
        </w:rPr>
      </w:pPr>
    </w:p>
    <w:p w14:paraId="28ECCD6B" w14:textId="040C91C4" w:rsidR="00ED768D" w:rsidRPr="00BF51BB" w:rsidRDefault="00ED768D" w:rsidP="006B072E">
      <w:pPr>
        <w:spacing w:after="0" w:line="240" w:lineRule="auto"/>
        <w:jc w:val="both"/>
        <w:rPr>
          <w:rFonts w:ascii="Arial" w:hAnsi="Arial" w:cs="Arial"/>
          <w:szCs w:val="24"/>
        </w:rPr>
      </w:pPr>
      <w:r w:rsidRPr="00BF51BB">
        <w:rPr>
          <w:rFonts w:ascii="Arial" w:hAnsi="Arial" w:cs="Arial"/>
          <w:szCs w:val="24"/>
        </w:rPr>
        <w:t>Tabela 1</w:t>
      </w:r>
      <w:r w:rsidR="005A0B60" w:rsidRPr="00BF51BB">
        <w:rPr>
          <w:rFonts w:ascii="Arial" w:hAnsi="Arial" w:cs="Arial"/>
          <w:szCs w:val="24"/>
        </w:rPr>
        <w:t>0</w:t>
      </w:r>
      <w:r w:rsidRPr="00BF51BB">
        <w:rPr>
          <w:rFonts w:ascii="Arial" w:hAnsi="Arial" w:cs="Arial"/>
          <w:szCs w:val="24"/>
        </w:rPr>
        <w:t>. Proc</w:t>
      </w:r>
      <w:r w:rsidR="00D945EA" w:rsidRPr="00BF51BB">
        <w:rPr>
          <w:rFonts w:ascii="Arial" w:hAnsi="Arial" w:cs="Arial"/>
          <w:szCs w:val="24"/>
        </w:rPr>
        <w:t>i</w:t>
      </w:r>
      <w:r w:rsidRPr="00BF51BB">
        <w:rPr>
          <w:rFonts w:ascii="Arial" w:hAnsi="Arial" w:cs="Arial"/>
          <w:szCs w:val="24"/>
        </w:rPr>
        <w:t xml:space="preserve">jenjene visine kamata na </w:t>
      </w:r>
      <w:r w:rsidR="00BB7244" w:rsidRPr="00BF51BB">
        <w:rPr>
          <w:rFonts w:ascii="Arial" w:hAnsi="Arial" w:cs="Arial"/>
          <w:szCs w:val="24"/>
        </w:rPr>
        <w:t xml:space="preserve">instrumente </w:t>
      </w:r>
      <w:r w:rsidR="00A97D61" w:rsidRPr="00BF51BB">
        <w:rPr>
          <w:rFonts w:ascii="Arial" w:hAnsi="Arial" w:cs="Arial"/>
          <w:szCs w:val="24"/>
        </w:rPr>
        <w:t xml:space="preserve">vanjskog </w:t>
      </w:r>
      <w:r w:rsidR="00BB7244" w:rsidRPr="00BF51BB">
        <w:rPr>
          <w:rFonts w:ascii="Arial" w:hAnsi="Arial" w:cs="Arial"/>
          <w:szCs w:val="24"/>
        </w:rPr>
        <w:t>duga</w:t>
      </w:r>
      <w:r w:rsidRPr="00BF51BB">
        <w:rPr>
          <w:rFonts w:ascii="Arial" w:hAnsi="Arial" w:cs="Arial"/>
          <w:szCs w:val="24"/>
        </w:rPr>
        <w:t xml:space="preserve"> </w:t>
      </w:r>
      <w:r w:rsidR="00A76757" w:rsidRPr="00BF51BB">
        <w:rPr>
          <w:rFonts w:ascii="Arial" w:hAnsi="Arial" w:cs="Arial"/>
          <w:szCs w:val="24"/>
        </w:rPr>
        <w:t xml:space="preserve">u periodu </w:t>
      </w:r>
      <w:r w:rsidR="00CA4C11" w:rsidRPr="00BF51BB">
        <w:rPr>
          <w:rFonts w:ascii="Arial" w:hAnsi="Arial" w:cs="Arial"/>
          <w:szCs w:val="24"/>
        </w:rPr>
        <w:t xml:space="preserve">2022 </w:t>
      </w:r>
      <w:r w:rsidRPr="00BF51BB">
        <w:rPr>
          <w:rFonts w:ascii="Arial" w:hAnsi="Arial" w:cs="Arial"/>
          <w:szCs w:val="24"/>
        </w:rPr>
        <w:t xml:space="preserve">– </w:t>
      </w:r>
      <w:r w:rsidR="00CA4C11" w:rsidRPr="00BF51BB">
        <w:rPr>
          <w:rFonts w:ascii="Arial" w:hAnsi="Arial" w:cs="Arial"/>
          <w:szCs w:val="24"/>
        </w:rPr>
        <w:t>2024</w:t>
      </w:r>
      <w:r w:rsidRPr="00BF51BB">
        <w:rPr>
          <w:rFonts w:ascii="Arial" w:hAnsi="Arial" w:cs="Arial"/>
          <w:szCs w:val="24"/>
        </w:rPr>
        <w:t>. godin</w:t>
      </w:r>
      <w:r w:rsidR="00A76757" w:rsidRPr="00BF51BB">
        <w:rPr>
          <w:rFonts w:ascii="Arial" w:hAnsi="Arial" w:cs="Arial"/>
          <w:szCs w:val="24"/>
        </w:rPr>
        <w:t>a</w:t>
      </w:r>
      <w:r w:rsidRPr="00BF51BB">
        <w:rPr>
          <w:rFonts w:ascii="Arial" w:hAnsi="Arial" w:cs="Arial"/>
          <w:szCs w:val="24"/>
        </w:rPr>
        <w:t xml:space="preserve"> korištene u MTDS AT</w:t>
      </w:r>
    </w:p>
    <w:p w14:paraId="303B2273" w14:textId="77777777" w:rsidR="00BF7FA5" w:rsidRPr="00BF51BB" w:rsidRDefault="00BF7FA5" w:rsidP="006B072E">
      <w:pPr>
        <w:spacing w:after="0" w:line="240" w:lineRule="auto"/>
        <w:jc w:val="both"/>
        <w:rPr>
          <w:rFonts w:ascii="Arial" w:hAnsi="Arial" w:cs="Arial"/>
          <w:szCs w:val="24"/>
        </w:rPr>
      </w:pPr>
    </w:p>
    <w:tbl>
      <w:tblPr>
        <w:tblpPr w:leftFromText="180" w:rightFromText="180" w:vertAnchor="text" w:tblpXSpec="center" w:tblpY="1"/>
        <w:tblOverlap w:val="never"/>
        <w:tblW w:w="93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95"/>
        <w:gridCol w:w="1701"/>
        <w:gridCol w:w="1701"/>
        <w:gridCol w:w="1559"/>
      </w:tblGrid>
      <w:tr w:rsidR="00772BD0" w:rsidRPr="00BF51BB" w14:paraId="3408FF12" w14:textId="77777777" w:rsidTr="00BF51BB">
        <w:trPr>
          <w:trHeight w:val="300"/>
        </w:trPr>
        <w:tc>
          <w:tcPr>
            <w:tcW w:w="4395" w:type="dxa"/>
            <w:vMerge w:val="restart"/>
            <w:shd w:val="clear" w:color="auto" w:fill="auto"/>
            <w:noWrap/>
            <w:vAlign w:val="center"/>
            <w:hideMark/>
          </w:tcPr>
          <w:p w14:paraId="3D16792E" w14:textId="77777777" w:rsidR="00772BD0" w:rsidRPr="00BF51BB" w:rsidRDefault="00772BD0" w:rsidP="00760E3C">
            <w:pPr>
              <w:spacing w:after="0" w:line="240" w:lineRule="auto"/>
              <w:jc w:val="center"/>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Naziv instrumenta</w:t>
            </w:r>
          </w:p>
        </w:tc>
        <w:tc>
          <w:tcPr>
            <w:tcW w:w="4961" w:type="dxa"/>
            <w:gridSpan w:val="3"/>
            <w:shd w:val="clear" w:color="auto" w:fill="auto"/>
            <w:noWrap/>
            <w:vAlign w:val="center"/>
            <w:hideMark/>
          </w:tcPr>
          <w:p w14:paraId="2233B08E" w14:textId="77777777" w:rsidR="00772BD0" w:rsidRPr="00BF51BB" w:rsidRDefault="00772BD0" w:rsidP="00760E3C">
            <w:pPr>
              <w:spacing w:after="0" w:line="240" w:lineRule="auto"/>
              <w:jc w:val="center"/>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Kamata</w:t>
            </w:r>
          </w:p>
        </w:tc>
      </w:tr>
      <w:tr w:rsidR="00772BD0" w:rsidRPr="00BF51BB" w14:paraId="6DC7FAB4" w14:textId="77777777" w:rsidTr="00BF51BB">
        <w:trPr>
          <w:trHeight w:val="300"/>
        </w:trPr>
        <w:tc>
          <w:tcPr>
            <w:tcW w:w="4395" w:type="dxa"/>
            <w:vMerge/>
            <w:vAlign w:val="center"/>
            <w:hideMark/>
          </w:tcPr>
          <w:p w14:paraId="582E13F4" w14:textId="77777777" w:rsidR="00772BD0" w:rsidRPr="00BF51BB" w:rsidRDefault="00772BD0" w:rsidP="00760E3C">
            <w:pPr>
              <w:spacing w:after="0" w:line="240" w:lineRule="auto"/>
              <w:rPr>
                <w:rFonts w:ascii="Arial" w:eastAsia="Times New Roman" w:hAnsi="Arial" w:cs="Arial"/>
                <w:color w:val="000000"/>
                <w:sz w:val="20"/>
                <w:szCs w:val="20"/>
                <w:lang w:eastAsia="bs-Latn-BA"/>
              </w:rPr>
            </w:pPr>
          </w:p>
        </w:tc>
        <w:tc>
          <w:tcPr>
            <w:tcW w:w="1701" w:type="dxa"/>
            <w:shd w:val="clear" w:color="auto" w:fill="auto"/>
            <w:noWrap/>
            <w:vAlign w:val="center"/>
            <w:hideMark/>
          </w:tcPr>
          <w:p w14:paraId="7AC05D3D" w14:textId="418F5221" w:rsidR="00772BD0" w:rsidRPr="00BF51BB" w:rsidRDefault="009E62FD" w:rsidP="00760E3C">
            <w:pPr>
              <w:spacing w:after="0" w:line="240" w:lineRule="auto"/>
              <w:jc w:val="center"/>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2022</w:t>
            </w:r>
          </w:p>
        </w:tc>
        <w:tc>
          <w:tcPr>
            <w:tcW w:w="1701" w:type="dxa"/>
            <w:shd w:val="clear" w:color="auto" w:fill="auto"/>
            <w:noWrap/>
            <w:vAlign w:val="center"/>
            <w:hideMark/>
          </w:tcPr>
          <w:p w14:paraId="40C5F90D" w14:textId="324E9BE6" w:rsidR="00772BD0" w:rsidRPr="00BF51BB" w:rsidRDefault="00772BD0" w:rsidP="00760E3C">
            <w:pPr>
              <w:spacing w:after="0" w:line="240" w:lineRule="auto"/>
              <w:jc w:val="center"/>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202</w:t>
            </w:r>
            <w:r w:rsidR="009E62FD" w:rsidRPr="00BF51BB">
              <w:rPr>
                <w:rFonts w:ascii="Arial" w:eastAsia="Times New Roman" w:hAnsi="Arial" w:cs="Arial"/>
                <w:color w:val="000000"/>
                <w:sz w:val="20"/>
                <w:szCs w:val="20"/>
                <w:lang w:eastAsia="bs-Latn-BA"/>
              </w:rPr>
              <w:t>3</w:t>
            </w:r>
          </w:p>
        </w:tc>
        <w:tc>
          <w:tcPr>
            <w:tcW w:w="1559" w:type="dxa"/>
            <w:shd w:val="clear" w:color="auto" w:fill="auto"/>
            <w:noWrap/>
            <w:vAlign w:val="center"/>
            <w:hideMark/>
          </w:tcPr>
          <w:p w14:paraId="05F0465C" w14:textId="0CBF8D37" w:rsidR="00772BD0" w:rsidRPr="00BF51BB" w:rsidRDefault="00772BD0" w:rsidP="00760E3C">
            <w:pPr>
              <w:spacing w:after="0" w:line="240" w:lineRule="auto"/>
              <w:jc w:val="center"/>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202</w:t>
            </w:r>
            <w:r w:rsidR="009E62FD" w:rsidRPr="00BF51BB">
              <w:rPr>
                <w:rFonts w:ascii="Arial" w:eastAsia="Times New Roman" w:hAnsi="Arial" w:cs="Arial"/>
                <w:color w:val="000000"/>
                <w:sz w:val="20"/>
                <w:szCs w:val="20"/>
                <w:lang w:eastAsia="bs-Latn-BA"/>
              </w:rPr>
              <w:t>4</w:t>
            </w:r>
          </w:p>
        </w:tc>
      </w:tr>
      <w:tr w:rsidR="00772BD0" w:rsidRPr="00BF51BB" w14:paraId="0DDAC966" w14:textId="77777777" w:rsidTr="00BF51BB">
        <w:trPr>
          <w:trHeight w:val="300"/>
        </w:trPr>
        <w:tc>
          <w:tcPr>
            <w:tcW w:w="4395" w:type="dxa"/>
            <w:shd w:val="clear" w:color="auto" w:fill="auto"/>
            <w:noWrap/>
            <w:vAlign w:val="center"/>
            <w:hideMark/>
          </w:tcPr>
          <w:p w14:paraId="2BE9CFF1" w14:textId="77777777" w:rsidR="00772BD0" w:rsidRPr="00BF51BB" w:rsidRDefault="00772BD0" w:rsidP="00760E3C">
            <w:pPr>
              <w:spacing w:after="0" w:line="240" w:lineRule="auto"/>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Koncesionalni USD Fiksni</w:t>
            </w:r>
          </w:p>
        </w:tc>
        <w:tc>
          <w:tcPr>
            <w:tcW w:w="1701" w:type="dxa"/>
            <w:shd w:val="clear" w:color="auto" w:fill="auto"/>
            <w:noWrap/>
            <w:vAlign w:val="center"/>
            <w:hideMark/>
          </w:tcPr>
          <w:p w14:paraId="43DB1077" w14:textId="2B993579" w:rsidR="00772BD0"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2,84</w:t>
            </w:r>
            <w:r w:rsidR="00772BD0" w:rsidRPr="00BF51B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46137CBF" w14:textId="2FA5292B" w:rsidR="00772BD0"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3,21</w:t>
            </w:r>
            <w:r w:rsidR="00772BD0" w:rsidRPr="00BF51B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74A58B38" w14:textId="6E2911A9" w:rsidR="00772BD0"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3,54</w:t>
            </w:r>
            <w:r w:rsidR="00772BD0" w:rsidRPr="00BF51BB">
              <w:rPr>
                <w:rFonts w:ascii="Arial" w:eastAsia="Times New Roman" w:hAnsi="Arial" w:cs="Arial"/>
                <w:color w:val="000000"/>
                <w:sz w:val="20"/>
                <w:szCs w:val="20"/>
                <w:lang w:eastAsia="bs-Latn-BA"/>
              </w:rPr>
              <w:t>%</w:t>
            </w:r>
          </w:p>
        </w:tc>
      </w:tr>
      <w:tr w:rsidR="00772BD0" w:rsidRPr="00BF51BB" w14:paraId="7F1EC5DF" w14:textId="77777777" w:rsidTr="00BF51BB">
        <w:trPr>
          <w:trHeight w:val="300"/>
        </w:trPr>
        <w:tc>
          <w:tcPr>
            <w:tcW w:w="4395" w:type="dxa"/>
            <w:shd w:val="clear" w:color="auto" w:fill="auto"/>
            <w:noWrap/>
            <w:vAlign w:val="center"/>
            <w:hideMark/>
          </w:tcPr>
          <w:p w14:paraId="1D6D10D1" w14:textId="77777777" w:rsidR="00772BD0" w:rsidRPr="00BF51BB" w:rsidRDefault="00772BD0" w:rsidP="00760E3C">
            <w:pPr>
              <w:spacing w:after="0" w:line="240" w:lineRule="auto"/>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Koncesionalni EUR Fiksni</w:t>
            </w:r>
          </w:p>
        </w:tc>
        <w:tc>
          <w:tcPr>
            <w:tcW w:w="1701" w:type="dxa"/>
            <w:shd w:val="clear" w:color="auto" w:fill="auto"/>
            <w:noWrap/>
            <w:vAlign w:val="center"/>
            <w:hideMark/>
          </w:tcPr>
          <w:p w14:paraId="7C2AF5B1" w14:textId="389785B1" w:rsidR="00772BD0" w:rsidRPr="00BF51BB" w:rsidRDefault="00772BD0"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1,</w:t>
            </w:r>
            <w:r w:rsidR="009E62FD" w:rsidRPr="00BF51BB">
              <w:rPr>
                <w:rFonts w:ascii="Arial" w:eastAsia="Times New Roman" w:hAnsi="Arial" w:cs="Arial"/>
                <w:color w:val="000000"/>
                <w:sz w:val="20"/>
                <w:szCs w:val="20"/>
                <w:lang w:eastAsia="bs-Latn-BA"/>
              </w:rPr>
              <w:t>80</w:t>
            </w:r>
            <w:r w:rsidRPr="00BF51B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17208A5A" w14:textId="27F0B689" w:rsidR="00772BD0" w:rsidRPr="00BF51BB" w:rsidRDefault="00772BD0"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1,9</w:t>
            </w:r>
            <w:r w:rsidR="009E62FD" w:rsidRPr="00BF51BB">
              <w:rPr>
                <w:rFonts w:ascii="Arial" w:eastAsia="Times New Roman" w:hAnsi="Arial" w:cs="Arial"/>
                <w:color w:val="000000"/>
                <w:sz w:val="20"/>
                <w:szCs w:val="20"/>
                <w:lang w:eastAsia="bs-Latn-BA"/>
              </w:rPr>
              <w:t>5</w:t>
            </w:r>
            <w:r w:rsidRPr="00BF51B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56686CB2" w14:textId="58977A70" w:rsidR="00772BD0"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2,16</w:t>
            </w:r>
            <w:r w:rsidR="00772BD0" w:rsidRPr="00BF51BB">
              <w:rPr>
                <w:rFonts w:ascii="Arial" w:eastAsia="Times New Roman" w:hAnsi="Arial" w:cs="Arial"/>
                <w:color w:val="000000"/>
                <w:sz w:val="20"/>
                <w:szCs w:val="20"/>
                <w:lang w:eastAsia="bs-Latn-BA"/>
              </w:rPr>
              <w:t>%</w:t>
            </w:r>
          </w:p>
        </w:tc>
      </w:tr>
      <w:tr w:rsidR="00772BD0" w:rsidRPr="00BF51BB" w14:paraId="55A0D56C" w14:textId="77777777" w:rsidTr="00BF51BB">
        <w:trPr>
          <w:trHeight w:val="300"/>
        </w:trPr>
        <w:tc>
          <w:tcPr>
            <w:tcW w:w="4395" w:type="dxa"/>
            <w:shd w:val="clear" w:color="auto" w:fill="auto"/>
            <w:noWrap/>
            <w:vAlign w:val="center"/>
            <w:hideMark/>
          </w:tcPr>
          <w:p w14:paraId="5A99FAB7" w14:textId="77777777" w:rsidR="00772BD0" w:rsidRPr="00BF51BB" w:rsidRDefault="00772BD0" w:rsidP="00760E3C">
            <w:pPr>
              <w:spacing w:after="0" w:line="240" w:lineRule="auto"/>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Koncesionalni USD Varijabilni</w:t>
            </w:r>
          </w:p>
        </w:tc>
        <w:tc>
          <w:tcPr>
            <w:tcW w:w="1701" w:type="dxa"/>
            <w:shd w:val="clear" w:color="auto" w:fill="auto"/>
            <w:noWrap/>
            <w:vAlign w:val="center"/>
            <w:hideMark/>
          </w:tcPr>
          <w:p w14:paraId="60341E50" w14:textId="4640FE44" w:rsidR="00772BD0" w:rsidRPr="00BF51BB" w:rsidRDefault="00772BD0"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0,</w:t>
            </w:r>
            <w:r w:rsidR="009E62FD" w:rsidRPr="00BF51BB">
              <w:rPr>
                <w:rFonts w:ascii="Arial" w:eastAsia="Times New Roman" w:hAnsi="Arial" w:cs="Arial"/>
                <w:color w:val="000000"/>
                <w:sz w:val="20"/>
                <w:szCs w:val="20"/>
                <w:lang w:eastAsia="bs-Latn-BA"/>
              </w:rPr>
              <w:t>50</w:t>
            </w:r>
            <w:r w:rsidRPr="00BF51B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4A7BC91D" w14:textId="46675FE7" w:rsidR="00772BD0" w:rsidRPr="00BF51BB" w:rsidRDefault="00772BD0"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0,</w:t>
            </w:r>
            <w:r w:rsidR="009E62FD" w:rsidRPr="00BF51BB">
              <w:rPr>
                <w:rFonts w:ascii="Arial" w:eastAsia="Times New Roman" w:hAnsi="Arial" w:cs="Arial"/>
                <w:color w:val="000000"/>
                <w:sz w:val="20"/>
                <w:szCs w:val="20"/>
                <w:lang w:eastAsia="bs-Latn-BA"/>
              </w:rPr>
              <w:t>87</w:t>
            </w:r>
            <w:r w:rsidRPr="00BF51B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09DF4683" w14:textId="06D6FBA9" w:rsidR="00772BD0"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1,20</w:t>
            </w:r>
            <w:r w:rsidR="00772BD0" w:rsidRPr="00BF51BB">
              <w:rPr>
                <w:rFonts w:ascii="Arial" w:eastAsia="Times New Roman" w:hAnsi="Arial" w:cs="Arial"/>
                <w:color w:val="000000"/>
                <w:sz w:val="20"/>
                <w:szCs w:val="20"/>
                <w:lang w:eastAsia="bs-Latn-BA"/>
              </w:rPr>
              <w:t>%</w:t>
            </w:r>
          </w:p>
        </w:tc>
      </w:tr>
      <w:tr w:rsidR="00772BD0" w:rsidRPr="00BF51BB" w14:paraId="62DD0FD2" w14:textId="77777777" w:rsidTr="00BF51BB">
        <w:trPr>
          <w:trHeight w:val="300"/>
        </w:trPr>
        <w:tc>
          <w:tcPr>
            <w:tcW w:w="4395" w:type="dxa"/>
            <w:shd w:val="clear" w:color="auto" w:fill="auto"/>
            <w:noWrap/>
            <w:vAlign w:val="center"/>
            <w:hideMark/>
          </w:tcPr>
          <w:p w14:paraId="1628752A" w14:textId="77777777" w:rsidR="00772BD0" w:rsidRPr="00BF51BB" w:rsidRDefault="00772BD0" w:rsidP="00760E3C">
            <w:pPr>
              <w:spacing w:after="0" w:line="240" w:lineRule="auto"/>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Koncesionalni EUR Varijabilni</w:t>
            </w:r>
          </w:p>
        </w:tc>
        <w:tc>
          <w:tcPr>
            <w:tcW w:w="1701" w:type="dxa"/>
            <w:shd w:val="clear" w:color="auto" w:fill="auto"/>
            <w:noWrap/>
            <w:vAlign w:val="center"/>
            <w:hideMark/>
          </w:tcPr>
          <w:p w14:paraId="29239970" w14:textId="0081349A" w:rsidR="00772BD0" w:rsidRPr="00BF51BB" w:rsidRDefault="00772BD0"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-0,</w:t>
            </w:r>
            <w:r w:rsidR="009E62FD" w:rsidRPr="00BF51BB">
              <w:rPr>
                <w:rFonts w:ascii="Arial" w:eastAsia="Times New Roman" w:hAnsi="Arial" w:cs="Arial"/>
                <w:color w:val="000000"/>
                <w:sz w:val="20"/>
                <w:szCs w:val="20"/>
                <w:lang w:eastAsia="bs-Latn-BA"/>
              </w:rPr>
              <w:t>46</w:t>
            </w:r>
            <w:r w:rsidRPr="00BF51B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55C2149C" w14:textId="77CB9FE1" w:rsidR="00772BD0" w:rsidRPr="00BF51BB" w:rsidRDefault="00772BD0"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-0,</w:t>
            </w:r>
            <w:r w:rsidR="009E62FD" w:rsidRPr="00BF51BB">
              <w:rPr>
                <w:rFonts w:ascii="Arial" w:eastAsia="Times New Roman" w:hAnsi="Arial" w:cs="Arial"/>
                <w:color w:val="000000"/>
                <w:sz w:val="20"/>
                <w:szCs w:val="20"/>
                <w:lang w:eastAsia="bs-Latn-BA"/>
              </w:rPr>
              <w:t>31</w:t>
            </w:r>
            <w:r w:rsidRPr="00BF51B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119D83FC" w14:textId="365B2503" w:rsidR="00772BD0"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w:t>
            </w:r>
            <w:r w:rsidR="007007CB" w:rsidRPr="00BF51BB">
              <w:rPr>
                <w:rFonts w:ascii="Arial" w:eastAsia="Times New Roman" w:hAnsi="Arial" w:cs="Arial"/>
                <w:color w:val="000000"/>
                <w:sz w:val="20"/>
                <w:szCs w:val="20"/>
                <w:lang w:eastAsia="bs-Latn-BA"/>
              </w:rPr>
              <w:t>0,1</w:t>
            </w:r>
            <w:r w:rsidR="00772BD0" w:rsidRPr="00BF51BB">
              <w:rPr>
                <w:rFonts w:ascii="Arial" w:eastAsia="Times New Roman" w:hAnsi="Arial" w:cs="Arial"/>
                <w:color w:val="000000"/>
                <w:sz w:val="20"/>
                <w:szCs w:val="20"/>
                <w:lang w:eastAsia="bs-Latn-BA"/>
              </w:rPr>
              <w:t>0%</w:t>
            </w:r>
          </w:p>
        </w:tc>
      </w:tr>
      <w:tr w:rsidR="009E62FD" w:rsidRPr="00BF51BB" w14:paraId="3BE243D5" w14:textId="77777777" w:rsidTr="00BF51BB">
        <w:trPr>
          <w:trHeight w:val="300"/>
        </w:trPr>
        <w:tc>
          <w:tcPr>
            <w:tcW w:w="4395" w:type="dxa"/>
            <w:shd w:val="clear" w:color="auto" w:fill="auto"/>
            <w:noWrap/>
            <w:vAlign w:val="center"/>
          </w:tcPr>
          <w:p w14:paraId="12AC07F6" w14:textId="128104D3" w:rsidR="009E62FD" w:rsidRPr="00BF51BB" w:rsidRDefault="009E62FD" w:rsidP="00760E3C">
            <w:pPr>
              <w:spacing w:after="0" w:line="240" w:lineRule="auto"/>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IMF RFI USD Varijabilni</w:t>
            </w:r>
          </w:p>
        </w:tc>
        <w:tc>
          <w:tcPr>
            <w:tcW w:w="1701" w:type="dxa"/>
            <w:shd w:val="clear" w:color="auto" w:fill="auto"/>
            <w:noWrap/>
            <w:vAlign w:val="center"/>
          </w:tcPr>
          <w:p w14:paraId="6CBA14DF" w14:textId="1E5CC038" w:rsidR="009E62FD"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0,33%</w:t>
            </w:r>
          </w:p>
        </w:tc>
        <w:tc>
          <w:tcPr>
            <w:tcW w:w="1701" w:type="dxa"/>
            <w:shd w:val="clear" w:color="auto" w:fill="auto"/>
            <w:noWrap/>
            <w:vAlign w:val="center"/>
          </w:tcPr>
          <w:p w14:paraId="39BFAB2B" w14:textId="2702C03C" w:rsidR="009E62FD"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0,70%</w:t>
            </w:r>
          </w:p>
        </w:tc>
        <w:tc>
          <w:tcPr>
            <w:tcW w:w="1559" w:type="dxa"/>
            <w:shd w:val="clear" w:color="auto" w:fill="auto"/>
            <w:noWrap/>
            <w:vAlign w:val="center"/>
          </w:tcPr>
          <w:p w14:paraId="091669B7" w14:textId="15EA7C4A" w:rsidR="009E62FD"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1,04%</w:t>
            </w:r>
          </w:p>
        </w:tc>
      </w:tr>
      <w:tr w:rsidR="009E62FD" w:rsidRPr="00BF51BB" w14:paraId="11F89E51" w14:textId="77777777" w:rsidTr="00BF51BB">
        <w:trPr>
          <w:trHeight w:val="300"/>
        </w:trPr>
        <w:tc>
          <w:tcPr>
            <w:tcW w:w="4395" w:type="dxa"/>
            <w:shd w:val="clear" w:color="auto" w:fill="auto"/>
            <w:noWrap/>
            <w:vAlign w:val="center"/>
            <w:hideMark/>
          </w:tcPr>
          <w:p w14:paraId="55B4CABF" w14:textId="77777777" w:rsidR="009E62FD" w:rsidRPr="00BF51BB" w:rsidRDefault="009E62FD" w:rsidP="00760E3C">
            <w:pPr>
              <w:spacing w:after="0" w:line="240" w:lineRule="auto"/>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IMF EFF USD Varijabilni</w:t>
            </w:r>
          </w:p>
        </w:tc>
        <w:tc>
          <w:tcPr>
            <w:tcW w:w="1701" w:type="dxa"/>
            <w:shd w:val="clear" w:color="auto" w:fill="auto"/>
            <w:noWrap/>
            <w:vAlign w:val="center"/>
            <w:hideMark/>
          </w:tcPr>
          <w:p w14:paraId="13D2EAF7" w14:textId="59C173D3" w:rsidR="009E62FD"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0,33%</w:t>
            </w:r>
          </w:p>
        </w:tc>
        <w:tc>
          <w:tcPr>
            <w:tcW w:w="1701" w:type="dxa"/>
            <w:shd w:val="clear" w:color="auto" w:fill="auto"/>
            <w:noWrap/>
            <w:vAlign w:val="center"/>
            <w:hideMark/>
          </w:tcPr>
          <w:p w14:paraId="1D8CB696" w14:textId="6D85390C" w:rsidR="009E62FD"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0,70%</w:t>
            </w:r>
          </w:p>
        </w:tc>
        <w:tc>
          <w:tcPr>
            <w:tcW w:w="1559" w:type="dxa"/>
            <w:shd w:val="clear" w:color="auto" w:fill="auto"/>
            <w:noWrap/>
            <w:vAlign w:val="center"/>
            <w:hideMark/>
          </w:tcPr>
          <w:p w14:paraId="3A455C74" w14:textId="2AEA6192" w:rsidR="009E62FD"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1,04%</w:t>
            </w:r>
          </w:p>
        </w:tc>
      </w:tr>
      <w:tr w:rsidR="00772BD0" w:rsidRPr="00BF51BB" w14:paraId="07FE1573" w14:textId="77777777" w:rsidTr="00BF51BB">
        <w:trPr>
          <w:trHeight w:val="300"/>
        </w:trPr>
        <w:tc>
          <w:tcPr>
            <w:tcW w:w="4395" w:type="dxa"/>
            <w:shd w:val="clear" w:color="auto" w:fill="auto"/>
            <w:noWrap/>
            <w:vAlign w:val="center"/>
            <w:hideMark/>
          </w:tcPr>
          <w:p w14:paraId="09DE4A8B" w14:textId="3D5460CA" w:rsidR="00772BD0" w:rsidRPr="00BF51BB" w:rsidRDefault="003376D7" w:rsidP="00760E3C">
            <w:pPr>
              <w:spacing w:after="0" w:line="240" w:lineRule="auto"/>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5Y</w:t>
            </w:r>
            <w:r w:rsidR="00772BD0" w:rsidRPr="00BF51BB">
              <w:rPr>
                <w:rFonts w:ascii="Arial" w:eastAsia="Times New Roman" w:hAnsi="Arial" w:cs="Arial"/>
                <w:color w:val="000000"/>
                <w:sz w:val="20"/>
                <w:szCs w:val="20"/>
                <w:lang w:eastAsia="bs-Latn-BA"/>
              </w:rPr>
              <w:t xml:space="preserve"> Eurobond</w:t>
            </w:r>
          </w:p>
        </w:tc>
        <w:tc>
          <w:tcPr>
            <w:tcW w:w="1701" w:type="dxa"/>
            <w:shd w:val="clear" w:color="auto" w:fill="auto"/>
            <w:noWrap/>
            <w:vAlign w:val="center"/>
            <w:hideMark/>
          </w:tcPr>
          <w:p w14:paraId="2FDE640E" w14:textId="7CADDA34" w:rsidR="00772BD0"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4,95</w:t>
            </w:r>
            <w:r w:rsidR="00772BD0" w:rsidRPr="00BF51BB">
              <w:rPr>
                <w:rFonts w:ascii="Arial" w:eastAsia="Times New Roman" w:hAnsi="Arial" w:cs="Arial"/>
                <w:color w:val="000000"/>
                <w:sz w:val="20"/>
                <w:szCs w:val="20"/>
                <w:lang w:eastAsia="bs-Latn-BA"/>
              </w:rPr>
              <w:t>%</w:t>
            </w:r>
          </w:p>
        </w:tc>
        <w:tc>
          <w:tcPr>
            <w:tcW w:w="1701" w:type="dxa"/>
            <w:shd w:val="clear" w:color="auto" w:fill="auto"/>
            <w:noWrap/>
            <w:vAlign w:val="center"/>
            <w:hideMark/>
          </w:tcPr>
          <w:p w14:paraId="01B1315A" w14:textId="3498F7A0" w:rsidR="00772BD0" w:rsidRPr="00BF51BB" w:rsidRDefault="003376D7"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5,</w:t>
            </w:r>
            <w:r w:rsidR="009E62FD" w:rsidRPr="00BF51BB">
              <w:rPr>
                <w:rFonts w:ascii="Arial" w:eastAsia="Times New Roman" w:hAnsi="Arial" w:cs="Arial"/>
                <w:color w:val="000000"/>
                <w:sz w:val="20"/>
                <w:szCs w:val="20"/>
                <w:lang w:eastAsia="bs-Latn-BA"/>
              </w:rPr>
              <w:t>15</w:t>
            </w:r>
            <w:r w:rsidR="00772BD0" w:rsidRPr="00BF51BB">
              <w:rPr>
                <w:rFonts w:ascii="Arial" w:eastAsia="Times New Roman" w:hAnsi="Arial" w:cs="Arial"/>
                <w:color w:val="000000"/>
                <w:sz w:val="20"/>
                <w:szCs w:val="20"/>
                <w:lang w:eastAsia="bs-Latn-BA"/>
              </w:rPr>
              <w:t>%</w:t>
            </w:r>
          </w:p>
        </w:tc>
        <w:tc>
          <w:tcPr>
            <w:tcW w:w="1559" w:type="dxa"/>
            <w:shd w:val="clear" w:color="auto" w:fill="auto"/>
            <w:noWrap/>
            <w:vAlign w:val="center"/>
            <w:hideMark/>
          </w:tcPr>
          <w:p w14:paraId="05BEE905" w14:textId="6B607CFB" w:rsidR="00772BD0" w:rsidRPr="00BF51BB" w:rsidRDefault="003C0CA1"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5,</w:t>
            </w:r>
            <w:r w:rsidR="009E62FD" w:rsidRPr="00BF51BB">
              <w:rPr>
                <w:rFonts w:ascii="Arial" w:eastAsia="Times New Roman" w:hAnsi="Arial" w:cs="Arial"/>
                <w:color w:val="000000"/>
                <w:sz w:val="20"/>
                <w:szCs w:val="20"/>
                <w:lang w:eastAsia="bs-Latn-BA"/>
              </w:rPr>
              <w:t>3</w:t>
            </w:r>
            <w:r w:rsidRPr="00BF51BB">
              <w:rPr>
                <w:rFonts w:ascii="Arial" w:eastAsia="Times New Roman" w:hAnsi="Arial" w:cs="Arial"/>
                <w:color w:val="000000"/>
                <w:sz w:val="20"/>
                <w:szCs w:val="20"/>
                <w:lang w:eastAsia="bs-Latn-BA"/>
              </w:rPr>
              <w:t>5</w:t>
            </w:r>
            <w:r w:rsidR="00772BD0" w:rsidRPr="00BF51BB">
              <w:rPr>
                <w:rFonts w:ascii="Arial" w:eastAsia="Times New Roman" w:hAnsi="Arial" w:cs="Arial"/>
                <w:color w:val="000000"/>
                <w:sz w:val="20"/>
                <w:szCs w:val="20"/>
                <w:lang w:eastAsia="bs-Latn-BA"/>
              </w:rPr>
              <w:t>%</w:t>
            </w:r>
          </w:p>
        </w:tc>
      </w:tr>
      <w:tr w:rsidR="00772BD0" w:rsidRPr="00BF51BB" w14:paraId="4C129097" w14:textId="77777777" w:rsidTr="00BF51BB">
        <w:trPr>
          <w:trHeight w:val="300"/>
        </w:trPr>
        <w:tc>
          <w:tcPr>
            <w:tcW w:w="4395" w:type="dxa"/>
            <w:shd w:val="clear" w:color="auto" w:fill="auto"/>
            <w:noWrap/>
            <w:vAlign w:val="center"/>
            <w:hideMark/>
          </w:tcPr>
          <w:p w14:paraId="3989A2D4" w14:textId="211992A1" w:rsidR="00772BD0" w:rsidRPr="00BF51BB" w:rsidRDefault="003376D7" w:rsidP="00760E3C">
            <w:pPr>
              <w:spacing w:after="0" w:line="240" w:lineRule="auto"/>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10Y</w:t>
            </w:r>
            <w:r w:rsidR="00772BD0" w:rsidRPr="00BF51BB">
              <w:rPr>
                <w:rFonts w:ascii="Arial" w:eastAsia="Times New Roman" w:hAnsi="Arial" w:cs="Arial"/>
                <w:color w:val="000000"/>
                <w:sz w:val="20"/>
                <w:szCs w:val="20"/>
                <w:lang w:eastAsia="bs-Latn-BA"/>
              </w:rPr>
              <w:t xml:space="preserve"> Eurobond</w:t>
            </w:r>
          </w:p>
        </w:tc>
        <w:tc>
          <w:tcPr>
            <w:tcW w:w="1701" w:type="dxa"/>
            <w:shd w:val="clear" w:color="auto" w:fill="auto"/>
            <w:noWrap/>
            <w:vAlign w:val="bottom"/>
            <w:hideMark/>
          </w:tcPr>
          <w:p w14:paraId="7038633A" w14:textId="6FA78A70" w:rsidR="00772BD0" w:rsidRPr="00BF51BB" w:rsidRDefault="003C0CA1"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5,</w:t>
            </w:r>
            <w:r w:rsidR="009E62FD" w:rsidRPr="00BF51BB">
              <w:rPr>
                <w:rFonts w:ascii="Arial" w:eastAsia="Times New Roman" w:hAnsi="Arial" w:cs="Arial"/>
                <w:color w:val="000000"/>
                <w:sz w:val="20"/>
                <w:szCs w:val="20"/>
                <w:lang w:eastAsia="bs-Latn-BA"/>
              </w:rPr>
              <w:t>45</w:t>
            </w:r>
            <w:r w:rsidR="00772BD0" w:rsidRPr="00BF51BB">
              <w:rPr>
                <w:rFonts w:ascii="Arial" w:eastAsia="Times New Roman" w:hAnsi="Arial" w:cs="Arial"/>
                <w:color w:val="000000"/>
                <w:sz w:val="20"/>
                <w:szCs w:val="20"/>
                <w:lang w:eastAsia="bs-Latn-BA"/>
              </w:rPr>
              <w:t>%</w:t>
            </w:r>
          </w:p>
        </w:tc>
        <w:tc>
          <w:tcPr>
            <w:tcW w:w="1701" w:type="dxa"/>
            <w:shd w:val="clear" w:color="auto" w:fill="auto"/>
            <w:noWrap/>
            <w:vAlign w:val="bottom"/>
            <w:hideMark/>
          </w:tcPr>
          <w:p w14:paraId="3E439491" w14:textId="0976E234" w:rsidR="00772BD0" w:rsidRPr="00BF51BB" w:rsidRDefault="003C0CA1"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5,</w:t>
            </w:r>
            <w:r w:rsidR="009E62FD" w:rsidRPr="00BF51BB">
              <w:rPr>
                <w:rFonts w:ascii="Arial" w:eastAsia="Times New Roman" w:hAnsi="Arial" w:cs="Arial"/>
                <w:color w:val="000000"/>
                <w:sz w:val="20"/>
                <w:szCs w:val="20"/>
                <w:lang w:eastAsia="bs-Latn-BA"/>
              </w:rPr>
              <w:t>65</w:t>
            </w:r>
            <w:r w:rsidR="00772BD0" w:rsidRPr="00BF51BB">
              <w:rPr>
                <w:rFonts w:ascii="Arial" w:eastAsia="Times New Roman" w:hAnsi="Arial" w:cs="Arial"/>
                <w:color w:val="000000"/>
                <w:sz w:val="20"/>
                <w:szCs w:val="20"/>
                <w:lang w:eastAsia="bs-Latn-BA"/>
              </w:rPr>
              <w:t>%</w:t>
            </w:r>
          </w:p>
        </w:tc>
        <w:tc>
          <w:tcPr>
            <w:tcW w:w="1559" w:type="dxa"/>
            <w:shd w:val="clear" w:color="auto" w:fill="auto"/>
            <w:noWrap/>
            <w:vAlign w:val="bottom"/>
            <w:hideMark/>
          </w:tcPr>
          <w:p w14:paraId="41A7591D" w14:textId="30D08D94" w:rsidR="00772BD0" w:rsidRPr="00BF51BB" w:rsidRDefault="009E62FD"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5,85</w:t>
            </w:r>
            <w:r w:rsidR="00772BD0" w:rsidRPr="00BF51BB">
              <w:rPr>
                <w:rFonts w:ascii="Arial" w:eastAsia="Times New Roman" w:hAnsi="Arial" w:cs="Arial"/>
                <w:color w:val="000000"/>
                <w:sz w:val="20"/>
                <w:szCs w:val="20"/>
                <w:lang w:eastAsia="bs-Latn-BA"/>
              </w:rPr>
              <w:t>%</w:t>
            </w:r>
          </w:p>
        </w:tc>
      </w:tr>
      <w:tr w:rsidR="003376D7" w:rsidRPr="00BF51BB" w14:paraId="534BD897" w14:textId="77777777" w:rsidTr="00BF51BB">
        <w:trPr>
          <w:trHeight w:val="300"/>
        </w:trPr>
        <w:tc>
          <w:tcPr>
            <w:tcW w:w="4395" w:type="dxa"/>
            <w:shd w:val="clear" w:color="auto" w:fill="auto"/>
            <w:noWrap/>
            <w:vAlign w:val="center"/>
          </w:tcPr>
          <w:p w14:paraId="654A63DC" w14:textId="4118F7BE" w:rsidR="003376D7" w:rsidRPr="00BF51BB" w:rsidRDefault="003376D7" w:rsidP="00760E3C">
            <w:pPr>
              <w:spacing w:after="0" w:line="240" w:lineRule="auto"/>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15Y Eurobond</w:t>
            </w:r>
          </w:p>
        </w:tc>
        <w:tc>
          <w:tcPr>
            <w:tcW w:w="1701" w:type="dxa"/>
            <w:shd w:val="clear" w:color="auto" w:fill="auto"/>
            <w:noWrap/>
            <w:vAlign w:val="bottom"/>
          </w:tcPr>
          <w:p w14:paraId="71E5DDE3" w14:textId="4D371CAE" w:rsidR="003376D7" w:rsidRPr="00BF51BB" w:rsidRDefault="003C0CA1"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5,94%</w:t>
            </w:r>
          </w:p>
        </w:tc>
        <w:tc>
          <w:tcPr>
            <w:tcW w:w="1701" w:type="dxa"/>
            <w:shd w:val="clear" w:color="auto" w:fill="auto"/>
            <w:noWrap/>
            <w:vAlign w:val="bottom"/>
          </w:tcPr>
          <w:p w14:paraId="1A7E4E0B" w14:textId="4BD43271" w:rsidR="003376D7" w:rsidRPr="00BF51BB" w:rsidRDefault="003C0CA1"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6,</w:t>
            </w:r>
            <w:r w:rsidR="009E62FD" w:rsidRPr="00BF51BB">
              <w:rPr>
                <w:rFonts w:ascii="Arial" w:eastAsia="Times New Roman" w:hAnsi="Arial" w:cs="Arial"/>
                <w:color w:val="000000"/>
                <w:sz w:val="20"/>
                <w:szCs w:val="20"/>
                <w:lang w:eastAsia="bs-Latn-BA"/>
              </w:rPr>
              <w:t>14</w:t>
            </w:r>
            <w:r w:rsidRPr="00BF51BB">
              <w:rPr>
                <w:rFonts w:ascii="Arial" w:eastAsia="Times New Roman" w:hAnsi="Arial" w:cs="Arial"/>
                <w:color w:val="000000"/>
                <w:sz w:val="20"/>
                <w:szCs w:val="20"/>
                <w:lang w:eastAsia="bs-Latn-BA"/>
              </w:rPr>
              <w:t>%</w:t>
            </w:r>
          </w:p>
        </w:tc>
        <w:tc>
          <w:tcPr>
            <w:tcW w:w="1559" w:type="dxa"/>
            <w:shd w:val="clear" w:color="auto" w:fill="auto"/>
            <w:noWrap/>
            <w:vAlign w:val="bottom"/>
          </w:tcPr>
          <w:p w14:paraId="7A84CA25" w14:textId="26A0046D" w:rsidR="003376D7" w:rsidRPr="00BF51BB" w:rsidRDefault="003C0CA1" w:rsidP="00760E3C">
            <w:pPr>
              <w:spacing w:after="0" w:line="240" w:lineRule="auto"/>
              <w:jc w:val="right"/>
              <w:rPr>
                <w:rFonts w:ascii="Arial" w:eastAsia="Times New Roman" w:hAnsi="Arial" w:cs="Arial"/>
                <w:color w:val="000000"/>
                <w:sz w:val="20"/>
                <w:szCs w:val="20"/>
                <w:lang w:eastAsia="bs-Latn-BA"/>
              </w:rPr>
            </w:pPr>
            <w:r w:rsidRPr="00BF51BB">
              <w:rPr>
                <w:rFonts w:ascii="Arial" w:eastAsia="Times New Roman" w:hAnsi="Arial" w:cs="Arial"/>
                <w:color w:val="000000"/>
                <w:sz w:val="20"/>
                <w:szCs w:val="20"/>
                <w:lang w:eastAsia="bs-Latn-BA"/>
              </w:rPr>
              <w:t>6,</w:t>
            </w:r>
            <w:r w:rsidR="009E62FD" w:rsidRPr="00BF51BB">
              <w:rPr>
                <w:rFonts w:ascii="Arial" w:eastAsia="Times New Roman" w:hAnsi="Arial" w:cs="Arial"/>
                <w:color w:val="000000"/>
                <w:sz w:val="20"/>
                <w:szCs w:val="20"/>
                <w:lang w:eastAsia="bs-Latn-BA"/>
              </w:rPr>
              <w:t>34</w:t>
            </w:r>
            <w:r w:rsidRPr="00BF51BB">
              <w:rPr>
                <w:rFonts w:ascii="Arial" w:eastAsia="Times New Roman" w:hAnsi="Arial" w:cs="Arial"/>
                <w:color w:val="000000"/>
                <w:sz w:val="20"/>
                <w:szCs w:val="20"/>
                <w:lang w:eastAsia="bs-Latn-BA"/>
              </w:rPr>
              <w:t>%</w:t>
            </w:r>
          </w:p>
        </w:tc>
      </w:tr>
    </w:tbl>
    <w:p w14:paraId="1F914D07" w14:textId="77777777" w:rsidR="005A3438" w:rsidRPr="00BF51BB" w:rsidRDefault="005A3438" w:rsidP="00ED768D">
      <w:pPr>
        <w:spacing w:after="0" w:line="240" w:lineRule="auto"/>
        <w:jc w:val="both"/>
        <w:rPr>
          <w:rFonts w:ascii="Arial" w:hAnsi="Arial" w:cs="Arial"/>
          <w:sz w:val="24"/>
          <w:szCs w:val="24"/>
        </w:rPr>
      </w:pPr>
    </w:p>
    <w:p w14:paraId="343AB349" w14:textId="29D728AB" w:rsidR="00977C8B" w:rsidRPr="00BF51BB" w:rsidRDefault="00ED768D" w:rsidP="00BE5B36">
      <w:pPr>
        <w:spacing w:after="0"/>
        <w:jc w:val="both"/>
        <w:rPr>
          <w:rFonts w:ascii="Arial" w:hAnsi="Arial" w:cs="Arial"/>
          <w:szCs w:val="24"/>
        </w:rPr>
      </w:pPr>
      <w:r w:rsidRPr="00BF51BB">
        <w:rPr>
          <w:rFonts w:ascii="Arial" w:hAnsi="Arial" w:cs="Arial"/>
          <w:szCs w:val="24"/>
        </w:rPr>
        <w:t>Tabela 1</w:t>
      </w:r>
      <w:r w:rsidR="005A0B60" w:rsidRPr="00BF51BB">
        <w:rPr>
          <w:rFonts w:ascii="Arial" w:hAnsi="Arial" w:cs="Arial"/>
          <w:szCs w:val="24"/>
        </w:rPr>
        <w:t>1</w:t>
      </w:r>
      <w:r w:rsidRPr="00BF51BB">
        <w:rPr>
          <w:rFonts w:ascii="Arial" w:hAnsi="Arial" w:cs="Arial"/>
          <w:szCs w:val="24"/>
        </w:rPr>
        <w:t>. Proc</w:t>
      </w:r>
      <w:r w:rsidR="00D945EA" w:rsidRPr="00BF51BB">
        <w:rPr>
          <w:rFonts w:ascii="Arial" w:hAnsi="Arial" w:cs="Arial"/>
          <w:szCs w:val="24"/>
        </w:rPr>
        <w:t>i</w:t>
      </w:r>
      <w:r w:rsidRPr="00BF51BB">
        <w:rPr>
          <w:rFonts w:ascii="Arial" w:hAnsi="Arial" w:cs="Arial"/>
          <w:szCs w:val="24"/>
        </w:rPr>
        <w:t>jenjeni spread (margina) na inst</w:t>
      </w:r>
      <w:r w:rsidR="00D945EA" w:rsidRPr="00BF51BB">
        <w:rPr>
          <w:rFonts w:ascii="Arial" w:hAnsi="Arial" w:cs="Arial"/>
          <w:szCs w:val="24"/>
        </w:rPr>
        <w:t>r</w:t>
      </w:r>
      <w:r w:rsidRPr="00BF51BB">
        <w:rPr>
          <w:rFonts w:ascii="Arial" w:hAnsi="Arial" w:cs="Arial"/>
          <w:szCs w:val="24"/>
        </w:rPr>
        <w:t xml:space="preserve">umente </w:t>
      </w:r>
      <w:r w:rsidR="00BB7244" w:rsidRPr="00BF51BB">
        <w:rPr>
          <w:rFonts w:ascii="Arial" w:hAnsi="Arial" w:cs="Arial"/>
          <w:szCs w:val="24"/>
        </w:rPr>
        <w:t xml:space="preserve">duga </w:t>
      </w:r>
      <w:r w:rsidRPr="00BF51BB">
        <w:rPr>
          <w:rFonts w:ascii="Arial" w:hAnsi="Arial" w:cs="Arial"/>
          <w:szCs w:val="24"/>
        </w:rPr>
        <w:t xml:space="preserve">sa varijabilnom kamatnom stopom u periodu </w:t>
      </w:r>
      <w:r w:rsidR="00B37D59" w:rsidRPr="00BF51BB">
        <w:rPr>
          <w:rFonts w:ascii="Arial" w:hAnsi="Arial" w:cs="Arial"/>
          <w:szCs w:val="24"/>
        </w:rPr>
        <w:t xml:space="preserve">2022 </w:t>
      </w:r>
      <w:r w:rsidR="005A3438" w:rsidRPr="00BF51BB">
        <w:rPr>
          <w:rFonts w:ascii="Arial" w:hAnsi="Arial" w:cs="Arial"/>
          <w:szCs w:val="24"/>
        </w:rPr>
        <w:t>– 202</w:t>
      </w:r>
      <w:r w:rsidR="00B37D59" w:rsidRPr="00BF51BB">
        <w:rPr>
          <w:rFonts w:ascii="Arial" w:hAnsi="Arial" w:cs="Arial"/>
          <w:szCs w:val="24"/>
        </w:rPr>
        <w:t>4</w:t>
      </w:r>
      <w:r w:rsidR="005A3438" w:rsidRPr="00BF51BB">
        <w:rPr>
          <w:rFonts w:ascii="Arial" w:hAnsi="Arial" w:cs="Arial"/>
          <w:szCs w:val="24"/>
        </w:rPr>
        <w:t xml:space="preserve">. </w:t>
      </w:r>
      <w:r w:rsidRPr="00BF51BB">
        <w:rPr>
          <w:rFonts w:ascii="Arial" w:hAnsi="Arial" w:cs="Arial"/>
          <w:szCs w:val="24"/>
        </w:rPr>
        <w:t>godin</w:t>
      </w:r>
      <w:r w:rsidR="00133849" w:rsidRPr="00BF51BB">
        <w:rPr>
          <w:rFonts w:ascii="Arial" w:hAnsi="Arial" w:cs="Arial"/>
          <w:szCs w:val="24"/>
        </w:rPr>
        <w:t>a</w:t>
      </w:r>
      <w:r w:rsidR="00BB7244" w:rsidRPr="00BF51BB">
        <w:rPr>
          <w:rFonts w:ascii="Arial" w:hAnsi="Arial" w:cs="Arial"/>
          <w:szCs w:val="24"/>
        </w:rPr>
        <w:t xml:space="preserve"> korištene u MTDS AT</w:t>
      </w:r>
    </w:p>
    <w:tbl>
      <w:tblPr>
        <w:tblW w:w="5019" w:type="pct"/>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253"/>
        <w:gridCol w:w="1698"/>
        <w:gridCol w:w="1698"/>
        <w:gridCol w:w="1699"/>
      </w:tblGrid>
      <w:tr w:rsidR="00977C8B" w:rsidRPr="00BF51BB" w14:paraId="3B6E533A" w14:textId="77777777" w:rsidTr="00BF51BB">
        <w:trPr>
          <w:trHeight w:val="302"/>
          <w:jc w:val="center"/>
        </w:trPr>
        <w:tc>
          <w:tcPr>
            <w:tcW w:w="2275" w:type="pct"/>
            <w:shd w:val="clear" w:color="auto" w:fill="auto"/>
            <w:noWrap/>
            <w:vAlign w:val="center"/>
            <w:hideMark/>
          </w:tcPr>
          <w:p w14:paraId="4E824BC4" w14:textId="77777777" w:rsidR="00977C8B" w:rsidRPr="00BF51BB" w:rsidRDefault="00977C8B" w:rsidP="00977C8B">
            <w:pPr>
              <w:spacing w:after="0" w:line="240" w:lineRule="auto"/>
              <w:rPr>
                <w:rFonts w:ascii="Arial" w:eastAsia="Times New Roman" w:hAnsi="Arial" w:cs="Arial"/>
                <w:b/>
                <w:bCs/>
                <w:color w:val="FFFFFF"/>
                <w:sz w:val="20"/>
                <w:szCs w:val="20"/>
              </w:rPr>
            </w:pPr>
            <w:r w:rsidRPr="00BF51BB">
              <w:rPr>
                <w:rFonts w:ascii="Arial" w:eastAsia="Times New Roman" w:hAnsi="Arial" w:cs="Arial"/>
                <w:b/>
                <w:bCs/>
                <w:color w:val="FFFFFF"/>
                <w:sz w:val="20"/>
                <w:szCs w:val="20"/>
              </w:rPr>
              <w:t> </w:t>
            </w:r>
          </w:p>
        </w:tc>
        <w:tc>
          <w:tcPr>
            <w:tcW w:w="908" w:type="pct"/>
            <w:shd w:val="clear" w:color="auto" w:fill="auto"/>
            <w:noWrap/>
            <w:vAlign w:val="center"/>
            <w:hideMark/>
          </w:tcPr>
          <w:p w14:paraId="77A16F0C" w14:textId="77777777" w:rsidR="00977C8B" w:rsidRPr="00BF51BB" w:rsidRDefault="00977C8B" w:rsidP="00977C8B">
            <w:pPr>
              <w:spacing w:after="0" w:line="240" w:lineRule="auto"/>
              <w:jc w:val="center"/>
              <w:rPr>
                <w:rFonts w:ascii="Arial" w:eastAsia="Times New Roman" w:hAnsi="Arial" w:cs="Arial"/>
                <w:color w:val="000000"/>
                <w:sz w:val="20"/>
                <w:szCs w:val="20"/>
              </w:rPr>
            </w:pPr>
            <w:r w:rsidRPr="00BF51BB">
              <w:rPr>
                <w:rFonts w:ascii="Arial" w:eastAsia="Times New Roman" w:hAnsi="Arial" w:cs="Arial"/>
                <w:color w:val="000000"/>
                <w:sz w:val="20"/>
                <w:szCs w:val="20"/>
              </w:rPr>
              <w:t>2022</w:t>
            </w:r>
          </w:p>
        </w:tc>
        <w:tc>
          <w:tcPr>
            <w:tcW w:w="908" w:type="pct"/>
            <w:shd w:val="clear" w:color="auto" w:fill="auto"/>
            <w:noWrap/>
            <w:vAlign w:val="center"/>
            <w:hideMark/>
          </w:tcPr>
          <w:p w14:paraId="072E1F31" w14:textId="77777777" w:rsidR="00977C8B" w:rsidRPr="00BF51BB" w:rsidRDefault="00977C8B" w:rsidP="00977C8B">
            <w:pPr>
              <w:spacing w:after="0" w:line="240" w:lineRule="auto"/>
              <w:jc w:val="center"/>
              <w:rPr>
                <w:rFonts w:ascii="Arial" w:eastAsia="Times New Roman" w:hAnsi="Arial" w:cs="Arial"/>
                <w:color w:val="000000"/>
                <w:sz w:val="20"/>
                <w:szCs w:val="20"/>
              </w:rPr>
            </w:pPr>
            <w:r w:rsidRPr="00BF51BB">
              <w:rPr>
                <w:rFonts w:ascii="Arial" w:eastAsia="Times New Roman" w:hAnsi="Arial" w:cs="Arial"/>
                <w:color w:val="000000"/>
                <w:sz w:val="20"/>
                <w:szCs w:val="20"/>
              </w:rPr>
              <w:t>2023</w:t>
            </w:r>
          </w:p>
        </w:tc>
        <w:tc>
          <w:tcPr>
            <w:tcW w:w="909" w:type="pct"/>
            <w:shd w:val="clear" w:color="auto" w:fill="auto"/>
            <w:noWrap/>
            <w:vAlign w:val="center"/>
            <w:hideMark/>
          </w:tcPr>
          <w:p w14:paraId="0F6F49C9" w14:textId="77777777" w:rsidR="00977C8B" w:rsidRPr="00BF51BB" w:rsidRDefault="00977C8B" w:rsidP="00977C8B">
            <w:pPr>
              <w:spacing w:after="0" w:line="240" w:lineRule="auto"/>
              <w:jc w:val="center"/>
              <w:rPr>
                <w:rFonts w:ascii="Arial" w:eastAsia="Times New Roman" w:hAnsi="Arial" w:cs="Arial"/>
                <w:color w:val="000000"/>
                <w:sz w:val="20"/>
                <w:szCs w:val="20"/>
              </w:rPr>
            </w:pPr>
            <w:r w:rsidRPr="00BF51BB">
              <w:rPr>
                <w:rFonts w:ascii="Arial" w:eastAsia="Times New Roman" w:hAnsi="Arial" w:cs="Arial"/>
                <w:color w:val="000000"/>
                <w:sz w:val="20"/>
                <w:szCs w:val="20"/>
              </w:rPr>
              <w:t>2024</w:t>
            </w:r>
          </w:p>
        </w:tc>
      </w:tr>
      <w:tr w:rsidR="00977C8B" w:rsidRPr="00BF51BB" w14:paraId="035153EA" w14:textId="77777777" w:rsidTr="00BF51BB">
        <w:trPr>
          <w:trHeight w:val="302"/>
          <w:jc w:val="center"/>
        </w:trPr>
        <w:tc>
          <w:tcPr>
            <w:tcW w:w="2275" w:type="pct"/>
            <w:shd w:val="clear" w:color="auto" w:fill="auto"/>
            <w:noWrap/>
            <w:vAlign w:val="center"/>
            <w:hideMark/>
          </w:tcPr>
          <w:p w14:paraId="127B9C2F" w14:textId="77777777" w:rsidR="00977C8B" w:rsidRPr="00BF51BB" w:rsidRDefault="00977C8B" w:rsidP="00977C8B">
            <w:pPr>
              <w:spacing w:after="0" w:line="240" w:lineRule="auto"/>
              <w:rPr>
                <w:rFonts w:ascii="Arial" w:eastAsia="Times New Roman" w:hAnsi="Arial" w:cs="Arial"/>
                <w:bCs/>
                <w:color w:val="000000"/>
                <w:sz w:val="20"/>
                <w:szCs w:val="20"/>
              </w:rPr>
            </w:pPr>
            <w:r w:rsidRPr="00BF51BB">
              <w:rPr>
                <w:rFonts w:ascii="Arial" w:eastAsia="Times New Roman" w:hAnsi="Arial" w:cs="Arial"/>
                <w:bCs/>
                <w:color w:val="000000"/>
                <w:sz w:val="20"/>
                <w:szCs w:val="20"/>
              </w:rPr>
              <w:t>Koncesionalni USD Varijabilni</w:t>
            </w:r>
          </w:p>
        </w:tc>
        <w:tc>
          <w:tcPr>
            <w:tcW w:w="908" w:type="pct"/>
            <w:shd w:val="clear" w:color="auto" w:fill="auto"/>
            <w:noWrap/>
            <w:vAlign w:val="center"/>
            <w:hideMark/>
          </w:tcPr>
          <w:p w14:paraId="2B236ED3"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1,03%</w:t>
            </w:r>
          </w:p>
        </w:tc>
        <w:tc>
          <w:tcPr>
            <w:tcW w:w="908" w:type="pct"/>
            <w:shd w:val="clear" w:color="auto" w:fill="auto"/>
            <w:noWrap/>
            <w:vAlign w:val="center"/>
            <w:hideMark/>
          </w:tcPr>
          <w:p w14:paraId="095F4D87"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1,03%</w:t>
            </w:r>
          </w:p>
        </w:tc>
        <w:tc>
          <w:tcPr>
            <w:tcW w:w="909" w:type="pct"/>
            <w:shd w:val="clear" w:color="auto" w:fill="auto"/>
            <w:noWrap/>
            <w:vAlign w:val="center"/>
            <w:hideMark/>
          </w:tcPr>
          <w:p w14:paraId="282DE25A"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1,03%</w:t>
            </w:r>
          </w:p>
        </w:tc>
      </w:tr>
      <w:tr w:rsidR="00977C8B" w:rsidRPr="00BF51BB" w14:paraId="3A5CE603" w14:textId="77777777" w:rsidTr="00BF51BB">
        <w:trPr>
          <w:trHeight w:val="302"/>
          <w:jc w:val="center"/>
        </w:trPr>
        <w:tc>
          <w:tcPr>
            <w:tcW w:w="2275" w:type="pct"/>
            <w:shd w:val="clear" w:color="auto" w:fill="auto"/>
            <w:noWrap/>
            <w:vAlign w:val="center"/>
            <w:hideMark/>
          </w:tcPr>
          <w:p w14:paraId="620CFAD8" w14:textId="77777777" w:rsidR="00977C8B" w:rsidRPr="00BF51BB" w:rsidRDefault="00977C8B" w:rsidP="00977C8B">
            <w:pPr>
              <w:spacing w:after="0" w:line="240" w:lineRule="auto"/>
              <w:rPr>
                <w:rFonts w:ascii="Arial" w:eastAsia="Times New Roman" w:hAnsi="Arial" w:cs="Arial"/>
                <w:bCs/>
                <w:color w:val="000000"/>
                <w:sz w:val="20"/>
                <w:szCs w:val="20"/>
              </w:rPr>
            </w:pPr>
            <w:r w:rsidRPr="00BF51BB">
              <w:rPr>
                <w:rFonts w:ascii="Arial" w:eastAsia="Times New Roman" w:hAnsi="Arial" w:cs="Arial"/>
                <w:bCs/>
                <w:color w:val="000000"/>
                <w:sz w:val="20"/>
                <w:szCs w:val="20"/>
              </w:rPr>
              <w:t>Koncesionalni EUR Varijabilni</w:t>
            </w:r>
          </w:p>
        </w:tc>
        <w:tc>
          <w:tcPr>
            <w:tcW w:w="908" w:type="pct"/>
            <w:shd w:val="clear" w:color="auto" w:fill="auto"/>
            <w:noWrap/>
            <w:vAlign w:val="center"/>
            <w:hideMark/>
          </w:tcPr>
          <w:p w14:paraId="27000B36"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1,03%</w:t>
            </w:r>
          </w:p>
        </w:tc>
        <w:tc>
          <w:tcPr>
            <w:tcW w:w="908" w:type="pct"/>
            <w:shd w:val="clear" w:color="auto" w:fill="auto"/>
            <w:noWrap/>
            <w:vAlign w:val="center"/>
            <w:hideMark/>
          </w:tcPr>
          <w:p w14:paraId="47BADFD2"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1,03%</w:t>
            </w:r>
          </w:p>
        </w:tc>
        <w:tc>
          <w:tcPr>
            <w:tcW w:w="909" w:type="pct"/>
            <w:shd w:val="clear" w:color="auto" w:fill="auto"/>
            <w:noWrap/>
            <w:vAlign w:val="center"/>
            <w:hideMark/>
          </w:tcPr>
          <w:p w14:paraId="672966E2"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1,03%</w:t>
            </w:r>
          </w:p>
        </w:tc>
      </w:tr>
      <w:tr w:rsidR="00977C8B" w:rsidRPr="00BF51BB" w14:paraId="4C620D13" w14:textId="77777777" w:rsidTr="00BF51BB">
        <w:trPr>
          <w:trHeight w:val="302"/>
          <w:jc w:val="center"/>
        </w:trPr>
        <w:tc>
          <w:tcPr>
            <w:tcW w:w="2275" w:type="pct"/>
            <w:shd w:val="clear" w:color="auto" w:fill="auto"/>
            <w:noWrap/>
            <w:vAlign w:val="center"/>
            <w:hideMark/>
          </w:tcPr>
          <w:p w14:paraId="18F0C8E0" w14:textId="77777777" w:rsidR="00977C8B" w:rsidRPr="00BF51BB" w:rsidRDefault="00977C8B" w:rsidP="00977C8B">
            <w:pPr>
              <w:spacing w:after="0" w:line="240" w:lineRule="auto"/>
              <w:rPr>
                <w:rFonts w:ascii="Arial" w:eastAsia="Times New Roman" w:hAnsi="Arial" w:cs="Arial"/>
                <w:bCs/>
                <w:color w:val="000000"/>
                <w:sz w:val="20"/>
                <w:szCs w:val="20"/>
              </w:rPr>
            </w:pPr>
            <w:r w:rsidRPr="00BF51BB">
              <w:rPr>
                <w:rFonts w:ascii="Arial" w:eastAsia="Times New Roman" w:hAnsi="Arial" w:cs="Arial"/>
                <w:bCs/>
                <w:color w:val="000000"/>
                <w:sz w:val="20"/>
                <w:szCs w:val="20"/>
              </w:rPr>
              <w:t>IMF RFI USD Varijabilni</w:t>
            </w:r>
          </w:p>
        </w:tc>
        <w:tc>
          <w:tcPr>
            <w:tcW w:w="908" w:type="pct"/>
            <w:shd w:val="clear" w:color="auto" w:fill="auto"/>
            <w:noWrap/>
            <w:vAlign w:val="center"/>
            <w:hideMark/>
          </w:tcPr>
          <w:p w14:paraId="6856ED4C"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1,00%</w:t>
            </w:r>
          </w:p>
        </w:tc>
        <w:tc>
          <w:tcPr>
            <w:tcW w:w="908" w:type="pct"/>
            <w:shd w:val="clear" w:color="auto" w:fill="auto"/>
            <w:noWrap/>
            <w:vAlign w:val="center"/>
            <w:hideMark/>
          </w:tcPr>
          <w:p w14:paraId="69DA7817"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1,00%</w:t>
            </w:r>
          </w:p>
        </w:tc>
        <w:tc>
          <w:tcPr>
            <w:tcW w:w="909" w:type="pct"/>
            <w:shd w:val="clear" w:color="auto" w:fill="auto"/>
            <w:noWrap/>
            <w:vAlign w:val="center"/>
            <w:hideMark/>
          </w:tcPr>
          <w:p w14:paraId="7D3DF161"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1,00%</w:t>
            </w:r>
          </w:p>
        </w:tc>
      </w:tr>
      <w:tr w:rsidR="00977C8B" w:rsidRPr="00BF51BB" w14:paraId="41C6BB0D" w14:textId="77777777" w:rsidTr="00BF51BB">
        <w:trPr>
          <w:trHeight w:val="318"/>
          <w:jc w:val="center"/>
        </w:trPr>
        <w:tc>
          <w:tcPr>
            <w:tcW w:w="2275" w:type="pct"/>
            <w:shd w:val="clear" w:color="auto" w:fill="auto"/>
            <w:noWrap/>
            <w:vAlign w:val="center"/>
            <w:hideMark/>
          </w:tcPr>
          <w:p w14:paraId="689C6F09" w14:textId="77777777" w:rsidR="00977C8B" w:rsidRPr="00BF51BB" w:rsidRDefault="00977C8B" w:rsidP="00977C8B">
            <w:pPr>
              <w:spacing w:after="0" w:line="240" w:lineRule="auto"/>
              <w:rPr>
                <w:rFonts w:ascii="Arial" w:eastAsia="Times New Roman" w:hAnsi="Arial" w:cs="Arial"/>
                <w:bCs/>
                <w:color w:val="000000"/>
                <w:sz w:val="20"/>
                <w:szCs w:val="20"/>
              </w:rPr>
            </w:pPr>
            <w:r w:rsidRPr="00BF51BB">
              <w:rPr>
                <w:rFonts w:ascii="Arial" w:eastAsia="Times New Roman" w:hAnsi="Arial" w:cs="Arial"/>
                <w:bCs/>
                <w:color w:val="000000"/>
                <w:sz w:val="20"/>
                <w:szCs w:val="20"/>
              </w:rPr>
              <w:t>IMF EFF USD Varijabilni</w:t>
            </w:r>
          </w:p>
        </w:tc>
        <w:tc>
          <w:tcPr>
            <w:tcW w:w="908" w:type="pct"/>
            <w:shd w:val="clear" w:color="auto" w:fill="auto"/>
            <w:noWrap/>
            <w:vAlign w:val="center"/>
            <w:hideMark/>
          </w:tcPr>
          <w:p w14:paraId="545CA401"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1,00%</w:t>
            </w:r>
          </w:p>
        </w:tc>
        <w:tc>
          <w:tcPr>
            <w:tcW w:w="908" w:type="pct"/>
            <w:shd w:val="clear" w:color="auto" w:fill="auto"/>
            <w:noWrap/>
            <w:vAlign w:val="center"/>
            <w:hideMark/>
          </w:tcPr>
          <w:p w14:paraId="010C9E3F"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1,00%</w:t>
            </w:r>
          </w:p>
        </w:tc>
        <w:tc>
          <w:tcPr>
            <w:tcW w:w="909" w:type="pct"/>
            <w:shd w:val="clear" w:color="auto" w:fill="auto"/>
            <w:noWrap/>
            <w:vAlign w:val="center"/>
            <w:hideMark/>
          </w:tcPr>
          <w:p w14:paraId="5C1F8F3B" w14:textId="77777777" w:rsidR="00977C8B" w:rsidRPr="00BF51BB" w:rsidRDefault="00977C8B" w:rsidP="00977C8B">
            <w:pPr>
              <w:spacing w:after="0" w:line="240" w:lineRule="auto"/>
              <w:jc w:val="right"/>
              <w:rPr>
                <w:rFonts w:ascii="Arial" w:eastAsia="Times New Roman" w:hAnsi="Arial" w:cs="Arial"/>
                <w:color w:val="000000"/>
                <w:sz w:val="20"/>
                <w:szCs w:val="20"/>
              </w:rPr>
            </w:pPr>
            <w:r w:rsidRPr="00BF51BB">
              <w:rPr>
                <w:rFonts w:ascii="Arial" w:eastAsia="Times New Roman" w:hAnsi="Arial" w:cs="Arial"/>
                <w:color w:val="000000"/>
                <w:sz w:val="20"/>
                <w:szCs w:val="20"/>
              </w:rPr>
              <w:t>1,00%</w:t>
            </w:r>
          </w:p>
        </w:tc>
      </w:tr>
    </w:tbl>
    <w:p w14:paraId="0E3FD37C" w14:textId="77777777" w:rsidR="005B6230" w:rsidRPr="00BF51BB" w:rsidRDefault="005B6230" w:rsidP="00BE5B36">
      <w:pPr>
        <w:spacing w:after="0"/>
        <w:jc w:val="both"/>
        <w:rPr>
          <w:rFonts w:ascii="Arial" w:hAnsi="Arial" w:cs="Arial"/>
          <w:sz w:val="24"/>
          <w:szCs w:val="24"/>
        </w:rPr>
      </w:pPr>
    </w:p>
    <w:p w14:paraId="28A5FC3B" w14:textId="48398486" w:rsidR="00ED768D" w:rsidRPr="00BF51BB" w:rsidRDefault="00ED768D" w:rsidP="00713ED7">
      <w:pPr>
        <w:pStyle w:val="ParagraphNumbering"/>
        <w:keepNext/>
        <w:numPr>
          <w:ilvl w:val="0"/>
          <w:numId w:val="0"/>
        </w:numPr>
        <w:spacing w:after="0" w:line="276" w:lineRule="auto"/>
        <w:ind w:firstLine="420"/>
        <w:jc w:val="both"/>
        <w:rPr>
          <w:rFonts w:ascii="Arial" w:hAnsi="Arial" w:cs="Arial"/>
          <w:sz w:val="22"/>
        </w:rPr>
      </w:pPr>
      <w:r w:rsidRPr="00BF51BB">
        <w:rPr>
          <w:rFonts w:ascii="Arial" w:hAnsi="Arial" w:cs="Arial"/>
          <w:sz w:val="22"/>
        </w:rPr>
        <w:lastRenderedPageBreak/>
        <w:t>B</w:t>
      </w:r>
      <w:r w:rsidR="007C3030" w:rsidRPr="00BF51BB">
        <w:rPr>
          <w:rFonts w:ascii="Arial" w:hAnsi="Arial" w:cs="Arial"/>
          <w:sz w:val="22"/>
        </w:rPr>
        <w:t xml:space="preserve">osna </w:t>
      </w:r>
      <w:r w:rsidRPr="00BF51BB">
        <w:rPr>
          <w:rFonts w:ascii="Arial" w:hAnsi="Arial" w:cs="Arial"/>
          <w:sz w:val="22"/>
        </w:rPr>
        <w:t>i</w:t>
      </w:r>
      <w:r w:rsidR="007C3030" w:rsidRPr="00BF51BB">
        <w:rPr>
          <w:rFonts w:ascii="Arial" w:hAnsi="Arial" w:cs="Arial"/>
          <w:sz w:val="22"/>
        </w:rPr>
        <w:t xml:space="preserve"> </w:t>
      </w:r>
      <w:r w:rsidRPr="00BF51BB">
        <w:rPr>
          <w:rFonts w:ascii="Arial" w:hAnsi="Arial" w:cs="Arial"/>
          <w:sz w:val="22"/>
        </w:rPr>
        <w:t>H</w:t>
      </w:r>
      <w:r w:rsidR="007C3030" w:rsidRPr="00BF51BB">
        <w:rPr>
          <w:rFonts w:ascii="Arial" w:hAnsi="Arial" w:cs="Arial"/>
          <w:sz w:val="22"/>
        </w:rPr>
        <w:t>ercegovina</w:t>
      </w:r>
      <w:r w:rsidRPr="00BF51BB">
        <w:rPr>
          <w:rFonts w:ascii="Arial" w:hAnsi="Arial" w:cs="Arial"/>
          <w:sz w:val="22"/>
        </w:rPr>
        <w:t xml:space="preserve"> ima kreditni rejting B od S&amp;P</w:t>
      </w:r>
      <w:r w:rsidRPr="00BF51BB">
        <w:rPr>
          <w:rFonts w:ascii="Arial" w:hAnsi="Arial" w:cs="Arial"/>
          <w:sz w:val="22"/>
          <w:vertAlign w:val="superscript"/>
        </w:rPr>
        <w:footnoteReference w:id="16"/>
      </w:r>
      <w:r w:rsidRPr="00BF51BB">
        <w:rPr>
          <w:rFonts w:ascii="Arial" w:hAnsi="Arial" w:cs="Arial"/>
          <w:sz w:val="22"/>
          <w:vertAlign w:val="superscript"/>
        </w:rPr>
        <w:t xml:space="preserve"> </w:t>
      </w:r>
      <w:r w:rsidRPr="00BF51BB">
        <w:rPr>
          <w:rFonts w:ascii="Arial" w:hAnsi="Arial" w:cs="Arial"/>
          <w:sz w:val="22"/>
        </w:rPr>
        <w:t>i B3 od Moody's</w:t>
      </w:r>
      <w:r w:rsidRPr="00BF51BB">
        <w:rPr>
          <w:rFonts w:ascii="Arial" w:hAnsi="Arial" w:cs="Arial"/>
          <w:sz w:val="22"/>
          <w:vertAlign w:val="superscript"/>
        </w:rPr>
        <w:footnoteReference w:id="17"/>
      </w:r>
      <w:r w:rsidRPr="00BF51BB">
        <w:rPr>
          <w:rFonts w:ascii="Arial" w:hAnsi="Arial" w:cs="Arial"/>
          <w:sz w:val="22"/>
        </w:rPr>
        <w:t>. Oba kreditna rejtinga  svrstavaju Bosnu i Hercegovinu u skupinu zemalja sa visokim kreditnim rizikom – neinvestitorski rejting, odnosno u grupu zemalja koja može da izmiruje trenutne dugoročne obaveze</w:t>
      </w:r>
      <w:r w:rsidR="0007589E" w:rsidRPr="00BF51BB">
        <w:rPr>
          <w:rFonts w:ascii="Arial" w:hAnsi="Arial" w:cs="Arial"/>
          <w:sz w:val="22"/>
        </w:rPr>
        <w:t>,</w:t>
      </w:r>
      <w:r w:rsidRPr="00BF51BB">
        <w:rPr>
          <w:rFonts w:ascii="Arial" w:hAnsi="Arial" w:cs="Arial"/>
          <w:sz w:val="22"/>
        </w:rPr>
        <w:t xml:space="preserve"> ali nepovoljna ekonomska kretanja mogu dovesti </w:t>
      </w:r>
      <w:r w:rsidR="0007589E" w:rsidRPr="00BF51BB">
        <w:rPr>
          <w:rFonts w:ascii="Arial" w:hAnsi="Arial" w:cs="Arial"/>
          <w:sz w:val="22"/>
        </w:rPr>
        <w:t>do</w:t>
      </w:r>
      <w:r w:rsidRPr="00BF51BB">
        <w:rPr>
          <w:rFonts w:ascii="Arial" w:hAnsi="Arial" w:cs="Arial"/>
          <w:sz w:val="22"/>
        </w:rPr>
        <w:t xml:space="preserve"> problem</w:t>
      </w:r>
      <w:r w:rsidR="0007589E" w:rsidRPr="00BF51BB">
        <w:rPr>
          <w:rFonts w:ascii="Arial" w:hAnsi="Arial" w:cs="Arial"/>
          <w:sz w:val="22"/>
        </w:rPr>
        <w:t>a u</w:t>
      </w:r>
      <w:r w:rsidRPr="00BF51BB">
        <w:rPr>
          <w:rFonts w:ascii="Arial" w:hAnsi="Arial" w:cs="Arial"/>
          <w:sz w:val="22"/>
        </w:rPr>
        <w:t xml:space="preserve"> servisiranj</w:t>
      </w:r>
      <w:r w:rsidR="00EC030A" w:rsidRPr="00BF51BB">
        <w:rPr>
          <w:rFonts w:ascii="Arial" w:hAnsi="Arial" w:cs="Arial"/>
          <w:sz w:val="22"/>
        </w:rPr>
        <w:t>u</w:t>
      </w:r>
      <w:r w:rsidRPr="00BF51BB">
        <w:rPr>
          <w:rFonts w:ascii="Arial" w:hAnsi="Arial" w:cs="Arial"/>
          <w:sz w:val="22"/>
        </w:rPr>
        <w:t xml:space="preserve"> njenih obaveza. </w:t>
      </w:r>
    </w:p>
    <w:p w14:paraId="02CA34A9" w14:textId="77777777" w:rsidR="00C00D11" w:rsidRPr="00BF51BB" w:rsidRDefault="00C00D11" w:rsidP="00D35AE0">
      <w:pPr>
        <w:spacing w:after="0" w:line="240" w:lineRule="auto"/>
        <w:ind w:firstLine="426"/>
        <w:jc w:val="both"/>
        <w:rPr>
          <w:rFonts w:ascii="Arial" w:eastAsia="SimSun" w:hAnsi="Arial" w:cs="Arial"/>
          <w:sz w:val="24"/>
          <w:szCs w:val="24"/>
        </w:rPr>
      </w:pPr>
    </w:p>
    <w:p w14:paraId="2252E6FA" w14:textId="77777777" w:rsidR="00ED768D" w:rsidRPr="00BF51BB" w:rsidRDefault="00ED768D" w:rsidP="00D35AE0">
      <w:pPr>
        <w:pStyle w:val="ParagraphNumbering"/>
        <w:keepNext/>
        <w:numPr>
          <w:ilvl w:val="0"/>
          <w:numId w:val="0"/>
        </w:numPr>
        <w:tabs>
          <w:tab w:val="left" w:pos="720"/>
        </w:tabs>
        <w:spacing w:after="0" w:line="240" w:lineRule="auto"/>
        <w:jc w:val="both"/>
        <w:rPr>
          <w:rFonts w:ascii="Arial" w:hAnsi="Arial" w:cs="Arial"/>
        </w:rPr>
      </w:pPr>
      <w:r w:rsidRPr="00BF51BB">
        <w:rPr>
          <w:rFonts w:ascii="Arial" w:hAnsi="Arial" w:cs="Arial"/>
          <w:sz w:val="22"/>
        </w:rPr>
        <w:t>Tabela 1</w:t>
      </w:r>
      <w:r w:rsidR="005A0B60" w:rsidRPr="00BF51BB">
        <w:rPr>
          <w:rFonts w:ascii="Arial" w:hAnsi="Arial" w:cs="Arial"/>
          <w:sz w:val="22"/>
        </w:rPr>
        <w:t>2</w:t>
      </w:r>
      <w:r w:rsidRPr="00BF51BB">
        <w:rPr>
          <w:rFonts w:ascii="Arial" w:hAnsi="Arial" w:cs="Arial"/>
          <w:sz w:val="22"/>
        </w:rPr>
        <w:t>: Pregled dugoročnog rejtinga pojedinih zemalja iz šireg okruženja</w:t>
      </w:r>
    </w:p>
    <w:p w14:paraId="3211F83C" w14:textId="77777777" w:rsidR="00A97D61" w:rsidRPr="00BF51BB" w:rsidRDefault="00A97D61" w:rsidP="00D35AE0">
      <w:pPr>
        <w:pStyle w:val="ParagraphNumbering"/>
        <w:keepNext/>
        <w:numPr>
          <w:ilvl w:val="0"/>
          <w:numId w:val="0"/>
        </w:numPr>
        <w:tabs>
          <w:tab w:val="left" w:pos="720"/>
        </w:tabs>
        <w:spacing w:after="0" w:line="240" w:lineRule="auto"/>
        <w:jc w:val="both"/>
        <w:rPr>
          <w:rFonts w:ascii="Arial" w:hAnsi="Arial" w:cs="Arial"/>
        </w:rPr>
      </w:pPr>
    </w:p>
    <w:tbl>
      <w:tblPr>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59"/>
        <w:gridCol w:w="3110"/>
        <w:gridCol w:w="2954"/>
      </w:tblGrid>
      <w:tr w:rsidR="00A97D61" w:rsidRPr="00BF51BB" w14:paraId="682077DF" w14:textId="77777777" w:rsidTr="00BF51BB">
        <w:trPr>
          <w:trHeight w:val="300"/>
          <w:jc w:val="center"/>
        </w:trPr>
        <w:tc>
          <w:tcPr>
            <w:tcW w:w="1748" w:type="pct"/>
            <w:vMerge w:val="restart"/>
            <w:shd w:val="clear" w:color="000000" w:fill="FFFFFF"/>
            <w:vAlign w:val="center"/>
            <w:hideMark/>
          </w:tcPr>
          <w:p w14:paraId="61D5A657" w14:textId="77777777" w:rsidR="00A97D61" w:rsidRPr="00BF51BB" w:rsidRDefault="00A97D61" w:rsidP="00A97D61">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Država</w:t>
            </w:r>
          </w:p>
        </w:tc>
        <w:tc>
          <w:tcPr>
            <w:tcW w:w="1668" w:type="pct"/>
            <w:shd w:val="clear" w:color="000000" w:fill="FFFFFF"/>
            <w:vAlign w:val="center"/>
            <w:hideMark/>
          </w:tcPr>
          <w:p w14:paraId="5C5B418D" w14:textId="77777777" w:rsidR="00A97D61" w:rsidRPr="00BF51BB" w:rsidRDefault="00A97D61" w:rsidP="00A97D61">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Moody's Investors Service</w:t>
            </w:r>
          </w:p>
        </w:tc>
        <w:tc>
          <w:tcPr>
            <w:tcW w:w="1584" w:type="pct"/>
            <w:shd w:val="clear" w:color="000000" w:fill="FFFFFF"/>
            <w:vAlign w:val="center"/>
            <w:hideMark/>
          </w:tcPr>
          <w:p w14:paraId="33EEB848" w14:textId="77777777" w:rsidR="00A97D61" w:rsidRPr="00BF51BB" w:rsidRDefault="00A97D61" w:rsidP="00A97D61">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Standard &amp; Poor's</w:t>
            </w:r>
          </w:p>
        </w:tc>
      </w:tr>
      <w:tr w:rsidR="00A97D61" w:rsidRPr="00BF51BB" w14:paraId="2F8EDD97" w14:textId="77777777" w:rsidTr="00BF51BB">
        <w:trPr>
          <w:trHeight w:val="300"/>
          <w:jc w:val="center"/>
        </w:trPr>
        <w:tc>
          <w:tcPr>
            <w:tcW w:w="1748" w:type="pct"/>
            <w:vMerge/>
            <w:vAlign w:val="center"/>
            <w:hideMark/>
          </w:tcPr>
          <w:p w14:paraId="40A39E6C" w14:textId="77777777" w:rsidR="00A97D61" w:rsidRPr="00BF51BB" w:rsidRDefault="00A97D61" w:rsidP="00A97D61">
            <w:pPr>
              <w:spacing w:after="0" w:line="240" w:lineRule="auto"/>
              <w:rPr>
                <w:rFonts w:ascii="Arial" w:eastAsia="Times New Roman" w:hAnsi="Arial" w:cs="Arial"/>
                <w:i/>
                <w:sz w:val="20"/>
                <w:szCs w:val="20"/>
                <w:lang w:eastAsia="bs-Latn-BA"/>
              </w:rPr>
            </w:pPr>
          </w:p>
        </w:tc>
        <w:tc>
          <w:tcPr>
            <w:tcW w:w="1668" w:type="pct"/>
            <w:shd w:val="clear" w:color="000000" w:fill="FFFFFF"/>
            <w:vAlign w:val="center"/>
            <w:hideMark/>
          </w:tcPr>
          <w:p w14:paraId="60016B1A" w14:textId="77777777" w:rsidR="00A97D61" w:rsidRPr="00BF51BB" w:rsidRDefault="00A97D61" w:rsidP="00A97D61">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Dugoročni / izgled</w:t>
            </w:r>
          </w:p>
        </w:tc>
        <w:tc>
          <w:tcPr>
            <w:tcW w:w="1584" w:type="pct"/>
            <w:shd w:val="clear" w:color="000000" w:fill="FFFFFF"/>
            <w:vAlign w:val="center"/>
            <w:hideMark/>
          </w:tcPr>
          <w:p w14:paraId="3176A46E" w14:textId="77777777" w:rsidR="00A97D61" w:rsidRPr="00BF51BB" w:rsidRDefault="00A97D61" w:rsidP="00A97D61">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Dugoročni / izgled</w:t>
            </w:r>
          </w:p>
        </w:tc>
      </w:tr>
      <w:tr w:rsidR="00286C5F" w:rsidRPr="00BF51BB" w14:paraId="13C988EB" w14:textId="77777777" w:rsidTr="00BF51BB">
        <w:trPr>
          <w:trHeight w:val="300"/>
          <w:jc w:val="center"/>
        </w:trPr>
        <w:tc>
          <w:tcPr>
            <w:tcW w:w="1748" w:type="pct"/>
            <w:shd w:val="clear" w:color="000000" w:fill="FFFFFF"/>
            <w:vAlign w:val="center"/>
            <w:hideMark/>
          </w:tcPr>
          <w:p w14:paraId="16D7A43A" w14:textId="77777777" w:rsidR="00286C5F" w:rsidRPr="00BF51BB" w:rsidRDefault="00286C5F" w:rsidP="00286C5F">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Albanija</w:t>
            </w:r>
          </w:p>
        </w:tc>
        <w:tc>
          <w:tcPr>
            <w:tcW w:w="1668" w:type="pct"/>
            <w:shd w:val="clear" w:color="000000" w:fill="FFFFFF"/>
            <w:vAlign w:val="center"/>
            <w:hideMark/>
          </w:tcPr>
          <w:p w14:paraId="69C40BA7" w14:textId="619DF001"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B1 / stabilan</w:t>
            </w:r>
          </w:p>
        </w:tc>
        <w:tc>
          <w:tcPr>
            <w:tcW w:w="1584" w:type="pct"/>
            <w:shd w:val="clear" w:color="000000" w:fill="FFFFFF"/>
            <w:vAlign w:val="center"/>
            <w:hideMark/>
          </w:tcPr>
          <w:p w14:paraId="20FFE38E" w14:textId="030D42B7"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 stabilan</w:t>
            </w:r>
          </w:p>
        </w:tc>
      </w:tr>
      <w:tr w:rsidR="00A97D61" w:rsidRPr="00BF51BB" w14:paraId="044F754F" w14:textId="77777777" w:rsidTr="00BF51BB">
        <w:trPr>
          <w:trHeight w:val="300"/>
          <w:jc w:val="center"/>
        </w:trPr>
        <w:tc>
          <w:tcPr>
            <w:tcW w:w="1748" w:type="pct"/>
            <w:shd w:val="clear" w:color="000000" w:fill="FFFFFF"/>
            <w:vAlign w:val="center"/>
            <w:hideMark/>
          </w:tcPr>
          <w:p w14:paraId="35965A0A" w14:textId="77777777" w:rsidR="00A97D61" w:rsidRPr="00BF51BB" w:rsidRDefault="00A97D61" w:rsidP="00A97D61">
            <w:pPr>
              <w:spacing w:after="0" w:line="240" w:lineRule="auto"/>
              <w:rPr>
                <w:rFonts w:ascii="Arial" w:eastAsia="Times New Roman" w:hAnsi="Arial" w:cs="Arial"/>
                <w:b/>
                <w:bCs/>
                <w:i/>
                <w:color w:val="000000"/>
                <w:sz w:val="20"/>
                <w:szCs w:val="20"/>
                <w:lang w:eastAsia="bs-Latn-BA"/>
              </w:rPr>
            </w:pPr>
            <w:r w:rsidRPr="00BF51BB">
              <w:rPr>
                <w:rFonts w:ascii="Arial" w:eastAsia="Times New Roman" w:hAnsi="Arial" w:cs="Arial"/>
                <w:b/>
                <w:bCs/>
                <w:i/>
                <w:color w:val="000000"/>
                <w:sz w:val="20"/>
                <w:szCs w:val="20"/>
                <w:lang w:eastAsia="bs-Latn-BA"/>
              </w:rPr>
              <w:t>Bosna i Hercegovina</w:t>
            </w:r>
          </w:p>
        </w:tc>
        <w:tc>
          <w:tcPr>
            <w:tcW w:w="1668" w:type="pct"/>
            <w:shd w:val="clear" w:color="000000" w:fill="FFFFFF"/>
            <w:vAlign w:val="center"/>
            <w:hideMark/>
          </w:tcPr>
          <w:p w14:paraId="64091416" w14:textId="77777777" w:rsidR="00A97D61" w:rsidRPr="00BF51BB" w:rsidRDefault="00A97D61" w:rsidP="00A97D61">
            <w:pPr>
              <w:spacing w:after="0" w:line="240" w:lineRule="auto"/>
              <w:jc w:val="center"/>
              <w:rPr>
                <w:rFonts w:ascii="Arial" w:eastAsia="Times New Roman" w:hAnsi="Arial" w:cs="Arial"/>
                <w:b/>
                <w:bCs/>
                <w:i/>
                <w:color w:val="000000"/>
                <w:sz w:val="20"/>
                <w:szCs w:val="20"/>
                <w:lang w:eastAsia="bs-Latn-BA"/>
              </w:rPr>
            </w:pPr>
            <w:r w:rsidRPr="00BF51BB">
              <w:rPr>
                <w:rFonts w:ascii="Arial" w:eastAsia="Times New Roman" w:hAnsi="Arial" w:cs="Arial"/>
                <w:b/>
                <w:bCs/>
                <w:i/>
                <w:color w:val="000000"/>
                <w:sz w:val="20"/>
                <w:szCs w:val="20"/>
                <w:lang w:eastAsia="bs-Latn-BA"/>
              </w:rPr>
              <w:t>B3 / stabilan</w:t>
            </w:r>
          </w:p>
        </w:tc>
        <w:tc>
          <w:tcPr>
            <w:tcW w:w="1584" w:type="pct"/>
            <w:shd w:val="clear" w:color="000000" w:fill="FFFFFF"/>
            <w:vAlign w:val="center"/>
            <w:hideMark/>
          </w:tcPr>
          <w:p w14:paraId="4B5483C2" w14:textId="77777777" w:rsidR="00A97D61" w:rsidRPr="00BF51BB" w:rsidRDefault="00A97D61" w:rsidP="00A97D61">
            <w:pPr>
              <w:spacing w:after="0" w:line="240" w:lineRule="auto"/>
              <w:jc w:val="center"/>
              <w:rPr>
                <w:rFonts w:ascii="Arial" w:eastAsia="Times New Roman" w:hAnsi="Arial" w:cs="Arial"/>
                <w:b/>
                <w:bCs/>
                <w:i/>
                <w:color w:val="000000"/>
                <w:sz w:val="20"/>
                <w:szCs w:val="20"/>
                <w:lang w:eastAsia="bs-Latn-BA"/>
              </w:rPr>
            </w:pPr>
            <w:r w:rsidRPr="00BF51BB">
              <w:rPr>
                <w:rFonts w:ascii="Arial" w:eastAsia="Times New Roman" w:hAnsi="Arial" w:cs="Arial"/>
                <w:b/>
                <w:bCs/>
                <w:i/>
                <w:color w:val="000000"/>
                <w:sz w:val="20"/>
                <w:szCs w:val="20"/>
                <w:lang w:eastAsia="bs-Latn-BA"/>
              </w:rPr>
              <w:t>B / stabilan</w:t>
            </w:r>
          </w:p>
        </w:tc>
      </w:tr>
      <w:tr w:rsidR="00A97D61" w:rsidRPr="00BF51BB" w14:paraId="763C88A3" w14:textId="77777777" w:rsidTr="00BF51BB">
        <w:trPr>
          <w:trHeight w:val="300"/>
          <w:jc w:val="center"/>
        </w:trPr>
        <w:tc>
          <w:tcPr>
            <w:tcW w:w="1748" w:type="pct"/>
            <w:shd w:val="clear" w:color="000000" w:fill="FFFFFF"/>
            <w:vAlign w:val="center"/>
            <w:hideMark/>
          </w:tcPr>
          <w:p w14:paraId="77540447" w14:textId="77777777" w:rsidR="00A97D61" w:rsidRPr="00BF51BB" w:rsidRDefault="00A97D61" w:rsidP="00A97D61">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Bugarska</w:t>
            </w:r>
          </w:p>
        </w:tc>
        <w:tc>
          <w:tcPr>
            <w:tcW w:w="1668" w:type="pct"/>
            <w:shd w:val="clear" w:color="000000" w:fill="FFFFFF"/>
            <w:vAlign w:val="center"/>
            <w:hideMark/>
          </w:tcPr>
          <w:p w14:paraId="6D351AEA" w14:textId="77777777" w:rsidR="00A97D61" w:rsidRPr="00BF51BB" w:rsidRDefault="00A97D61" w:rsidP="00A97D61">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Baa1 / stabilan</w:t>
            </w:r>
          </w:p>
        </w:tc>
        <w:tc>
          <w:tcPr>
            <w:tcW w:w="1584" w:type="pct"/>
            <w:shd w:val="clear" w:color="000000" w:fill="FFFFFF"/>
            <w:vAlign w:val="center"/>
            <w:hideMark/>
          </w:tcPr>
          <w:p w14:paraId="29567E6B" w14:textId="77777777" w:rsidR="00A97D61" w:rsidRPr="00BF51BB" w:rsidRDefault="00A97D61" w:rsidP="00A97D61">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BBB / stabilan</w:t>
            </w:r>
          </w:p>
        </w:tc>
      </w:tr>
      <w:tr w:rsidR="00286C5F" w:rsidRPr="00BF51BB" w14:paraId="59200722" w14:textId="77777777" w:rsidTr="00BF51BB">
        <w:trPr>
          <w:trHeight w:val="300"/>
          <w:jc w:val="center"/>
        </w:trPr>
        <w:tc>
          <w:tcPr>
            <w:tcW w:w="1748" w:type="pct"/>
            <w:shd w:val="clear" w:color="000000" w:fill="FFFFFF"/>
            <w:vAlign w:val="center"/>
            <w:hideMark/>
          </w:tcPr>
          <w:p w14:paraId="0B52D725" w14:textId="77777777" w:rsidR="00286C5F" w:rsidRPr="00BF51BB" w:rsidRDefault="00286C5F" w:rsidP="00286C5F">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Crna Gora</w:t>
            </w:r>
          </w:p>
        </w:tc>
        <w:tc>
          <w:tcPr>
            <w:tcW w:w="1668" w:type="pct"/>
            <w:shd w:val="clear" w:color="000000" w:fill="FFFFFF"/>
            <w:vAlign w:val="center"/>
            <w:hideMark/>
          </w:tcPr>
          <w:p w14:paraId="041458B9" w14:textId="2EC50C9F"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B1 / stabilan</w:t>
            </w:r>
          </w:p>
        </w:tc>
        <w:tc>
          <w:tcPr>
            <w:tcW w:w="1584" w:type="pct"/>
            <w:shd w:val="clear" w:color="000000" w:fill="FFFFFF"/>
            <w:vAlign w:val="center"/>
            <w:hideMark/>
          </w:tcPr>
          <w:p w14:paraId="1B9C601D" w14:textId="5881F4B2"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 / stabilan</w:t>
            </w:r>
          </w:p>
        </w:tc>
      </w:tr>
      <w:tr w:rsidR="00286C5F" w:rsidRPr="00BF51BB" w14:paraId="64A9BDDF" w14:textId="77777777" w:rsidTr="00BF51BB">
        <w:trPr>
          <w:trHeight w:val="300"/>
          <w:jc w:val="center"/>
        </w:trPr>
        <w:tc>
          <w:tcPr>
            <w:tcW w:w="1748" w:type="pct"/>
            <w:shd w:val="clear" w:color="000000" w:fill="FFFFFF"/>
            <w:vAlign w:val="center"/>
            <w:hideMark/>
          </w:tcPr>
          <w:p w14:paraId="3CBE91F2" w14:textId="77777777" w:rsidR="00286C5F" w:rsidRPr="00BF51BB" w:rsidRDefault="00286C5F" w:rsidP="00286C5F">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Grčka</w:t>
            </w:r>
          </w:p>
        </w:tc>
        <w:tc>
          <w:tcPr>
            <w:tcW w:w="1668" w:type="pct"/>
            <w:shd w:val="clear" w:color="000000" w:fill="FFFFFF"/>
            <w:vAlign w:val="center"/>
            <w:hideMark/>
          </w:tcPr>
          <w:p w14:paraId="75F1CEA5" w14:textId="0C9545B5"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Ba3 / stabilan</w:t>
            </w:r>
          </w:p>
        </w:tc>
        <w:tc>
          <w:tcPr>
            <w:tcW w:w="1584" w:type="pct"/>
            <w:shd w:val="clear" w:color="000000" w:fill="FFFFFF"/>
            <w:vAlign w:val="center"/>
            <w:hideMark/>
          </w:tcPr>
          <w:p w14:paraId="5891990F" w14:textId="559FD997"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BB / pozitivan</w:t>
            </w:r>
          </w:p>
        </w:tc>
      </w:tr>
      <w:tr w:rsidR="00286C5F" w:rsidRPr="00BF51BB" w14:paraId="54EA5BDD" w14:textId="77777777" w:rsidTr="00BF51BB">
        <w:trPr>
          <w:trHeight w:val="300"/>
          <w:jc w:val="center"/>
        </w:trPr>
        <w:tc>
          <w:tcPr>
            <w:tcW w:w="1748" w:type="pct"/>
            <w:shd w:val="clear" w:color="000000" w:fill="FFFFFF"/>
            <w:vAlign w:val="center"/>
            <w:hideMark/>
          </w:tcPr>
          <w:p w14:paraId="5EE603A7" w14:textId="77777777" w:rsidR="00286C5F" w:rsidRPr="00BF51BB" w:rsidRDefault="00286C5F" w:rsidP="00286C5F">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Hrvatska</w:t>
            </w:r>
          </w:p>
        </w:tc>
        <w:tc>
          <w:tcPr>
            <w:tcW w:w="1668" w:type="pct"/>
            <w:shd w:val="clear" w:color="000000" w:fill="FFFFFF"/>
            <w:vAlign w:val="center"/>
            <w:hideMark/>
          </w:tcPr>
          <w:p w14:paraId="3927103C" w14:textId="706B4F78"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Ba1 / stabilan</w:t>
            </w:r>
          </w:p>
        </w:tc>
        <w:tc>
          <w:tcPr>
            <w:tcW w:w="1584" w:type="pct"/>
            <w:shd w:val="clear" w:color="000000" w:fill="FFFFFF"/>
            <w:vAlign w:val="center"/>
            <w:hideMark/>
          </w:tcPr>
          <w:p w14:paraId="2AA69D39" w14:textId="5FD491B9"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BBB- / stabilan</w:t>
            </w:r>
          </w:p>
        </w:tc>
      </w:tr>
      <w:tr w:rsidR="00286C5F" w:rsidRPr="00BF51BB" w14:paraId="410486E9" w14:textId="77777777" w:rsidTr="00BF51BB">
        <w:trPr>
          <w:trHeight w:val="300"/>
          <w:jc w:val="center"/>
        </w:trPr>
        <w:tc>
          <w:tcPr>
            <w:tcW w:w="1748" w:type="pct"/>
            <w:shd w:val="clear" w:color="000000" w:fill="FFFFFF"/>
            <w:vAlign w:val="center"/>
            <w:hideMark/>
          </w:tcPr>
          <w:p w14:paraId="3DD3040D" w14:textId="77777777" w:rsidR="00286C5F" w:rsidRPr="00BF51BB" w:rsidRDefault="00286C5F" w:rsidP="00286C5F">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Mađarska</w:t>
            </w:r>
          </w:p>
        </w:tc>
        <w:tc>
          <w:tcPr>
            <w:tcW w:w="1668" w:type="pct"/>
            <w:shd w:val="clear" w:color="000000" w:fill="FFFFFF"/>
            <w:vAlign w:val="center"/>
            <w:hideMark/>
          </w:tcPr>
          <w:p w14:paraId="634F4D99" w14:textId="78E74C08"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Baa2 / stabilan</w:t>
            </w:r>
          </w:p>
        </w:tc>
        <w:tc>
          <w:tcPr>
            <w:tcW w:w="1584" w:type="pct"/>
            <w:shd w:val="clear" w:color="000000" w:fill="FFFFFF"/>
            <w:vAlign w:val="center"/>
            <w:hideMark/>
          </w:tcPr>
          <w:p w14:paraId="7460CF7B" w14:textId="5C5CC956"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BBB / stabilan</w:t>
            </w:r>
          </w:p>
        </w:tc>
      </w:tr>
      <w:tr w:rsidR="00286C5F" w:rsidRPr="00BF51BB" w14:paraId="393C4176" w14:textId="77777777" w:rsidTr="00BF51BB">
        <w:trPr>
          <w:trHeight w:val="300"/>
          <w:jc w:val="center"/>
        </w:trPr>
        <w:tc>
          <w:tcPr>
            <w:tcW w:w="1748" w:type="pct"/>
            <w:shd w:val="clear" w:color="000000" w:fill="FFFFFF"/>
            <w:vAlign w:val="center"/>
            <w:hideMark/>
          </w:tcPr>
          <w:p w14:paraId="65B881C4" w14:textId="77777777" w:rsidR="00286C5F" w:rsidRPr="00BF51BB" w:rsidRDefault="00286C5F" w:rsidP="00286C5F">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Sjeverna Makedonija</w:t>
            </w:r>
          </w:p>
        </w:tc>
        <w:tc>
          <w:tcPr>
            <w:tcW w:w="1668" w:type="pct"/>
            <w:shd w:val="clear" w:color="000000" w:fill="FFFFFF"/>
            <w:vAlign w:val="center"/>
            <w:hideMark/>
          </w:tcPr>
          <w:p w14:paraId="72573655" w14:textId="6EA4E0F3"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w:t>
            </w:r>
          </w:p>
        </w:tc>
        <w:tc>
          <w:tcPr>
            <w:tcW w:w="1584" w:type="pct"/>
            <w:shd w:val="clear" w:color="000000" w:fill="FFFFFF"/>
            <w:vAlign w:val="center"/>
            <w:hideMark/>
          </w:tcPr>
          <w:p w14:paraId="16CC5DEE" w14:textId="4656BC05"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BB- / stabilan</w:t>
            </w:r>
          </w:p>
        </w:tc>
      </w:tr>
      <w:tr w:rsidR="00286C5F" w:rsidRPr="00BF51BB" w14:paraId="0E847943" w14:textId="77777777" w:rsidTr="00BF51BB">
        <w:trPr>
          <w:trHeight w:val="300"/>
          <w:jc w:val="center"/>
        </w:trPr>
        <w:tc>
          <w:tcPr>
            <w:tcW w:w="1748" w:type="pct"/>
            <w:shd w:val="clear" w:color="000000" w:fill="FFFFFF"/>
            <w:vAlign w:val="center"/>
            <w:hideMark/>
          </w:tcPr>
          <w:p w14:paraId="57A82914" w14:textId="77777777" w:rsidR="00286C5F" w:rsidRPr="00BF51BB" w:rsidRDefault="00286C5F" w:rsidP="00286C5F">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Rumunija</w:t>
            </w:r>
          </w:p>
        </w:tc>
        <w:tc>
          <w:tcPr>
            <w:tcW w:w="1668" w:type="pct"/>
            <w:shd w:val="clear" w:color="000000" w:fill="FFFFFF"/>
            <w:vAlign w:val="center"/>
            <w:hideMark/>
          </w:tcPr>
          <w:p w14:paraId="693CBC9B" w14:textId="792B414A"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Baa3 / stabilan</w:t>
            </w:r>
          </w:p>
        </w:tc>
        <w:tc>
          <w:tcPr>
            <w:tcW w:w="1584" w:type="pct"/>
            <w:shd w:val="clear" w:color="000000" w:fill="FFFFFF"/>
            <w:vAlign w:val="center"/>
            <w:hideMark/>
          </w:tcPr>
          <w:p w14:paraId="5A1C6611" w14:textId="0B74A4A7"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BBB- / stabilan</w:t>
            </w:r>
          </w:p>
        </w:tc>
      </w:tr>
      <w:tr w:rsidR="00286C5F" w:rsidRPr="00BF51BB" w14:paraId="779F85CA" w14:textId="77777777" w:rsidTr="00BF51BB">
        <w:trPr>
          <w:trHeight w:val="300"/>
          <w:jc w:val="center"/>
        </w:trPr>
        <w:tc>
          <w:tcPr>
            <w:tcW w:w="1748" w:type="pct"/>
            <w:shd w:val="clear" w:color="000000" w:fill="FFFFFF"/>
            <w:vAlign w:val="center"/>
            <w:hideMark/>
          </w:tcPr>
          <w:p w14:paraId="0B2CC613" w14:textId="77777777" w:rsidR="00286C5F" w:rsidRPr="00BF51BB" w:rsidRDefault="00286C5F" w:rsidP="00286C5F">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Slovenija</w:t>
            </w:r>
          </w:p>
        </w:tc>
        <w:tc>
          <w:tcPr>
            <w:tcW w:w="1668" w:type="pct"/>
            <w:shd w:val="clear" w:color="000000" w:fill="FFFFFF"/>
            <w:vAlign w:val="center"/>
            <w:hideMark/>
          </w:tcPr>
          <w:p w14:paraId="4FB78C5C" w14:textId="14DD5C62"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A3 / stabilan</w:t>
            </w:r>
          </w:p>
        </w:tc>
        <w:tc>
          <w:tcPr>
            <w:tcW w:w="1584" w:type="pct"/>
            <w:shd w:val="clear" w:color="000000" w:fill="FFFFFF"/>
            <w:vAlign w:val="center"/>
            <w:hideMark/>
          </w:tcPr>
          <w:p w14:paraId="4F908DDF" w14:textId="0B2DDA8B"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AA- / stabilan</w:t>
            </w:r>
          </w:p>
        </w:tc>
      </w:tr>
      <w:tr w:rsidR="00286C5F" w:rsidRPr="00BF51BB" w14:paraId="4C05F0CA" w14:textId="77777777" w:rsidTr="00BF51BB">
        <w:trPr>
          <w:trHeight w:val="300"/>
          <w:jc w:val="center"/>
        </w:trPr>
        <w:tc>
          <w:tcPr>
            <w:tcW w:w="1748" w:type="pct"/>
            <w:shd w:val="clear" w:color="000000" w:fill="FFFFFF"/>
            <w:vAlign w:val="center"/>
            <w:hideMark/>
          </w:tcPr>
          <w:p w14:paraId="3DDC9829" w14:textId="77777777" w:rsidR="00286C5F" w:rsidRPr="00BF51BB" w:rsidRDefault="00286C5F" w:rsidP="00286C5F">
            <w:pPr>
              <w:spacing w:after="0" w:line="240" w:lineRule="auto"/>
              <w:rPr>
                <w:rFonts w:ascii="Arial" w:eastAsia="Times New Roman" w:hAnsi="Arial" w:cs="Arial"/>
                <w:i/>
                <w:color w:val="000000"/>
                <w:sz w:val="20"/>
                <w:szCs w:val="20"/>
                <w:lang w:eastAsia="bs-Latn-BA"/>
              </w:rPr>
            </w:pPr>
            <w:r w:rsidRPr="00BF51BB">
              <w:rPr>
                <w:rFonts w:ascii="Arial" w:eastAsia="Times New Roman" w:hAnsi="Arial" w:cs="Arial"/>
                <w:i/>
                <w:color w:val="000000"/>
                <w:sz w:val="20"/>
                <w:szCs w:val="20"/>
                <w:lang w:eastAsia="bs-Latn-BA"/>
              </w:rPr>
              <w:t>Srbija</w:t>
            </w:r>
          </w:p>
        </w:tc>
        <w:tc>
          <w:tcPr>
            <w:tcW w:w="1668" w:type="pct"/>
            <w:shd w:val="clear" w:color="000000" w:fill="FFFFFF"/>
            <w:vAlign w:val="center"/>
            <w:hideMark/>
          </w:tcPr>
          <w:p w14:paraId="52C62773" w14:textId="7925D026"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Ba2 / stabilan</w:t>
            </w:r>
          </w:p>
        </w:tc>
        <w:tc>
          <w:tcPr>
            <w:tcW w:w="1584" w:type="pct"/>
            <w:shd w:val="clear" w:color="000000" w:fill="FFFFFF"/>
            <w:vAlign w:val="center"/>
            <w:hideMark/>
          </w:tcPr>
          <w:p w14:paraId="16E4365B" w14:textId="3AAF30D9" w:rsidR="00286C5F" w:rsidRPr="00BF51BB" w:rsidRDefault="00286C5F" w:rsidP="00286C5F">
            <w:pPr>
              <w:spacing w:after="0" w:line="240" w:lineRule="auto"/>
              <w:jc w:val="center"/>
              <w:rPr>
                <w:rFonts w:ascii="Arial" w:eastAsia="Times New Roman" w:hAnsi="Arial" w:cs="Arial"/>
                <w:i/>
                <w:sz w:val="20"/>
                <w:szCs w:val="20"/>
                <w:lang w:eastAsia="bs-Latn-BA"/>
              </w:rPr>
            </w:pPr>
            <w:r w:rsidRPr="00BF51BB">
              <w:rPr>
                <w:rFonts w:ascii="Arial" w:eastAsia="Times New Roman" w:hAnsi="Arial" w:cs="Arial"/>
                <w:i/>
                <w:sz w:val="20"/>
                <w:szCs w:val="20"/>
                <w:lang w:eastAsia="bs-Latn-BA"/>
              </w:rPr>
              <w:t>BB+ / pozitivan</w:t>
            </w:r>
          </w:p>
        </w:tc>
      </w:tr>
    </w:tbl>
    <w:p w14:paraId="14F137F7" w14:textId="77777777" w:rsidR="00ED768D" w:rsidRPr="00BF51BB" w:rsidRDefault="00ED768D" w:rsidP="00BF51BB">
      <w:pPr>
        <w:spacing w:after="0" w:line="240" w:lineRule="auto"/>
        <w:jc w:val="center"/>
        <w:rPr>
          <w:rFonts w:ascii="Arial" w:hAnsi="Arial" w:cs="Arial"/>
          <w:sz w:val="20"/>
        </w:rPr>
      </w:pPr>
      <w:r w:rsidRPr="00BF51BB">
        <w:rPr>
          <w:rFonts w:ascii="Arial" w:hAnsi="Arial" w:cs="Arial"/>
          <w:sz w:val="20"/>
        </w:rPr>
        <w:t>Izvor: Centralna banka Bosne i Hercegovine</w:t>
      </w:r>
      <w:r w:rsidR="003C2CA0" w:rsidRPr="00BF51BB">
        <w:rPr>
          <w:rStyle w:val="FootnoteReference"/>
          <w:rFonts w:ascii="Arial" w:hAnsi="Arial" w:cs="Arial"/>
          <w:sz w:val="20"/>
        </w:rPr>
        <w:footnoteReference w:id="18"/>
      </w:r>
    </w:p>
    <w:p w14:paraId="7A87CA38" w14:textId="5304EB7F" w:rsidR="00BF7FA5" w:rsidRDefault="00BF7FA5" w:rsidP="00701C8F">
      <w:pPr>
        <w:pStyle w:val="ParagraphNumbering"/>
        <w:keepNext/>
        <w:numPr>
          <w:ilvl w:val="0"/>
          <w:numId w:val="0"/>
        </w:numPr>
        <w:spacing w:after="0" w:line="276" w:lineRule="auto"/>
        <w:ind w:firstLine="420"/>
        <w:jc w:val="both"/>
        <w:rPr>
          <w:rFonts w:ascii="Arial" w:hAnsi="Arial" w:cs="Arial"/>
          <w:sz w:val="22"/>
        </w:rPr>
      </w:pPr>
    </w:p>
    <w:p w14:paraId="7ECB3A61" w14:textId="77777777" w:rsidR="00AD3357" w:rsidRPr="00BF51BB" w:rsidRDefault="00AD3357" w:rsidP="00701C8F">
      <w:pPr>
        <w:pStyle w:val="ParagraphNumbering"/>
        <w:keepNext/>
        <w:numPr>
          <w:ilvl w:val="0"/>
          <w:numId w:val="0"/>
        </w:numPr>
        <w:spacing w:after="0" w:line="276" w:lineRule="auto"/>
        <w:ind w:firstLine="420"/>
        <w:jc w:val="both"/>
        <w:rPr>
          <w:rFonts w:ascii="Arial" w:hAnsi="Arial" w:cs="Arial"/>
          <w:sz w:val="22"/>
        </w:rPr>
      </w:pPr>
    </w:p>
    <w:p w14:paraId="04FCA88B" w14:textId="2864A090" w:rsidR="00CF5EC0" w:rsidRPr="00BF51BB" w:rsidRDefault="00017C6F" w:rsidP="00701C8F">
      <w:pPr>
        <w:pStyle w:val="ParagraphNumbering"/>
        <w:keepNext/>
        <w:numPr>
          <w:ilvl w:val="0"/>
          <w:numId w:val="0"/>
        </w:numPr>
        <w:spacing w:after="0" w:line="276" w:lineRule="auto"/>
        <w:ind w:firstLine="420"/>
        <w:jc w:val="both"/>
        <w:rPr>
          <w:rFonts w:ascii="Arial" w:hAnsi="Arial" w:cs="Arial"/>
        </w:rPr>
      </w:pPr>
      <w:r w:rsidRPr="00BF51BB">
        <w:rPr>
          <w:rFonts w:ascii="Arial" w:hAnsi="Arial" w:cs="Arial"/>
          <w:sz w:val="22"/>
        </w:rPr>
        <w:t>Mada</w:t>
      </w:r>
      <w:r w:rsidR="00CF5EC0" w:rsidRPr="00BF51BB">
        <w:rPr>
          <w:rFonts w:ascii="Arial" w:hAnsi="Arial" w:cs="Arial"/>
          <w:sz w:val="22"/>
        </w:rPr>
        <w:t xml:space="preserve"> je to </w:t>
      </w:r>
      <w:r w:rsidR="00F34DF6" w:rsidRPr="00BF51BB">
        <w:rPr>
          <w:rFonts w:ascii="Arial" w:hAnsi="Arial" w:cs="Arial"/>
          <w:sz w:val="22"/>
        </w:rPr>
        <w:t>poželjna opcija za Federaciju BiH, zbog neadekvatnog pravnog okvira na nivou BiH i izvjesnog političkog rizika</w:t>
      </w:r>
      <w:r w:rsidR="00CF5EC0" w:rsidRPr="00BF51BB">
        <w:rPr>
          <w:rFonts w:ascii="Arial" w:hAnsi="Arial" w:cs="Arial"/>
          <w:sz w:val="22"/>
        </w:rPr>
        <w:t xml:space="preserve">, </w:t>
      </w:r>
      <w:r w:rsidR="00D35AE0" w:rsidRPr="00BF51BB">
        <w:rPr>
          <w:rFonts w:ascii="Arial" w:hAnsi="Arial" w:cs="Arial"/>
          <w:sz w:val="22"/>
        </w:rPr>
        <w:t>Federacija BiH</w:t>
      </w:r>
      <w:r w:rsidR="00CF5EC0" w:rsidRPr="00BF51BB">
        <w:rPr>
          <w:rFonts w:ascii="Arial" w:hAnsi="Arial" w:cs="Arial"/>
          <w:sz w:val="22"/>
        </w:rPr>
        <w:t xml:space="preserve"> još uvijek nije emitovala vrijednosne papire na međunarodnom finansijskom tržištu.</w:t>
      </w:r>
      <w:r w:rsidR="00887DBC" w:rsidRPr="00BF51BB">
        <w:rPr>
          <w:rFonts w:ascii="Arial" w:hAnsi="Arial" w:cs="Arial"/>
          <w:sz w:val="22"/>
        </w:rPr>
        <w:t xml:space="preserve"> U cilju procjene troškova takve vrste zaduženja Ministarstvo finansija testiralo je nekoliko instrumenata duga (Euroobveznica) različitih dospijeća kao alternativne izvore finansiranja u periodu </w:t>
      </w:r>
      <w:r w:rsidR="005826C0" w:rsidRPr="00BF51BB">
        <w:rPr>
          <w:rFonts w:ascii="Arial" w:hAnsi="Arial" w:cs="Arial"/>
          <w:sz w:val="22"/>
        </w:rPr>
        <w:t xml:space="preserve">2022 </w:t>
      </w:r>
      <w:r w:rsidR="00FA7567" w:rsidRPr="00BF51BB">
        <w:rPr>
          <w:rFonts w:ascii="Arial" w:hAnsi="Arial" w:cs="Arial"/>
          <w:sz w:val="22"/>
        </w:rPr>
        <w:t xml:space="preserve">– </w:t>
      </w:r>
      <w:r w:rsidR="005826C0" w:rsidRPr="00BF51BB">
        <w:rPr>
          <w:rFonts w:ascii="Arial" w:hAnsi="Arial" w:cs="Arial"/>
          <w:sz w:val="22"/>
        </w:rPr>
        <w:t>2024</w:t>
      </w:r>
      <w:r w:rsidR="00887DBC" w:rsidRPr="00BF51BB">
        <w:rPr>
          <w:rFonts w:ascii="Arial" w:hAnsi="Arial" w:cs="Arial"/>
          <w:sz w:val="22"/>
        </w:rPr>
        <w:t>. godina</w:t>
      </w:r>
      <w:r w:rsidR="00D35AE0" w:rsidRPr="00BF51BB">
        <w:rPr>
          <w:rFonts w:ascii="Arial" w:hAnsi="Arial" w:cs="Arial"/>
          <w:sz w:val="22"/>
        </w:rPr>
        <w:t>.</w:t>
      </w:r>
    </w:p>
    <w:p w14:paraId="6BDA9D9B" w14:textId="77777777" w:rsidR="00DB02AE" w:rsidRPr="00BF51BB" w:rsidRDefault="00DB02AE" w:rsidP="00701C8F">
      <w:pPr>
        <w:pStyle w:val="ParagraphNumbering"/>
        <w:keepNext/>
        <w:numPr>
          <w:ilvl w:val="0"/>
          <w:numId w:val="0"/>
        </w:numPr>
        <w:spacing w:after="0" w:line="276" w:lineRule="auto"/>
        <w:ind w:firstLine="420"/>
        <w:jc w:val="both"/>
        <w:rPr>
          <w:rFonts w:ascii="Arial" w:hAnsi="Arial" w:cs="Arial"/>
          <w:sz w:val="20"/>
        </w:rPr>
      </w:pPr>
    </w:p>
    <w:p w14:paraId="5FF0C3D6" w14:textId="1EBBEC45" w:rsidR="00ED768D" w:rsidRPr="00BF51BB" w:rsidRDefault="004457DE" w:rsidP="00D1611F">
      <w:pPr>
        <w:spacing w:after="0"/>
        <w:ind w:firstLine="284"/>
        <w:jc w:val="both"/>
        <w:rPr>
          <w:rFonts w:ascii="Arial" w:eastAsiaTheme="minorEastAsia" w:hAnsi="Arial" w:cs="Arial"/>
          <w:szCs w:val="24"/>
          <w:lang w:eastAsia="en-GB"/>
        </w:rPr>
      </w:pPr>
      <w:r w:rsidRPr="00BF51BB">
        <w:rPr>
          <w:rFonts w:ascii="Arial" w:hAnsi="Arial" w:cs="Arial"/>
          <w:szCs w:val="24"/>
        </w:rPr>
        <w:t xml:space="preserve"> </w:t>
      </w:r>
      <w:r w:rsidR="00B52C0C" w:rsidRPr="00BF51BB">
        <w:rPr>
          <w:rFonts w:ascii="Arial" w:eastAsiaTheme="minorEastAsia" w:hAnsi="Arial" w:cs="Arial"/>
          <w:szCs w:val="24"/>
          <w:lang w:eastAsia="en-GB"/>
        </w:rPr>
        <w:t>Kurs USD/EUR je istorijski relativno nestabilan.</w:t>
      </w:r>
      <w:r w:rsidR="00CF5EC0" w:rsidRPr="00BF51BB">
        <w:rPr>
          <w:rFonts w:ascii="Arial" w:eastAsiaTheme="minorEastAsia" w:hAnsi="Arial" w:cs="Arial"/>
          <w:szCs w:val="24"/>
          <w:lang w:eastAsia="en-GB"/>
        </w:rPr>
        <w:t xml:space="preserve"> </w:t>
      </w:r>
      <w:r w:rsidR="00215CCD" w:rsidRPr="00BF51BB">
        <w:rPr>
          <w:rFonts w:ascii="Arial" w:eastAsiaTheme="minorEastAsia" w:hAnsi="Arial" w:cs="Arial"/>
          <w:szCs w:val="24"/>
          <w:lang w:eastAsia="en-GB"/>
        </w:rPr>
        <w:t xml:space="preserve">Imajući u vidu </w:t>
      </w:r>
      <w:r w:rsidR="00ED768D" w:rsidRPr="00BF51BB">
        <w:rPr>
          <w:rFonts w:ascii="Arial" w:eastAsiaTheme="minorEastAsia" w:hAnsi="Arial" w:cs="Arial"/>
          <w:szCs w:val="24"/>
          <w:lang w:eastAsia="en-GB"/>
        </w:rPr>
        <w:t>aranžman valutnog odbora</w:t>
      </w:r>
      <w:r w:rsidR="00215CCD" w:rsidRPr="00BF51BB">
        <w:rPr>
          <w:rFonts w:ascii="Arial" w:eastAsiaTheme="minorEastAsia" w:hAnsi="Arial" w:cs="Arial"/>
          <w:szCs w:val="24"/>
          <w:lang w:eastAsia="en-GB"/>
        </w:rPr>
        <w:t xml:space="preserve"> (currency board) putem kojeg je valuta Bosne i Hercegovine vezana za EUR u fiksnom omjeru (1EUR=1,95583 KM)</w:t>
      </w:r>
      <w:r w:rsidR="00ED768D" w:rsidRPr="00BF51BB">
        <w:rPr>
          <w:rFonts w:ascii="Arial" w:eastAsiaTheme="minorEastAsia" w:hAnsi="Arial" w:cs="Arial"/>
          <w:szCs w:val="24"/>
          <w:lang w:eastAsia="en-GB"/>
        </w:rPr>
        <w:t xml:space="preserve">, glavni valutni rizik </w:t>
      </w:r>
      <w:r w:rsidR="00565613" w:rsidRPr="00BF51BB">
        <w:rPr>
          <w:rFonts w:ascii="Arial" w:eastAsiaTheme="minorEastAsia" w:hAnsi="Arial" w:cs="Arial"/>
          <w:szCs w:val="24"/>
          <w:lang w:eastAsia="en-GB"/>
        </w:rPr>
        <w:t>portfolija</w:t>
      </w:r>
      <w:r w:rsidR="00ED768D" w:rsidRPr="00BF51BB">
        <w:rPr>
          <w:rFonts w:ascii="Arial" w:eastAsiaTheme="minorEastAsia" w:hAnsi="Arial" w:cs="Arial"/>
          <w:szCs w:val="24"/>
          <w:lang w:eastAsia="en-GB"/>
        </w:rPr>
        <w:t xml:space="preserve"> duga </w:t>
      </w:r>
      <w:r w:rsidR="00565613" w:rsidRPr="00BF51BB">
        <w:rPr>
          <w:rFonts w:ascii="Arial" w:eastAsiaTheme="minorEastAsia" w:hAnsi="Arial" w:cs="Arial"/>
          <w:szCs w:val="24"/>
          <w:lang w:eastAsia="en-GB"/>
        </w:rPr>
        <w:t xml:space="preserve">Federacije BiH </w:t>
      </w:r>
      <w:r w:rsidR="00ED768D" w:rsidRPr="00BF51BB">
        <w:rPr>
          <w:rFonts w:ascii="Arial" w:eastAsiaTheme="minorEastAsia" w:hAnsi="Arial" w:cs="Arial"/>
          <w:szCs w:val="24"/>
          <w:lang w:eastAsia="en-GB"/>
        </w:rPr>
        <w:t xml:space="preserve">predstavlja </w:t>
      </w:r>
      <w:r w:rsidR="00565613" w:rsidRPr="00BF51BB">
        <w:rPr>
          <w:rFonts w:ascii="Arial" w:eastAsiaTheme="minorEastAsia" w:hAnsi="Arial" w:cs="Arial"/>
          <w:szCs w:val="24"/>
          <w:lang w:eastAsia="en-GB"/>
        </w:rPr>
        <w:t>promjena vrijednosti</w:t>
      </w:r>
      <w:r w:rsidR="00ED768D" w:rsidRPr="00BF51BB">
        <w:rPr>
          <w:rFonts w:ascii="Arial" w:eastAsiaTheme="minorEastAsia" w:hAnsi="Arial" w:cs="Arial"/>
          <w:szCs w:val="24"/>
          <w:lang w:eastAsia="en-GB"/>
        </w:rPr>
        <w:t xml:space="preserve"> EUR</w:t>
      </w:r>
      <w:r w:rsidR="00565613" w:rsidRPr="00BF51BB">
        <w:rPr>
          <w:rFonts w:ascii="Arial" w:eastAsiaTheme="minorEastAsia" w:hAnsi="Arial" w:cs="Arial"/>
          <w:szCs w:val="24"/>
          <w:lang w:eastAsia="en-GB"/>
        </w:rPr>
        <w:t>-a</w:t>
      </w:r>
      <w:r w:rsidR="00ED768D" w:rsidRPr="00BF51BB">
        <w:rPr>
          <w:rFonts w:ascii="Arial" w:eastAsiaTheme="minorEastAsia" w:hAnsi="Arial" w:cs="Arial"/>
          <w:szCs w:val="24"/>
          <w:lang w:eastAsia="en-GB"/>
        </w:rPr>
        <w:t xml:space="preserve"> u odnosu na ostale strane valute, uglavnom USD</w:t>
      </w:r>
      <w:r w:rsidR="00565613" w:rsidRPr="00BF51BB">
        <w:rPr>
          <w:rFonts w:ascii="Arial" w:eastAsiaTheme="minorEastAsia" w:hAnsi="Arial" w:cs="Arial"/>
          <w:szCs w:val="24"/>
          <w:lang w:eastAsia="en-GB"/>
        </w:rPr>
        <w:t xml:space="preserve"> i SDR</w:t>
      </w:r>
      <w:r w:rsidR="00ED768D" w:rsidRPr="00BF51BB">
        <w:rPr>
          <w:rFonts w:ascii="Arial" w:eastAsiaTheme="minorEastAsia" w:hAnsi="Arial" w:cs="Arial"/>
          <w:szCs w:val="24"/>
          <w:lang w:eastAsia="en-GB"/>
        </w:rPr>
        <w:t xml:space="preserve">. </w:t>
      </w:r>
    </w:p>
    <w:p w14:paraId="2F39BC30" w14:textId="77777777" w:rsidR="005826C0" w:rsidRPr="00BF51BB" w:rsidRDefault="005826C0" w:rsidP="00D1611F">
      <w:pPr>
        <w:spacing w:after="0"/>
        <w:ind w:firstLine="284"/>
        <w:jc w:val="both"/>
        <w:rPr>
          <w:rFonts w:ascii="Arial" w:eastAsiaTheme="minorEastAsia" w:hAnsi="Arial" w:cs="Arial"/>
          <w:szCs w:val="24"/>
          <w:lang w:eastAsia="en-GB"/>
        </w:rPr>
      </w:pPr>
    </w:p>
    <w:p w14:paraId="3708EEC9" w14:textId="53DDF079" w:rsidR="00D1611F" w:rsidRPr="00BF51BB" w:rsidRDefault="00D1611F" w:rsidP="00D1611F">
      <w:pPr>
        <w:spacing w:after="0"/>
        <w:ind w:firstLine="284"/>
        <w:jc w:val="both"/>
        <w:rPr>
          <w:rFonts w:ascii="Arial" w:eastAsiaTheme="minorEastAsia" w:hAnsi="Arial" w:cs="Arial"/>
          <w:szCs w:val="24"/>
          <w:lang w:eastAsia="en-GB"/>
        </w:rPr>
      </w:pPr>
      <w:r w:rsidRPr="00BF51BB">
        <w:rPr>
          <w:rFonts w:ascii="Arial" w:eastAsiaTheme="minorEastAsia" w:hAnsi="Arial" w:cs="Arial"/>
          <w:szCs w:val="24"/>
          <w:lang w:eastAsia="en-GB"/>
        </w:rPr>
        <w:t xml:space="preserve">Pretpostavka je da će odnos EUR/USD, odnosno KM/USD u periodu na koji se odnosi strategija ostati na istom nivou kao na kraju </w:t>
      </w:r>
      <w:r w:rsidR="005826C0" w:rsidRPr="00BF51BB">
        <w:rPr>
          <w:rFonts w:ascii="Arial" w:eastAsiaTheme="minorEastAsia" w:hAnsi="Arial" w:cs="Arial"/>
          <w:szCs w:val="24"/>
          <w:lang w:eastAsia="en-GB"/>
        </w:rPr>
        <w:t>2021</w:t>
      </w:r>
      <w:r w:rsidRPr="00BF51BB">
        <w:rPr>
          <w:rFonts w:ascii="Arial" w:eastAsiaTheme="minorEastAsia" w:hAnsi="Arial" w:cs="Arial"/>
          <w:szCs w:val="24"/>
          <w:lang w:eastAsia="en-GB"/>
        </w:rPr>
        <w:t>. godine odnosno da neće biti niti aprecijacije niti deprecijacije deviznog kursa.</w:t>
      </w:r>
    </w:p>
    <w:p w14:paraId="2837E472" w14:textId="77777777" w:rsidR="005826C0" w:rsidRPr="00BF51BB" w:rsidRDefault="005826C0" w:rsidP="00D1611F">
      <w:pPr>
        <w:spacing w:after="0"/>
        <w:ind w:firstLine="284"/>
        <w:jc w:val="both"/>
        <w:rPr>
          <w:rFonts w:ascii="Arial" w:hAnsi="Arial" w:cs="Arial"/>
          <w:szCs w:val="24"/>
        </w:rPr>
      </w:pPr>
    </w:p>
    <w:p w14:paraId="6AEA2B4E" w14:textId="77777777" w:rsidR="00AD3357" w:rsidRDefault="00AD3357">
      <w:pPr>
        <w:rPr>
          <w:rFonts w:ascii="Arial" w:hAnsi="Arial" w:cs="Arial"/>
          <w:szCs w:val="24"/>
        </w:rPr>
      </w:pPr>
      <w:r>
        <w:rPr>
          <w:rFonts w:ascii="Arial" w:hAnsi="Arial" w:cs="Arial"/>
          <w:szCs w:val="24"/>
        </w:rPr>
        <w:br w:type="page"/>
      </w:r>
    </w:p>
    <w:p w14:paraId="3AD9D984" w14:textId="60850A54" w:rsidR="00B540B2" w:rsidRPr="00BF51BB" w:rsidRDefault="008A7690" w:rsidP="00400A00">
      <w:pPr>
        <w:spacing w:after="0"/>
        <w:jc w:val="both"/>
        <w:rPr>
          <w:rFonts w:ascii="Arial" w:hAnsi="Arial" w:cs="Arial"/>
          <w:szCs w:val="24"/>
        </w:rPr>
      </w:pPr>
      <w:r w:rsidRPr="00BF51BB">
        <w:rPr>
          <w:rFonts w:ascii="Arial" w:hAnsi="Arial" w:cs="Arial"/>
          <w:szCs w:val="24"/>
        </w:rPr>
        <w:lastRenderedPageBreak/>
        <w:t>Slika  11</w:t>
      </w:r>
      <w:r w:rsidR="00B540B2" w:rsidRPr="00BF51BB">
        <w:rPr>
          <w:rFonts w:ascii="Arial" w:hAnsi="Arial" w:cs="Arial"/>
          <w:szCs w:val="24"/>
        </w:rPr>
        <w:t>. Kurs EUR/USD 20</w:t>
      </w:r>
      <w:r w:rsidR="00E3004D" w:rsidRPr="00BF51BB">
        <w:rPr>
          <w:rFonts w:ascii="Arial" w:hAnsi="Arial" w:cs="Arial"/>
          <w:szCs w:val="24"/>
        </w:rPr>
        <w:t>00</w:t>
      </w:r>
      <w:r w:rsidR="00713ED7" w:rsidRPr="00BF51BB">
        <w:rPr>
          <w:rFonts w:ascii="Arial" w:hAnsi="Arial" w:cs="Arial"/>
          <w:szCs w:val="24"/>
        </w:rPr>
        <w:t xml:space="preserve"> </w:t>
      </w:r>
      <w:r w:rsidR="00333946" w:rsidRPr="00BF51BB">
        <w:rPr>
          <w:rFonts w:ascii="Arial" w:hAnsi="Arial" w:cs="Arial"/>
          <w:szCs w:val="24"/>
        </w:rPr>
        <w:t xml:space="preserve">– </w:t>
      </w:r>
      <w:r w:rsidR="00B540B2" w:rsidRPr="00BF51BB">
        <w:rPr>
          <w:rFonts w:ascii="Arial" w:hAnsi="Arial" w:cs="Arial"/>
          <w:szCs w:val="24"/>
        </w:rPr>
        <w:t>20</w:t>
      </w:r>
      <w:r w:rsidR="005A67B8" w:rsidRPr="00BF51BB">
        <w:rPr>
          <w:rFonts w:ascii="Arial" w:hAnsi="Arial" w:cs="Arial"/>
          <w:szCs w:val="24"/>
        </w:rPr>
        <w:t>20</w:t>
      </w:r>
      <w:r w:rsidR="00B540B2" w:rsidRPr="00BF51BB">
        <w:rPr>
          <w:rFonts w:ascii="Arial" w:hAnsi="Arial" w:cs="Arial"/>
          <w:szCs w:val="24"/>
        </w:rPr>
        <w:t>. godine</w:t>
      </w:r>
    </w:p>
    <w:p w14:paraId="527A748B" w14:textId="045F38D6" w:rsidR="00E3004D" w:rsidRPr="00BF51BB" w:rsidRDefault="0031271E" w:rsidP="00400A00">
      <w:pPr>
        <w:spacing w:after="0"/>
        <w:jc w:val="both"/>
        <w:rPr>
          <w:rFonts w:ascii="Arial" w:hAnsi="Arial" w:cs="Arial"/>
          <w:sz w:val="24"/>
          <w:szCs w:val="24"/>
        </w:rPr>
      </w:pPr>
      <w:r>
        <w:rPr>
          <w:rFonts w:ascii="Arial" w:hAnsi="Arial" w:cs="Arial"/>
          <w:sz w:val="24"/>
          <w:szCs w:val="24"/>
        </w:rPr>
        <w:pict w14:anchorId="1645D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46.5pt">
            <v:imagedata r:id="rId22" o:title="euro-dollar-exchange-rate-historical-chart-2022-02-11-macrotrends (1)"/>
          </v:shape>
        </w:pict>
      </w:r>
    </w:p>
    <w:p w14:paraId="3ED5DF4C" w14:textId="0B15C897" w:rsidR="005F4522" w:rsidRPr="00BF51BB" w:rsidRDefault="00ED768D" w:rsidP="00AB5C50">
      <w:pPr>
        <w:spacing w:after="0" w:line="240" w:lineRule="auto"/>
        <w:rPr>
          <w:rFonts w:ascii="Arial" w:eastAsia="Times New Roman" w:hAnsi="Arial" w:cs="Arial"/>
          <w:sz w:val="18"/>
          <w:szCs w:val="24"/>
          <w:lang w:eastAsia="bs-Latn-BA"/>
        </w:rPr>
      </w:pPr>
      <w:r w:rsidRPr="00BF51BB">
        <w:rPr>
          <w:rFonts w:ascii="Arial" w:eastAsia="Times New Roman" w:hAnsi="Arial" w:cs="Arial"/>
          <w:sz w:val="18"/>
          <w:szCs w:val="24"/>
          <w:lang w:eastAsia="bs-Latn-BA"/>
        </w:rPr>
        <w:t xml:space="preserve">Izvor: </w:t>
      </w:r>
      <w:hyperlink r:id="rId23" w:history="1">
        <w:r w:rsidR="006C2A51" w:rsidRPr="00BF51BB">
          <w:rPr>
            <w:rStyle w:val="Hyperlink"/>
            <w:rFonts w:ascii="Arial" w:eastAsia="Times New Roman" w:hAnsi="Arial" w:cs="Arial"/>
            <w:sz w:val="18"/>
            <w:szCs w:val="24"/>
            <w:lang w:eastAsia="bs-Latn-BA"/>
          </w:rPr>
          <w:t>https://www.macrotrends.net/2548/euro-dollar-exchange-rate-historical-chart</w:t>
        </w:r>
      </w:hyperlink>
      <w:r w:rsidR="006C2A51" w:rsidRPr="00BF51BB" w:rsidDel="006C2A51">
        <w:t xml:space="preserve"> </w:t>
      </w:r>
    </w:p>
    <w:p w14:paraId="6E5EE240" w14:textId="6E3AC412" w:rsidR="005826C0" w:rsidRPr="00BF51BB" w:rsidRDefault="005826C0" w:rsidP="00BF51BB">
      <w:pPr>
        <w:spacing w:after="0" w:line="240" w:lineRule="auto"/>
        <w:rPr>
          <w:rFonts w:ascii="Arial" w:hAnsi="Arial" w:cs="Arial"/>
        </w:rPr>
      </w:pPr>
    </w:p>
    <w:p w14:paraId="491AA3F7" w14:textId="77777777" w:rsidR="005826C0" w:rsidRPr="00BF51BB" w:rsidRDefault="005826C0" w:rsidP="00BF51BB">
      <w:pPr>
        <w:spacing w:after="0" w:line="240" w:lineRule="auto"/>
        <w:rPr>
          <w:rFonts w:ascii="Arial" w:hAnsi="Arial" w:cs="Arial"/>
        </w:rPr>
      </w:pPr>
    </w:p>
    <w:p w14:paraId="3C21BA5C" w14:textId="77777777" w:rsidR="00ED768D" w:rsidRPr="00BF51BB" w:rsidRDefault="00ED768D" w:rsidP="00BF51BB">
      <w:pPr>
        <w:spacing w:after="0" w:line="240" w:lineRule="auto"/>
        <w:rPr>
          <w:rFonts w:ascii="Arial" w:hAnsi="Arial" w:cs="Arial"/>
        </w:rPr>
      </w:pPr>
      <w:r w:rsidRPr="00BF51BB">
        <w:rPr>
          <w:rFonts w:ascii="Arial" w:hAnsi="Arial" w:cs="Arial"/>
        </w:rPr>
        <w:t>7.1.</w:t>
      </w:r>
      <w:r w:rsidRPr="00BF51BB">
        <w:rPr>
          <w:rFonts w:ascii="Arial" w:hAnsi="Arial" w:cs="Arial"/>
        </w:rPr>
        <w:tab/>
        <w:t>Scenari</w:t>
      </w:r>
      <w:r w:rsidR="00B96B4D" w:rsidRPr="00BF51BB">
        <w:rPr>
          <w:rFonts w:ascii="Arial" w:hAnsi="Arial" w:cs="Arial"/>
        </w:rPr>
        <w:t>j</w:t>
      </w:r>
      <w:r w:rsidRPr="00BF51BB">
        <w:rPr>
          <w:rFonts w:ascii="Arial" w:hAnsi="Arial" w:cs="Arial"/>
        </w:rPr>
        <w:t xml:space="preserve"> nepredviđenih događaja (Šok scenari</w:t>
      </w:r>
      <w:r w:rsidR="00B96B4D" w:rsidRPr="00BF51BB">
        <w:rPr>
          <w:rFonts w:ascii="Arial" w:hAnsi="Arial" w:cs="Arial"/>
        </w:rPr>
        <w:t>j</w:t>
      </w:r>
      <w:r w:rsidRPr="00BF51BB">
        <w:rPr>
          <w:rFonts w:ascii="Arial" w:hAnsi="Arial" w:cs="Arial"/>
        </w:rPr>
        <w:t>)</w:t>
      </w:r>
    </w:p>
    <w:p w14:paraId="74F72BBE" w14:textId="77777777" w:rsidR="00DB02AE" w:rsidRPr="00BF51BB" w:rsidRDefault="00DB02AE" w:rsidP="00ED768D">
      <w:pPr>
        <w:pStyle w:val="ParagraphNumbering"/>
        <w:numPr>
          <w:ilvl w:val="0"/>
          <w:numId w:val="0"/>
        </w:numPr>
        <w:autoSpaceDE w:val="0"/>
        <w:spacing w:after="0" w:line="240" w:lineRule="auto"/>
        <w:jc w:val="both"/>
        <w:rPr>
          <w:rFonts w:ascii="Arial" w:hAnsi="Arial" w:cs="Arial"/>
          <w:b/>
          <w:sz w:val="32"/>
        </w:rPr>
      </w:pPr>
    </w:p>
    <w:p w14:paraId="49560D70" w14:textId="77777777" w:rsidR="007E317F" w:rsidRPr="00BF51BB" w:rsidRDefault="007E317F" w:rsidP="00ED768D">
      <w:pPr>
        <w:pStyle w:val="ParagraphNumbering"/>
        <w:numPr>
          <w:ilvl w:val="0"/>
          <w:numId w:val="0"/>
        </w:numPr>
        <w:autoSpaceDE w:val="0"/>
        <w:spacing w:after="0" w:line="240" w:lineRule="auto"/>
        <w:jc w:val="both"/>
        <w:rPr>
          <w:rFonts w:ascii="Arial" w:hAnsi="Arial" w:cs="Arial"/>
          <w:b/>
          <w:sz w:val="10"/>
        </w:rPr>
      </w:pPr>
    </w:p>
    <w:p w14:paraId="054E4D72" w14:textId="77777777" w:rsidR="00574C38" w:rsidRPr="00BF51BB" w:rsidRDefault="00E94369" w:rsidP="00DB02AE">
      <w:pPr>
        <w:spacing w:after="0"/>
        <w:ind w:firstLine="284"/>
        <w:jc w:val="both"/>
        <w:rPr>
          <w:rFonts w:ascii="Arial" w:eastAsiaTheme="minorEastAsia" w:hAnsi="Arial" w:cs="Arial"/>
          <w:szCs w:val="24"/>
          <w:lang w:eastAsia="en-GB"/>
        </w:rPr>
      </w:pPr>
      <w:r w:rsidRPr="00BF51BB">
        <w:rPr>
          <w:rFonts w:ascii="Arial" w:eastAsiaTheme="minorEastAsia" w:hAnsi="Arial" w:cs="Arial"/>
          <w:szCs w:val="24"/>
          <w:lang w:eastAsia="en-GB"/>
        </w:rPr>
        <w:t xml:space="preserve">Korištenjem podataka iz portfolija duga Federacije BiH, makroekonomskih pretpostavki za posmatrani period kao i potencijalnih izvora finansiranja, napravljeno je nekoliko scenarija i strategija zaduživanja. </w:t>
      </w:r>
    </w:p>
    <w:p w14:paraId="27FDB408" w14:textId="77777777" w:rsidR="00574C38" w:rsidRPr="00BF51BB" w:rsidRDefault="00574C38" w:rsidP="00DB02AE">
      <w:pPr>
        <w:spacing w:after="0"/>
        <w:ind w:firstLine="284"/>
        <w:jc w:val="both"/>
        <w:rPr>
          <w:rFonts w:ascii="Arial" w:eastAsiaTheme="minorEastAsia" w:hAnsi="Arial" w:cs="Arial"/>
          <w:szCs w:val="24"/>
          <w:lang w:eastAsia="en-GB"/>
        </w:rPr>
      </w:pPr>
    </w:p>
    <w:p w14:paraId="4AF0516D" w14:textId="77777777" w:rsidR="00ED768D" w:rsidRPr="00BF51BB" w:rsidRDefault="00A77865" w:rsidP="00DB02AE">
      <w:pPr>
        <w:spacing w:after="0"/>
        <w:ind w:firstLine="284"/>
        <w:jc w:val="both"/>
        <w:rPr>
          <w:rFonts w:ascii="Arial" w:hAnsi="Arial" w:cs="Arial"/>
          <w:szCs w:val="24"/>
        </w:rPr>
      </w:pPr>
      <w:r w:rsidRPr="00BF51BB">
        <w:rPr>
          <w:rFonts w:ascii="Arial" w:hAnsi="Arial" w:cs="Arial"/>
          <w:szCs w:val="24"/>
        </w:rPr>
        <w:t xml:space="preserve">Svaka od analiziranih strategija testirana je </w:t>
      </w:r>
      <w:r w:rsidR="00877216" w:rsidRPr="00BF51BB">
        <w:rPr>
          <w:rFonts w:ascii="Arial" w:hAnsi="Arial" w:cs="Arial"/>
          <w:szCs w:val="24"/>
        </w:rPr>
        <w:t>i na iznenadne promjene u pogledu kamatnih stopa i deviznih kurseva kako bi se proc</w:t>
      </w:r>
      <w:r w:rsidR="00D945EA" w:rsidRPr="00BF51BB">
        <w:rPr>
          <w:rFonts w:ascii="Arial" w:hAnsi="Arial" w:cs="Arial"/>
          <w:szCs w:val="24"/>
        </w:rPr>
        <w:t>i</w:t>
      </w:r>
      <w:r w:rsidR="00877216" w:rsidRPr="00BF51BB">
        <w:rPr>
          <w:rFonts w:ascii="Arial" w:hAnsi="Arial" w:cs="Arial"/>
          <w:szCs w:val="24"/>
        </w:rPr>
        <w:t>jenili troškovi i rizici na navedene promjene</w:t>
      </w:r>
      <w:r w:rsidR="00ED768D" w:rsidRPr="00BF51BB">
        <w:rPr>
          <w:rFonts w:ascii="Arial" w:hAnsi="Arial" w:cs="Arial"/>
          <w:szCs w:val="24"/>
        </w:rPr>
        <w:t xml:space="preserve">. </w:t>
      </w:r>
    </w:p>
    <w:p w14:paraId="0070971F" w14:textId="77777777" w:rsidR="00DB02AE" w:rsidRPr="00BF51BB" w:rsidRDefault="00DB02AE" w:rsidP="00DB02AE">
      <w:pPr>
        <w:spacing w:after="0"/>
        <w:jc w:val="both"/>
        <w:rPr>
          <w:rFonts w:ascii="Arial" w:hAnsi="Arial" w:cs="Arial"/>
          <w:szCs w:val="24"/>
        </w:rPr>
      </w:pPr>
    </w:p>
    <w:p w14:paraId="7A622F8A" w14:textId="77777777" w:rsidR="00ED768D" w:rsidRPr="00BF51BB" w:rsidRDefault="00877216" w:rsidP="00DB02AE">
      <w:pPr>
        <w:spacing w:after="0"/>
        <w:jc w:val="both"/>
        <w:rPr>
          <w:rFonts w:ascii="Arial" w:hAnsi="Arial" w:cs="Arial"/>
          <w:szCs w:val="24"/>
        </w:rPr>
      </w:pPr>
      <w:r w:rsidRPr="00BF51BB">
        <w:rPr>
          <w:rFonts w:ascii="Arial" w:hAnsi="Arial" w:cs="Arial"/>
          <w:szCs w:val="24"/>
        </w:rPr>
        <w:t>Šok valutnog</w:t>
      </w:r>
      <w:r w:rsidR="007E269C" w:rsidRPr="00BF51BB">
        <w:rPr>
          <w:rFonts w:ascii="Arial" w:hAnsi="Arial" w:cs="Arial"/>
          <w:szCs w:val="24"/>
        </w:rPr>
        <w:t xml:space="preserve"> (deviznog)</w:t>
      </w:r>
      <w:r w:rsidR="00ED768D" w:rsidRPr="00BF51BB">
        <w:rPr>
          <w:rFonts w:ascii="Arial" w:hAnsi="Arial" w:cs="Arial"/>
          <w:szCs w:val="24"/>
        </w:rPr>
        <w:t xml:space="preserve"> kurs</w:t>
      </w:r>
      <w:r w:rsidRPr="00BF51BB">
        <w:rPr>
          <w:rFonts w:ascii="Arial" w:hAnsi="Arial" w:cs="Arial"/>
          <w:szCs w:val="24"/>
        </w:rPr>
        <w:t>a</w:t>
      </w:r>
      <w:r w:rsidR="00ED768D" w:rsidRPr="00BF51BB">
        <w:rPr>
          <w:rFonts w:ascii="Arial" w:hAnsi="Arial" w:cs="Arial"/>
          <w:szCs w:val="24"/>
        </w:rPr>
        <w:t xml:space="preserve">: </w:t>
      </w:r>
    </w:p>
    <w:p w14:paraId="06F95DE7" w14:textId="77777777" w:rsidR="00073673" w:rsidRPr="00BF51BB" w:rsidRDefault="00073673" w:rsidP="00DB02AE">
      <w:pPr>
        <w:spacing w:after="0"/>
        <w:jc w:val="both"/>
        <w:rPr>
          <w:rFonts w:ascii="Arial" w:hAnsi="Arial" w:cs="Arial"/>
          <w:szCs w:val="24"/>
        </w:rPr>
      </w:pPr>
    </w:p>
    <w:p w14:paraId="23C6B294" w14:textId="00213986" w:rsidR="00ED768D" w:rsidRPr="00BF51BB" w:rsidRDefault="00ED768D" w:rsidP="00DB02AE">
      <w:pPr>
        <w:pStyle w:val="ListParagraph"/>
        <w:numPr>
          <w:ilvl w:val="0"/>
          <w:numId w:val="6"/>
        </w:numPr>
        <w:spacing w:after="0"/>
        <w:ind w:left="567"/>
        <w:jc w:val="both"/>
        <w:rPr>
          <w:rFonts w:ascii="Arial" w:hAnsi="Arial" w:cs="Arial"/>
          <w:szCs w:val="24"/>
        </w:rPr>
      </w:pPr>
      <w:r w:rsidRPr="00BF51BB">
        <w:rPr>
          <w:rFonts w:ascii="Arial" w:hAnsi="Arial" w:cs="Arial"/>
          <w:szCs w:val="24"/>
        </w:rPr>
        <w:t>manji šok</w:t>
      </w:r>
      <w:r w:rsidR="004358F5" w:rsidRPr="00BF51BB">
        <w:rPr>
          <w:rFonts w:ascii="Arial" w:hAnsi="Arial" w:cs="Arial"/>
          <w:szCs w:val="24"/>
        </w:rPr>
        <w:t>:</w:t>
      </w:r>
      <w:r w:rsidRPr="00BF51BB">
        <w:rPr>
          <w:rFonts w:ascii="Arial" w:hAnsi="Arial" w:cs="Arial"/>
          <w:szCs w:val="24"/>
        </w:rPr>
        <w:t xml:space="preserve"> </w:t>
      </w:r>
      <w:r w:rsidR="004358F5" w:rsidRPr="00BF51BB">
        <w:rPr>
          <w:rFonts w:ascii="Arial" w:hAnsi="Arial" w:cs="Arial"/>
          <w:szCs w:val="24"/>
        </w:rPr>
        <w:t>deprecijacija</w:t>
      </w:r>
      <w:r w:rsidRPr="00BF51BB">
        <w:rPr>
          <w:rFonts w:ascii="Arial" w:hAnsi="Arial" w:cs="Arial"/>
          <w:szCs w:val="24"/>
        </w:rPr>
        <w:t xml:space="preserve"> vrijednosti </w:t>
      </w:r>
      <w:r w:rsidR="00E672EB" w:rsidRPr="00BF51BB">
        <w:rPr>
          <w:rFonts w:ascii="Arial" w:hAnsi="Arial" w:cs="Arial"/>
          <w:szCs w:val="24"/>
        </w:rPr>
        <w:t>KM</w:t>
      </w:r>
      <w:r w:rsidRPr="00BF51BB">
        <w:rPr>
          <w:rFonts w:ascii="Arial" w:hAnsi="Arial" w:cs="Arial"/>
          <w:szCs w:val="24"/>
        </w:rPr>
        <w:t xml:space="preserve"> od 20% u odnosu na USD u </w:t>
      </w:r>
      <w:r w:rsidR="00215CCD" w:rsidRPr="00BF51BB">
        <w:rPr>
          <w:rFonts w:ascii="Arial" w:hAnsi="Arial" w:cs="Arial"/>
          <w:szCs w:val="24"/>
        </w:rPr>
        <w:t>drugoj</w:t>
      </w:r>
      <w:r w:rsidRPr="00BF51BB">
        <w:rPr>
          <w:rFonts w:ascii="Arial" w:hAnsi="Arial" w:cs="Arial"/>
          <w:szCs w:val="24"/>
        </w:rPr>
        <w:t xml:space="preserve"> godini,  </w:t>
      </w:r>
    </w:p>
    <w:p w14:paraId="18BD96EF" w14:textId="36219091" w:rsidR="00ED768D" w:rsidRPr="00BF51BB" w:rsidRDefault="00ED768D" w:rsidP="00DB02AE">
      <w:pPr>
        <w:pStyle w:val="ListParagraph"/>
        <w:numPr>
          <w:ilvl w:val="0"/>
          <w:numId w:val="6"/>
        </w:numPr>
        <w:spacing w:after="0"/>
        <w:ind w:left="567"/>
        <w:jc w:val="both"/>
        <w:rPr>
          <w:rFonts w:ascii="Arial" w:hAnsi="Arial" w:cs="Arial"/>
          <w:szCs w:val="24"/>
        </w:rPr>
      </w:pPr>
      <w:r w:rsidRPr="00BF51BB">
        <w:rPr>
          <w:rFonts w:ascii="Arial" w:hAnsi="Arial" w:cs="Arial"/>
          <w:szCs w:val="24"/>
        </w:rPr>
        <w:t>veliki šok</w:t>
      </w:r>
      <w:r w:rsidR="004358F5" w:rsidRPr="00BF51BB">
        <w:rPr>
          <w:rFonts w:ascii="Arial" w:hAnsi="Arial" w:cs="Arial"/>
          <w:szCs w:val="24"/>
        </w:rPr>
        <w:t>:</w:t>
      </w:r>
      <w:r w:rsidRPr="00BF51BB">
        <w:rPr>
          <w:rFonts w:ascii="Arial" w:hAnsi="Arial" w:cs="Arial"/>
          <w:szCs w:val="24"/>
        </w:rPr>
        <w:t xml:space="preserve"> </w:t>
      </w:r>
      <w:r w:rsidR="004358F5" w:rsidRPr="00BF51BB">
        <w:rPr>
          <w:rFonts w:ascii="Arial" w:hAnsi="Arial" w:cs="Arial"/>
          <w:szCs w:val="24"/>
        </w:rPr>
        <w:t xml:space="preserve">deprecijacija vrijednosti </w:t>
      </w:r>
      <w:r w:rsidR="00E672EB" w:rsidRPr="00BF51BB">
        <w:rPr>
          <w:rFonts w:ascii="Arial" w:hAnsi="Arial" w:cs="Arial"/>
          <w:szCs w:val="24"/>
        </w:rPr>
        <w:t>KM</w:t>
      </w:r>
      <w:r w:rsidRPr="00BF51BB">
        <w:rPr>
          <w:rFonts w:ascii="Arial" w:hAnsi="Arial" w:cs="Arial"/>
          <w:szCs w:val="24"/>
        </w:rPr>
        <w:t xml:space="preserve"> od 30% u odnosu na USD u </w:t>
      </w:r>
      <w:r w:rsidR="00215CCD" w:rsidRPr="00BF51BB">
        <w:rPr>
          <w:rFonts w:ascii="Arial" w:hAnsi="Arial" w:cs="Arial"/>
          <w:szCs w:val="24"/>
        </w:rPr>
        <w:t>drugoj</w:t>
      </w:r>
      <w:r w:rsidRPr="00BF51BB">
        <w:rPr>
          <w:rFonts w:ascii="Arial" w:hAnsi="Arial" w:cs="Arial"/>
          <w:szCs w:val="24"/>
        </w:rPr>
        <w:t xml:space="preserve"> godini. </w:t>
      </w:r>
    </w:p>
    <w:p w14:paraId="3C540705" w14:textId="77777777" w:rsidR="00DB02AE" w:rsidRPr="00BF51BB" w:rsidRDefault="00DB02AE" w:rsidP="00DB02AE">
      <w:pPr>
        <w:spacing w:after="0"/>
        <w:jc w:val="both"/>
        <w:rPr>
          <w:rFonts w:ascii="Arial" w:hAnsi="Arial" w:cs="Arial"/>
          <w:szCs w:val="24"/>
        </w:rPr>
      </w:pPr>
    </w:p>
    <w:p w14:paraId="7E9E2D7E" w14:textId="77777777" w:rsidR="00ED768D" w:rsidRPr="00BF51BB" w:rsidRDefault="00877216" w:rsidP="00DB02AE">
      <w:pPr>
        <w:spacing w:after="0"/>
        <w:jc w:val="both"/>
        <w:rPr>
          <w:rFonts w:ascii="Arial" w:hAnsi="Arial" w:cs="Arial"/>
          <w:szCs w:val="24"/>
        </w:rPr>
      </w:pPr>
      <w:r w:rsidRPr="00BF51BB">
        <w:rPr>
          <w:rFonts w:ascii="Arial" w:hAnsi="Arial" w:cs="Arial"/>
          <w:szCs w:val="24"/>
        </w:rPr>
        <w:t>Šok</w:t>
      </w:r>
      <w:r w:rsidR="00D945EA" w:rsidRPr="00BF51BB">
        <w:rPr>
          <w:rFonts w:ascii="Arial" w:hAnsi="Arial" w:cs="Arial"/>
          <w:szCs w:val="24"/>
        </w:rPr>
        <w:t xml:space="preserve"> kama</w:t>
      </w:r>
      <w:r w:rsidR="00ED768D" w:rsidRPr="00BF51BB">
        <w:rPr>
          <w:rFonts w:ascii="Arial" w:hAnsi="Arial" w:cs="Arial"/>
          <w:szCs w:val="24"/>
        </w:rPr>
        <w:t xml:space="preserve">tnih stopa: </w:t>
      </w:r>
    </w:p>
    <w:p w14:paraId="27941227" w14:textId="77777777" w:rsidR="00073673" w:rsidRPr="00BF51BB" w:rsidRDefault="00073673" w:rsidP="00DB02AE">
      <w:pPr>
        <w:spacing w:after="0"/>
        <w:jc w:val="both"/>
        <w:rPr>
          <w:rFonts w:ascii="Arial" w:hAnsi="Arial" w:cs="Arial"/>
          <w:szCs w:val="24"/>
        </w:rPr>
      </w:pPr>
    </w:p>
    <w:p w14:paraId="15444372" w14:textId="21DAF5D3" w:rsidR="00ED768D" w:rsidRPr="00BF51BB" w:rsidRDefault="00ED768D" w:rsidP="00DB02AE">
      <w:pPr>
        <w:pStyle w:val="ListParagraph"/>
        <w:numPr>
          <w:ilvl w:val="0"/>
          <w:numId w:val="7"/>
        </w:numPr>
        <w:spacing w:after="0"/>
        <w:jc w:val="both"/>
        <w:rPr>
          <w:rFonts w:ascii="Arial" w:hAnsi="Arial" w:cs="Arial"/>
          <w:szCs w:val="24"/>
        </w:rPr>
      </w:pPr>
      <w:r w:rsidRPr="00BF51BB">
        <w:rPr>
          <w:rFonts w:ascii="Arial" w:hAnsi="Arial" w:cs="Arial"/>
          <w:szCs w:val="24"/>
        </w:rPr>
        <w:t>manji šok</w:t>
      </w:r>
      <w:r w:rsidR="004358F5" w:rsidRPr="00BF51BB">
        <w:rPr>
          <w:rFonts w:ascii="Arial" w:hAnsi="Arial" w:cs="Arial"/>
          <w:szCs w:val="24"/>
        </w:rPr>
        <w:t>:</w:t>
      </w:r>
      <w:r w:rsidRPr="00BF51BB">
        <w:rPr>
          <w:rFonts w:ascii="Arial" w:hAnsi="Arial" w:cs="Arial"/>
          <w:szCs w:val="24"/>
        </w:rPr>
        <w:t xml:space="preserve"> povećanje </w:t>
      </w:r>
      <w:r w:rsidR="00AF7CAC" w:rsidRPr="00BF51BB">
        <w:rPr>
          <w:rFonts w:ascii="Arial" w:hAnsi="Arial" w:cs="Arial"/>
          <w:szCs w:val="24"/>
        </w:rPr>
        <w:t>procijenjenih</w:t>
      </w:r>
      <w:r w:rsidR="00741EF1" w:rsidRPr="00BF51BB">
        <w:rPr>
          <w:rFonts w:ascii="Arial" w:hAnsi="Arial" w:cs="Arial"/>
          <w:szCs w:val="24"/>
        </w:rPr>
        <w:t xml:space="preserve"> </w:t>
      </w:r>
      <w:r w:rsidRPr="00BF51BB">
        <w:rPr>
          <w:rFonts w:ascii="Arial" w:hAnsi="Arial" w:cs="Arial"/>
          <w:szCs w:val="24"/>
        </w:rPr>
        <w:t xml:space="preserve">kamatnih stopa na dugoročne </w:t>
      </w:r>
      <w:r w:rsidR="00A03EC3" w:rsidRPr="00BF51BB">
        <w:rPr>
          <w:rFonts w:ascii="Arial" w:hAnsi="Arial" w:cs="Arial"/>
          <w:szCs w:val="24"/>
        </w:rPr>
        <w:t>vanjske</w:t>
      </w:r>
      <w:r w:rsidRPr="00BF51BB">
        <w:rPr>
          <w:rFonts w:ascii="Arial" w:hAnsi="Arial" w:cs="Arial"/>
          <w:szCs w:val="24"/>
        </w:rPr>
        <w:t xml:space="preserve"> i domaće instrumente </w:t>
      </w:r>
      <w:r w:rsidR="00D1611F" w:rsidRPr="00BF51BB">
        <w:rPr>
          <w:rFonts w:ascii="Arial" w:hAnsi="Arial" w:cs="Arial"/>
          <w:szCs w:val="24"/>
        </w:rPr>
        <w:t xml:space="preserve">u visini od 2% </w:t>
      </w:r>
      <w:r w:rsidRPr="00BF51BB">
        <w:rPr>
          <w:rFonts w:ascii="Arial" w:hAnsi="Arial" w:cs="Arial"/>
          <w:szCs w:val="24"/>
        </w:rPr>
        <w:t xml:space="preserve">i 1% na </w:t>
      </w:r>
      <w:r w:rsidR="004358F5" w:rsidRPr="00BF51BB">
        <w:rPr>
          <w:rFonts w:ascii="Arial" w:hAnsi="Arial" w:cs="Arial"/>
          <w:szCs w:val="24"/>
        </w:rPr>
        <w:t>kratkoročne</w:t>
      </w:r>
      <w:r w:rsidRPr="00BF51BB">
        <w:rPr>
          <w:rFonts w:ascii="Arial" w:hAnsi="Arial" w:cs="Arial"/>
          <w:szCs w:val="24"/>
        </w:rPr>
        <w:t xml:space="preserve"> domaće </w:t>
      </w:r>
      <w:r w:rsidR="004358F5" w:rsidRPr="00BF51BB">
        <w:rPr>
          <w:rFonts w:ascii="Arial" w:hAnsi="Arial" w:cs="Arial"/>
          <w:szCs w:val="24"/>
        </w:rPr>
        <w:t xml:space="preserve">instrumente </w:t>
      </w:r>
      <w:r w:rsidRPr="00BF51BB">
        <w:rPr>
          <w:rFonts w:ascii="Arial" w:hAnsi="Arial" w:cs="Arial"/>
          <w:szCs w:val="24"/>
        </w:rPr>
        <w:t xml:space="preserve">u </w:t>
      </w:r>
      <w:r w:rsidR="00215CCD" w:rsidRPr="00BF51BB">
        <w:rPr>
          <w:rFonts w:ascii="Arial" w:hAnsi="Arial" w:cs="Arial"/>
          <w:szCs w:val="24"/>
        </w:rPr>
        <w:t xml:space="preserve">drugoj </w:t>
      </w:r>
      <w:r w:rsidRPr="00BF51BB">
        <w:rPr>
          <w:rFonts w:ascii="Arial" w:hAnsi="Arial" w:cs="Arial"/>
          <w:szCs w:val="24"/>
        </w:rPr>
        <w:t>godini.</w:t>
      </w:r>
      <w:r w:rsidR="00E82077" w:rsidRPr="00BF51BB">
        <w:rPr>
          <w:rFonts w:ascii="Arial" w:hAnsi="Arial" w:cs="Arial"/>
          <w:szCs w:val="24"/>
        </w:rPr>
        <w:t xml:space="preserve"> Instrumenti u koje su uključeni stara devizna štednja i ratna potraživanja ostaju nepromijenjeni;</w:t>
      </w:r>
    </w:p>
    <w:p w14:paraId="04E86C46" w14:textId="77777777" w:rsidR="00073673" w:rsidRPr="00BF51BB" w:rsidRDefault="00073673" w:rsidP="00BF51BB">
      <w:pPr>
        <w:pStyle w:val="ListParagraph"/>
        <w:jc w:val="both"/>
        <w:rPr>
          <w:rFonts w:ascii="Arial" w:hAnsi="Arial" w:cs="Arial"/>
          <w:sz w:val="24"/>
          <w:szCs w:val="24"/>
        </w:rPr>
      </w:pPr>
    </w:p>
    <w:p w14:paraId="76DC2BE0" w14:textId="681551C7" w:rsidR="00ED768D" w:rsidRPr="00BF51BB" w:rsidRDefault="00ED768D" w:rsidP="00DB02AE">
      <w:pPr>
        <w:pStyle w:val="ListParagraph"/>
        <w:numPr>
          <w:ilvl w:val="0"/>
          <w:numId w:val="7"/>
        </w:numPr>
        <w:jc w:val="both"/>
        <w:rPr>
          <w:rFonts w:ascii="Arial" w:hAnsi="Arial" w:cs="Arial"/>
          <w:sz w:val="24"/>
          <w:szCs w:val="24"/>
        </w:rPr>
      </w:pPr>
      <w:r w:rsidRPr="00BF51BB">
        <w:rPr>
          <w:rFonts w:ascii="Arial" w:hAnsi="Arial" w:cs="Arial"/>
          <w:szCs w:val="24"/>
        </w:rPr>
        <w:t>veći šok</w:t>
      </w:r>
      <w:r w:rsidR="004358F5" w:rsidRPr="00BF51BB">
        <w:rPr>
          <w:rFonts w:ascii="Arial" w:hAnsi="Arial" w:cs="Arial"/>
          <w:szCs w:val="24"/>
        </w:rPr>
        <w:t>:</w:t>
      </w:r>
      <w:r w:rsidRPr="00BF51BB">
        <w:rPr>
          <w:rFonts w:ascii="Arial" w:hAnsi="Arial" w:cs="Arial"/>
          <w:szCs w:val="24"/>
        </w:rPr>
        <w:t xml:space="preserve"> povećanje </w:t>
      </w:r>
      <w:r w:rsidR="00AF7CAC" w:rsidRPr="00BF51BB">
        <w:rPr>
          <w:rFonts w:ascii="Arial" w:hAnsi="Arial" w:cs="Arial"/>
          <w:szCs w:val="24"/>
        </w:rPr>
        <w:t>procijenjenih</w:t>
      </w:r>
      <w:r w:rsidR="00741EF1" w:rsidRPr="00BF51BB">
        <w:rPr>
          <w:rFonts w:ascii="Arial" w:hAnsi="Arial" w:cs="Arial"/>
          <w:szCs w:val="24"/>
        </w:rPr>
        <w:t xml:space="preserve"> </w:t>
      </w:r>
      <w:r w:rsidRPr="00BF51BB">
        <w:rPr>
          <w:rFonts w:ascii="Arial" w:hAnsi="Arial" w:cs="Arial"/>
          <w:szCs w:val="24"/>
        </w:rPr>
        <w:t xml:space="preserve">kamatnih stopa </w:t>
      </w:r>
      <w:r w:rsidR="00741EF1" w:rsidRPr="00BF51BB">
        <w:rPr>
          <w:rFonts w:ascii="Arial" w:hAnsi="Arial" w:cs="Arial"/>
          <w:szCs w:val="24"/>
        </w:rPr>
        <w:t xml:space="preserve">u visini </w:t>
      </w:r>
      <w:r w:rsidRPr="00BF51BB">
        <w:rPr>
          <w:rFonts w:ascii="Arial" w:hAnsi="Arial" w:cs="Arial"/>
          <w:szCs w:val="24"/>
        </w:rPr>
        <w:t xml:space="preserve">od 4% na dugoročne </w:t>
      </w:r>
      <w:r w:rsidR="00A03EC3" w:rsidRPr="00BF51BB">
        <w:rPr>
          <w:rFonts w:ascii="Arial" w:hAnsi="Arial" w:cs="Arial"/>
          <w:szCs w:val="24"/>
        </w:rPr>
        <w:t xml:space="preserve">vanjske i </w:t>
      </w:r>
      <w:r w:rsidRPr="00BF51BB">
        <w:rPr>
          <w:rFonts w:ascii="Arial" w:hAnsi="Arial" w:cs="Arial"/>
          <w:szCs w:val="24"/>
        </w:rPr>
        <w:t xml:space="preserve">domaće instrumente i 2% na </w:t>
      </w:r>
      <w:r w:rsidR="00A03EC3" w:rsidRPr="00BF51BB">
        <w:rPr>
          <w:rFonts w:ascii="Arial" w:hAnsi="Arial" w:cs="Arial"/>
          <w:szCs w:val="24"/>
        </w:rPr>
        <w:t>kratkoročne</w:t>
      </w:r>
      <w:r w:rsidRPr="00BF51BB">
        <w:rPr>
          <w:rFonts w:ascii="Arial" w:hAnsi="Arial" w:cs="Arial"/>
          <w:szCs w:val="24"/>
        </w:rPr>
        <w:t xml:space="preserve"> domaće instrumente u </w:t>
      </w:r>
      <w:r w:rsidR="00215CCD" w:rsidRPr="00BF51BB">
        <w:rPr>
          <w:rFonts w:ascii="Arial" w:hAnsi="Arial" w:cs="Arial"/>
          <w:szCs w:val="24"/>
        </w:rPr>
        <w:t>drugoj</w:t>
      </w:r>
      <w:r w:rsidRPr="00BF51BB">
        <w:rPr>
          <w:rFonts w:ascii="Arial" w:hAnsi="Arial" w:cs="Arial"/>
          <w:szCs w:val="24"/>
        </w:rPr>
        <w:t xml:space="preserve"> godini. </w:t>
      </w:r>
      <w:r w:rsidR="00E82077" w:rsidRPr="00BF51BB">
        <w:rPr>
          <w:rFonts w:ascii="Arial" w:hAnsi="Arial" w:cs="Arial"/>
          <w:szCs w:val="24"/>
        </w:rPr>
        <w:t>Instrumenti u koje su uključeni stara devizna štednja i ratna potraživanja ostaju nepromijenjeni;</w:t>
      </w:r>
    </w:p>
    <w:p w14:paraId="778C2ACE" w14:textId="77777777" w:rsidR="00ED768D" w:rsidRPr="00BF51BB" w:rsidRDefault="00877216" w:rsidP="00DB02AE">
      <w:pPr>
        <w:jc w:val="both"/>
        <w:rPr>
          <w:rFonts w:ascii="Arial" w:hAnsi="Arial" w:cs="Arial"/>
          <w:szCs w:val="24"/>
        </w:rPr>
      </w:pPr>
      <w:r w:rsidRPr="00BF51BB">
        <w:rPr>
          <w:rFonts w:ascii="Arial" w:hAnsi="Arial" w:cs="Arial"/>
          <w:szCs w:val="24"/>
        </w:rPr>
        <w:t>Scenariji šokova</w:t>
      </w:r>
      <w:r w:rsidR="00ED768D" w:rsidRPr="00BF51BB">
        <w:rPr>
          <w:rFonts w:ascii="Arial" w:hAnsi="Arial" w:cs="Arial"/>
          <w:szCs w:val="24"/>
        </w:rPr>
        <w:t>:</w:t>
      </w:r>
    </w:p>
    <w:p w14:paraId="5753198B" w14:textId="23B32234" w:rsidR="006F50DF" w:rsidRPr="00BF51BB" w:rsidRDefault="00ED768D" w:rsidP="00DB02AE">
      <w:pPr>
        <w:pStyle w:val="ListParagraph"/>
        <w:numPr>
          <w:ilvl w:val="0"/>
          <w:numId w:val="7"/>
        </w:numPr>
        <w:spacing w:after="0"/>
        <w:jc w:val="both"/>
        <w:rPr>
          <w:rFonts w:ascii="Arial" w:hAnsi="Arial" w:cs="Arial"/>
          <w:szCs w:val="24"/>
        </w:rPr>
      </w:pPr>
      <w:r w:rsidRPr="00BF51BB">
        <w:rPr>
          <w:rFonts w:ascii="Arial" w:hAnsi="Arial" w:cs="Arial"/>
          <w:szCs w:val="24"/>
        </w:rPr>
        <w:t xml:space="preserve">Šok </w:t>
      </w:r>
      <w:r w:rsidR="007E269C" w:rsidRPr="00BF51BB">
        <w:rPr>
          <w:rFonts w:ascii="Arial" w:hAnsi="Arial" w:cs="Arial"/>
          <w:szCs w:val="24"/>
        </w:rPr>
        <w:t>valutnog (deviznog)</w:t>
      </w:r>
      <w:r w:rsidRPr="00BF51BB">
        <w:rPr>
          <w:rFonts w:ascii="Arial" w:hAnsi="Arial" w:cs="Arial"/>
          <w:szCs w:val="24"/>
        </w:rPr>
        <w:t xml:space="preserve"> kursa: 30% deprecijacije kursa </w:t>
      </w:r>
      <w:r w:rsidR="00E672EB" w:rsidRPr="00BF51BB">
        <w:rPr>
          <w:rFonts w:ascii="Arial" w:hAnsi="Arial" w:cs="Arial"/>
          <w:szCs w:val="24"/>
        </w:rPr>
        <w:t>KM</w:t>
      </w:r>
      <w:r w:rsidRPr="00BF51BB">
        <w:rPr>
          <w:rFonts w:ascii="Arial" w:hAnsi="Arial" w:cs="Arial"/>
          <w:szCs w:val="24"/>
        </w:rPr>
        <w:t xml:space="preserve">/USD u </w:t>
      </w:r>
      <w:r w:rsidR="00565613" w:rsidRPr="00BF51BB">
        <w:rPr>
          <w:rFonts w:ascii="Arial" w:hAnsi="Arial" w:cs="Arial"/>
          <w:szCs w:val="24"/>
        </w:rPr>
        <w:t>drugoj</w:t>
      </w:r>
      <w:r w:rsidRPr="00BF51BB">
        <w:rPr>
          <w:rFonts w:ascii="Arial" w:hAnsi="Arial" w:cs="Arial"/>
          <w:szCs w:val="24"/>
        </w:rPr>
        <w:t xml:space="preserve"> godini;</w:t>
      </w:r>
    </w:p>
    <w:p w14:paraId="76893496" w14:textId="77777777" w:rsidR="00073673" w:rsidRPr="00BF51BB" w:rsidRDefault="00073673" w:rsidP="00BF51BB">
      <w:pPr>
        <w:pStyle w:val="ListParagraph"/>
        <w:spacing w:after="0"/>
        <w:jc w:val="both"/>
        <w:rPr>
          <w:rFonts w:ascii="Arial" w:hAnsi="Arial" w:cs="Arial"/>
          <w:szCs w:val="24"/>
        </w:rPr>
      </w:pPr>
    </w:p>
    <w:p w14:paraId="2A07DB50" w14:textId="336329EA" w:rsidR="006F50DF" w:rsidRPr="00BF51BB" w:rsidRDefault="00ED768D" w:rsidP="00DB02AE">
      <w:pPr>
        <w:pStyle w:val="ListParagraph"/>
        <w:numPr>
          <w:ilvl w:val="0"/>
          <w:numId w:val="7"/>
        </w:numPr>
        <w:spacing w:after="0"/>
        <w:jc w:val="both"/>
        <w:rPr>
          <w:rFonts w:ascii="Arial" w:hAnsi="Arial" w:cs="Arial"/>
          <w:szCs w:val="24"/>
        </w:rPr>
      </w:pPr>
      <w:r w:rsidRPr="00BF51BB">
        <w:rPr>
          <w:rFonts w:ascii="Arial" w:hAnsi="Arial" w:cs="Arial"/>
          <w:szCs w:val="24"/>
        </w:rPr>
        <w:t xml:space="preserve">Šok kamatne stope: 4% rast kamatne stope na </w:t>
      </w:r>
      <w:r w:rsidR="00A03EC3" w:rsidRPr="00BF51BB">
        <w:rPr>
          <w:rFonts w:ascii="Arial" w:hAnsi="Arial" w:cs="Arial"/>
          <w:szCs w:val="24"/>
        </w:rPr>
        <w:t xml:space="preserve">vanjske i domaće </w:t>
      </w:r>
      <w:r w:rsidRPr="00BF51BB">
        <w:rPr>
          <w:rFonts w:ascii="Arial" w:hAnsi="Arial" w:cs="Arial"/>
          <w:szCs w:val="24"/>
        </w:rPr>
        <w:t>dugoročne instrument</w:t>
      </w:r>
      <w:r w:rsidR="00A03EC3" w:rsidRPr="00BF51BB">
        <w:rPr>
          <w:rFonts w:ascii="Arial" w:hAnsi="Arial" w:cs="Arial"/>
          <w:szCs w:val="24"/>
        </w:rPr>
        <w:t>e</w:t>
      </w:r>
      <w:r w:rsidRPr="00BF51BB">
        <w:rPr>
          <w:rFonts w:ascii="Arial" w:hAnsi="Arial" w:cs="Arial"/>
          <w:szCs w:val="24"/>
        </w:rPr>
        <w:t xml:space="preserve"> i 2% na </w:t>
      </w:r>
      <w:r w:rsidR="00A03EC3" w:rsidRPr="00BF51BB">
        <w:rPr>
          <w:rFonts w:ascii="Arial" w:hAnsi="Arial" w:cs="Arial"/>
          <w:szCs w:val="24"/>
        </w:rPr>
        <w:t>kratkoročne</w:t>
      </w:r>
      <w:r w:rsidRPr="00BF51BB">
        <w:rPr>
          <w:rFonts w:ascii="Arial" w:hAnsi="Arial" w:cs="Arial"/>
          <w:szCs w:val="24"/>
        </w:rPr>
        <w:t xml:space="preserve"> domaće instrument</w:t>
      </w:r>
      <w:r w:rsidR="00A03EC3" w:rsidRPr="00BF51BB">
        <w:rPr>
          <w:rFonts w:ascii="Arial" w:hAnsi="Arial" w:cs="Arial"/>
          <w:szCs w:val="24"/>
        </w:rPr>
        <w:t>e</w:t>
      </w:r>
      <w:r w:rsidRPr="00BF51BB">
        <w:rPr>
          <w:rFonts w:ascii="Arial" w:hAnsi="Arial" w:cs="Arial"/>
          <w:szCs w:val="24"/>
        </w:rPr>
        <w:t xml:space="preserve"> u </w:t>
      </w:r>
      <w:r w:rsidR="00215CCD" w:rsidRPr="00BF51BB">
        <w:rPr>
          <w:rFonts w:ascii="Arial" w:hAnsi="Arial" w:cs="Arial"/>
          <w:szCs w:val="24"/>
        </w:rPr>
        <w:t>drugoj</w:t>
      </w:r>
      <w:r w:rsidRPr="00BF51BB">
        <w:rPr>
          <w:rFonts w:ascii="Arial" w:hAnsi="Arial" w:cs="Arial"/>
          <w:szCs w:val="24"/>
        </w:rPr>
        <w:t xml:space="preserve"> godini, što doprinosi izravnavanju </w:t>
      </w:r>
      <w:r w:rsidR="00C07F93" w:rsidRPr="00BF51BB">
        <w:rPr>
          <w:rFonts w:ascii="Arial" w:hAnsi="Arial" w:cs="Arial"/>
          <w:szCs w:val="24"/>
        </w:rPr>
        <w:t>krivulje</w:t>
      </w:r>
      <w:r w:rsidRPr="00BF51BB">
        <w:rPr>
          <w:rFonts w:ascii="Arial" w:hAnsi="Arial" w:cs="Arial"/>
          <w:szCs w:val="24"/>
        </w:rPr>
        <w:t xml:space="preserve"> prinosa. Instrumenti u koje </w:t>
      </w:r>
      <w:r w:rsidR="00C07F93" w:rsidRPr="00BF51BB">
        <w:rPr>
          <w:rFonts w:ascii="Arial" w:hAnsi="Arial" w:cs="Arial"/>
          <w:szCs w:val="24"/>
        </w:rPr>
        <w:t>su</w:t>
      </w:r>
      <w:r w:rsidRPr="00BF51BB">
        <w:rPr>
          <w:rFonts w:ascii="Arial" w:hAnsi="Arial" w:cs="Arial"/>
          <w:szCs w:val="24"/>
        </w:rPr>
        <w:t xml:space="preserve"> uključen</w:t>
      </w:r>
      <w:r w:rsidR="00C07F93" w:rsidRPr="00BF51BB">
        <w:rPr>
          <w:rFonts w:ascii="Arial" w:hAnsi="Arial" w:cs="Arial"/>
          <w:szCs w:val="24"/>
        </w:rPr>
        <w:t>i</w:t>
      </w:r>
      <w:r w:rsidRPr="00BF51BB">
        <w:rPr>
          <w:rFonts w:ascii="Arial" w:hAnsi="Arial" w:cs="Arial"/>
          <w:szCs w:val="24"/>
        </w:rPr>
        <w:t xml:space="preserve"> stara devizna štednj</w:t>
      </w:r>
      <w:r w:rsidR="00C07F93" w:rsidRPr="00BF51BB">
        <w:rPr>
          <w:rFonts w:ascii="Arial" w:hAnsi="Arial" w:cs="Arial"/>
          <w:szCs w:val="24"/>
        </w:rPr>
        <w:t>a</w:t>
      </w:r>
      <w:r w:rsidRPr="00BF51BB">
        <w:rPr>
          <w:rFonts w:ascii="Arial" w:hAnsi="Arial" w:cs="Arial"/>
          <w:szCs w:val="24"/>
        </w:rPr>
        <w:t xml:space="preserve"> i ratna potraživanja ostaju neprom</w:t>
      </w:r>
      <w:r w:rsidR="00D945EA" w:rsidRPr="00BF51BB">
        <w:rPr>
          <w:rFonts w:ascii="Arial" w:hAnsi="Arial" w:cs="Arial"/>
          <w:szCs w:val="24"/>
        </w:rPr>
        <w:t>i</w:t>
      </w:r>
      <w:r w:rsidRPr="00BF51BB">
        <w:rPr>
          <w:rFonts w:ascii="Arial" w:hAnsi="Arial" w:cs="Arial"/>
          <w:szCs w:val="24"/>
        </w:rPr>
        <w:t xml:space="preserve">jenjeni; </w:t>
      </w:r>
    </w:p>
    <w:p w14:paraId="63253157" w14:textId="77777777" w:rsidR="00073673" w:rsidRPr="00BF51BB" w:rsidRDefault="00073673" w:rsidP="00BF51BB">
      <w:pPr>
        <w:pStyle w:val="ListParagraph"/>
        <w:rPr>
          <w:rFonts w:ascii="Arial" w:hAnsi="Arial" w:cs="Arial"/>
          <w:szCs w:val="24"/>
        </w:rPr>
      </w:pPr>
    </w:p>
    <w:p w14:paraId="3814317A" w14:textId="3B023AE2" w:rsidR="005B6230" w:rsidRPr="00AD3357" w:rsidRDefault="00ED768D" w:rsidP="00AD3357">
      <w:pPr>
        <w:pStyle w:val="ListParagraph"/>
        <w:numPr>
          <w:ilvl w:val="0"/>
          <w:numId w:val="7"/>
        </w:numPr>
        <w:spacing w:after="0"/>
        <w:jc w:val="both"/>
        <w:rPr>
          <w:rFonts w:ascii="Arial" w:hAnsi="Arial" w:cs="Arial"/>
          <w:szCs w:val="24"/>
        </w:rPr>
      </w:pPr>
      <w:r w:rsidRPr="00BF51BB">
        <w:rPr>
          <w:rFonts w:ascii="Arial" w:hAnsi="Arial" w:cs="Arial"/>
          <w:szCs w:val="24"/>
        </w:rPr>
        <w:lastRenderedPageBreak/>
        <w:t xml:space="preserve">Kombinovani šok: 20% deprecijacije kursa </w:t>
      </w:r>
      <w:r w:rsidR="00E672EB" w:rsidRPr="00BF51BB">
        <w:rPr>
          <w:rFonts w:ascii="Arial" w:hAnsi="Arial" w:cs="Arial"/>
          <w:szCs w:val="24"/>
        </w:rPr>
        <w:t>KM</w:t>
      </w:r>
      <w:r w:rsidRPr="00BF51BB">
        <w:rPr>
          <w:rFonts w:ascii="Arial" w:hAnsi="Arial" w:cs="Arial"/>
          <w:szCs w:val="24"/>
        </w:rPr>
        <w:t xml:space="preserve">/USD u kombinaciji sa šokom od </w:t>
      </w:r>
      <w:r w:rsidR="000856A8" w:rsidRPr="00BF51BB">
        <w:rPr>
          <w:rFonts w:ascii="Arial" w:hAnsi="Arial" w:cs="Arial"/>
          <w:szCs w:val="24"/>
        </w:rPr>
        <w:t>1</w:t>
      </w:r>
      <w:r w:rsidRPr="00BF51BB">
        <w:rPr>
          <w:rFonts w:ascii="Arial" w:hAnsi="Arial" w:cs="Arial"/>
          <w:szCs w:val="24"/>
        </w:rPr>
        <w:t xml:space="preserve">% na kratkoročne domaće i </w:t>
      </w:r>
      <w:r w:rsidR="000856A8" w:rsidRPr="00BF51BB">
        <w:rPr>
          <w:rFonts w:ascii="Arial" w:hAnsi="Arial" w:cs="Arial"/>
          <w:szCs w:val="24"/>
        </w:rPr>
        <w:t xml:space="preserve">2% </w:t>
      </w:r>
      <w:r w:rsidRPr="00BF51BB">
        <w:rPr>
          <w:rFonts w:ascii="Arial" w:hAnsi="Arial" w:cs="Arial"/>
          <w:szCs w:val="24"/>
        </w:rPr>
        <w:t xml:space="preserve">dugoročne instrumente u </w:t>
      </w:r>
      <w:r w:rsidR="00215CCD" w:rsidRPr="00BF51BB">
        <w:rPr>
          <w:rFonts w:ascii="Arial" w:hAnsi="Arial" w:cs="Arial"/>
          <w:szCs w:val="24"/>
        </w:rPr>
        <w:t>drugoj</w:t>
      </w:r>
      <w:r w:rsidRPr="00BF51BB">
        <w:rPr>
          <w:rFonts w:ascii="Arial" w:hAnsi="Arial" w:cs="Arial"/>
          <w:szCs w:val="24"/>
        </w:rPr>
        <w:t xml:space="preserve"> godini. Instrumenti u koje </w:t>
      </w:r>
      <w:r w:rsidR="00C07F93" w:rsidRPr="00BF51BB">
        <w:rPr>
          <w:rFonts w:ascii="Arial" w:hAnsi="Arial" w:cs="Arial"/>
          <w:szCs w:val="24"/>
        </w:rPr>
        <w:t>su</w:t>
      </w:r>
      <w:r w:rsidRPr="00BF51BB">
        <w:rPr>
          <w:rFonts w:ascii="Arial" w:hAnsi="Arial" w:cs="Arial"/>
          <w:szCs w:val="24"/>
        </w:rPr>
        <w:t xml:space="preserve"> uključen</w:t>
      </w:r>
      <w:r w:rsidR="00C07F93" w:rsidRPr="00BF51BB">
        <w:rPr>
          <w:rFonts w:ascii="Arial" w:hAnsi="Arial" w:cs="Arial"/>
          <w:szCs w:val="24"/>
        </w:rPr>
        <w:t>i</w:t>
      </w:r>
      <w:r w:rsidRPr="00BF51BB">
        <w:rPr>
          <w:rFonts w:ascii="Arial" w:hAnsi="Arial" w:cs="Arial"/>
          <w:szCs w:val="24"/>
        </w:rPr>
        <w:t xml:space="preserve"> stara devizna štednj</w:t>
      </w:r>
      <w:r w:rsidR="00C07F93" w:rsidRPr="00BF51BB">
        <w:rPr>
          <w:rFonts w:ascii="Arial" w:hAnsi="Arial" w:cs="Arial"/>
          <w:szCs w:val="24"/>
        </w:rPr>
        <w:t>a</w:t>
      </w:r>
      <w:r w:rsidRPr="00BF51BB">
        <w:rPr>
          <w:rFonts w:ascii="Arial" w:hAnsi="Arial" w:cs="Arial"/>
          <w:szCs w:val="24"/>
        </w:rPr>
        <w:t xml:space="preserve"> i ratna potraživanja ostaju neprom</w:t>
      </w:r>
      <w:r w:rsidR="00D945EA" w:rsidRPr="00BF51BB">
        <w:rPr>
          <w:rFonts w:ascii="Arial" w:hAnsi="Arial" w:cs="Arial"/>
          <w:szCs w:val="24"/>
        </w:rPr>
        <w:t>i</w:t>
      </w:r>
      <w:r w:rsidRPr="00BF51BB">
        <w:rPr>
          <w:rFonts w:ascii="Arial" w:hAnsi="Arial" w:cs="Arial"/>
          <w:szCs w:val="24"/>
        </w:rPr>
        <w:t>jenjeni.</w:t>
      </w:r>
    </w:p>
    <w:p w14:paraId="2C73FFF6" w14:textId="77777777" w:rsidR="00E90DCD" w:rsidRPr="00BF51BB" w:rsidRDefault="00E90DCD" w:rsidP="00ED768D">
      <w:pPr>
        <w:spacing w:after="0" w:line="240" w:lineRule="auto"/>
        <w:jc w:val="both"/>
        <w:rPr>
          <w:rFonts w:ascii="Arial" w:hAnsi="Arial" w:cs="Arial"/>
          <w:szCs w:val="24"/>
        </w:rPr>
      </w:pPr>
    </w:p>
    <w:p w14:paraId="60357D2A" w14:textId="4FA923F7" w:rsidR="00ED768D" w:rsidRPr="00BF51BB" w:rsidRDefault="00ED768D" w:rsidP="00ED768D">
      <w:pPr>
        <w:spacing w:after="0" w:line="240" w:lineRule="auto"/>
        <w:jc w:val="both"/>
        <w:rPr>
          <w:rFonts w:ascii="Arial" w:hAnsi="Arial" w:cs="Arial"/>
          <w:szCs w:val="24"/>
        </w:rPr>
      </w:pPr>
      <w:r w:rsidRPr="00BF51BB">
        <w:rPr>
          <w:rFonts w:ascii="Arial" w:hAnsi="Arial" w:cs="Arial"/>
          <w:szCs w:val="24"/>
        </w:rPr>
        <w:t>Tabela 1</w:t>
      </w:r>
      <w:r w:rsidR="005A0B60" w:rsidRPr="00BF51BB">
        <w:rPr>
          <w:rFonts w:ascii="Arial" w:hAnsi="Arial" w:cs="Arial"/>
          <w:szCs w:val="24"/>
        </w:rPr>
        <w:t>3</w:t>
      </w:r>
      <w:r w:rsidRPr="00BF51BB">
        <w:rPr>
          <w:rFonts w:ascii="Arial" w:hAnsi="Arial" w:cs="Arial"/>
          <w:szCs w:val="24"/>
        </w:rPr>
        <w:t xml:space="preserve">. </w:t>
      </w:r>
      <w:r w:rsidR="00AD3357" w:rsidRPr="00AD3357">
        <w:rPr>
          <w:rFonts w:ascii="Arial" w:hAnsi="Arial" w:cs="Arial"/>
          <w:szCs w:val="24"/>
        </w:rPr>
        <w:t>Stilizirani</w:t>
      </w:r>
      <w:r w:rsidRPr="00BF51BB">
        <w:rPr>
          <w:rFonts w:ascii="Arial" w:hAnsi="Arial" w:cs="Arial"/>
          <w:szCs w:val="24"/>
        </w:rPr>
        <w:t xml:space="preserve"> instrumenti portfolija duga F</w:t>
      </w:r>
      <w:r w:rsidR="00C618AA" w:rsidRPr="00BF51BB">
        <w:rPr>
          <w:rFonts w:ascii="Arial" w:hAnsi="Arial" w:cs="Arial"/>
          <w:szCs w:val="24"/>
        </w:rPr>
        <w:t xml:space="preserve">ederacije </w:t>
      </w:r>
      <w:r w:rsidRPr="00BF51BB">
        <w:rPr>
          <w:rFonts w:ascii="Arial" w:hAnsi="Arial" w:cs="Arial"/>
          <w:szCs w:val="24"/>
        </w:rPr>
        <w:t>BiH</w:t>
      </w:r>
    </w:p>
    <w:p w14:paraId="0B5171B2" w14:textId="77777777" w:rsidR="006B2D7D" w:rsidRPr="00BF51BB" w:rsidRDefault="006B2D7D" w:rsidP="00ED768D">
      <w:pPr>
        <w:spacing w:after="0" w:line="240" w:lineRule="auto"/>
        <w:jc w:val="both"/>
        <w:rPr>
          <w:rFonts w:ascii="Arial" w:hAnsi="Arial" w:cs="Arial"/>
          <w:sz w:val="24"/>
          <w:szCs w:val="24"/>
        </w:rPr>
      </w:pPr>
    </w:p>
    <w:tbl>
      <w:tblPr>
        <w:tblW w:w="5000" w:type="pct"/>
        <w:tblLook w:val="04A0" w:firstRow="1" w:lastRow="0" w:firstColumn="1" w:lastColumn="0" w:noHBand="0" w:noVBand="1"/>
      </w:tblPr>
      <w:tblGrid>
        <w:gridCol w:w="1029"/>
        <w:gridCol w:w="1916"/>
        <w:gridCol w:w="1042"/>
        <w:gridCol w:w="1333"/>
        <w:gridCol w:w="999"/>
        <w:gridCol w:w="998"/>
        <w:gridCol w:w="998"/>
        <w:gridCol w:w="998"/>
      </w:tblGrid>
      <w:tr w:rsidR="006B2D7D" w:rsidRPr="00BF51BB" w14:paraId="340654F0" w14:textId="77777777" w:rsidTr="00BF51BB">
        <w:trPr>
          <w:trHeight w:val="555"/>
        </w:trPr>
        <w:tc>
          <w:tcPr>
            <w:tcW w:w="552"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62FAA0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Oznaka instrumenta</w:t>
            </w:r>
          </w:p>
        </w:tc>
        <w:tc>
          <w:tcPr>
            <w:tcW w:w="1028" w:type="pct"/>
            <w:tcBorders>
              <w:top w:val="single" w:sz="8" w:space="0" w:color="4F81BD"/>
              <w:left w:val="nil"/>
              <w:bottom w:val="single" w:sz="8" w:space="0" w:color="4F81BD"/>
              <w:right w:val="single" w:sz="8" w:space="0" w:color="4F81BD"/>
            </w:tcBorders>
            <w:shd w:val="clear" w:color="auto" w:fill="auto"/>
            <w:vAlign w:val="center"/>
            <w:hideMark/>
          </w:tcPr>
          <w:p w14:paraId="0D9B4DC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Ime ili vrsta instrumenta</w:t>
            </w:r>
          </w:p>
        </w:tc>
        <w:tc>
          <w:tcPr>
            <w:tcW w:w="559" w:type="pct"/>
            <w:tcBorders>
              <w:top w:val="single" w:sz="8" w:space="0" w:color="4F81BD"/>
              <w:left w:val="nil"/>
              <w:bottom w:val="single" w:sz="8" w:space="0" w:color="4F81BD"/>
              <w:right w:val="single" w:sz="8" w:space="0" w:color="4F81BD"/>
            </w:tcBorders>
            <w:shd w:val="clear" w:color="auto" w:fill="auto"/>
            <w:vAlign w:val="center"/>
            <w:hideMark/>
          </w:tcPr>
          <w:p w14:paraId="1A028BDB"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 ili varijabilni</w:t>
            </w:r>
          </w:p>
        </w:tc>
        <w:tc>
          <w:tcPr>
            <w:tcW w:w="715" w:type="pct"/>
            <w:tcBorders>
              <w:top w:val="single" w:sz="8" w:space="0" w:color="4F81BD"/>
              <w:left w:val="nil"/>
              <w:bottom w:val="single" w:sz="8" w:space="0" w:color="4F81BD"/>
              <w:right w:val="single" w:sz="8" w:space="0" w:color="4F81BD"/>
            </w:tcBorders>
            <w:shd w:val="clear" w:color="auto" w:fill="auto"/>
            <w:vAlign w:val="center"/>
            <w:hideMark/>
          </w:tcPr>
          <w:p w14:paraId="6EBC0083"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Koncesionalni ili tržni</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3D6C8505"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Dospijeće (godina)</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0737EC28"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Grace (godina)</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076B7E1F"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Vrsta valute</w:t>
            </w:r>
          </w:p>
        </w:tc>
        <w:tc>
          <w:tcPr>
            <w:tcW w:w="536" w:type="pct"/>
            <w:tcBorders>
              <w:top w:val="single" w:sz="8" w:space="0" w:color="4F81BD"/>
              <w:left w:val="nil"/>
              <w:bottom w:val="single" w:sz="8" w:space="0" w:color="4F81BD"/>
              <w:right w:val="single" w:sz="8" w:space="0" w:color="4F81BD"/>
            </w:tcBorders>
            <w:shd w:val="clear" w:color="auto" w:fill="auto"/>
            <w:vAlign w:val="center"/>
            <w:hideMark/>
          </w:tcPr>
          <w:p w14:paraId="41D21898"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Valuta</w:t>
            </w:r>
          </w:p>
        </w:tc>
      </w:tr>
      <w:tr w:rsidR="006B2D7D" w:rsidRPr="00BF51BB" w14:paraId="11EE4B50" w14:textId="77777777" w:rsidTr="00BF51BB">
        <w:trPr>
          <w:trHeight w:val="34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1F54D3B"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USD_2</w:t>
            </w:r>
          </w:p>
        </w:tc>
        <w:tc>
          <w:tcPr>
            <w:tcW w:w="1028" w:type="pct"/>
            <w:tcBorders>
              <w:top w:val="nil"/>
              <w:left w:val="nil"/>
              <w:bottom w:val="single" w:sz="8" w:space="0" w:color="4F81BD"/>
              <w:right w:val="single" w:sz="8" w:space="0" w:color="4F81BD"/>
            </w:tcBorders>
            <w:shd w:val="clear" w:color="auto" w:fill="auto"/>
            <w:noWrap/>
            <w:vAlign w:val="center"/>
            <w:hideMark/>
          </w:tcPr>
          <w:p w14:paraId="6AA0CCAA"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 xml:space="preserve">Koncesionalni USD </w:t>
            </w:r>
          </w:p>
        </w:tc>
        <w:tc>
          <w:tcPr>
            <w:tcW w:w="559" w:type="pct"/>
            <w:tcBorders>
              <w:top w:val="nil"/>
              <w:left w:val="nil"/>
              <w:bottom w:val="single" w:sz="8" w:space="0" w:color="4F81BD"/>
              <w:right w:val="single" w:sz="8" w:space="0" w:color="4F81BD"/>
            </w:tcBorders>
            <w:shd w:val="clear" w:color="auto" w:fill="auto"/>
            <w:noWrap/>
            <w:vAlign w:val="center"/>
            <w:hideMark/>
          </w:tcPr>
          <w:p w14:paraId="35D875E4"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C2F8764"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669DFD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20</w:t>
            </w:r>
          </w:p>
        </w:tc>
        <w:tc>
          <w:tcPr>
            <w:tcW w:w="536" w:type="pct"/>
            <w:tcBorders>
              <w:top w:val="nil"/>
              <w:left w:val="nil"/>
              <w:bottom w:val="single" w:sz="8" w:space="0" w:color="4F81BD"/>
              <w:right w:val="single" w:sz="8" w:space="0" w:color="4F81BD"/>
            </w:tcBorders>
            <w:shd w:val="clear" w:color="auto" w:fill="auto"/>
            <w:noWrap/>
            <w:vAlign w:val="center"/>
            <w:hideMark/>
          </w:tcPr>
          <w:p w14:paraId="36BC429F"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6F54A49A"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D3B95CB"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w:t>
            </w:r>
          </w:p>
        </w:tc>
      </w:tr>
      <w:tr w:rsidR="006B2D7D" w:rsidRPr="00BF51BB" w14:paraId="3D418EF8"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DCC093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USD_3</w:t>
            </w:r>
          </w:p>
        </w:tc>
        <w:tc>
          <w:tcPr>
            <w:tcW w:w="1028" w:type="pct"/>
            <w:tcBorders>
              <w:top w:val="nil"/>
              <w:left w:val="nil"/>
              <w:bottom w:val="single" w:sz="8" w:space="0" w:color="4F81BD"/>
              <w:right w:val="single" w:sz="8" w:space="0" w:color="4F81BD"/>
            </w:tcBorders>
            <w:shd w:val="clear" w:color="auto" w:fill="auto"/>
            <w:noWrap/>
            <w:vAlign w:val="center"/>
            <w:hideMark/>
          </w:tcPr>
          <w:p w14:paraId="178B4673"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 xml:space="preserve">Koncesionalni EUR </w:t>
            </w:r>
          </w:p>
        </w:tc>
        <w:tc>
          <w:tcPr>
            <w:tcW w:w="559" w:type="pct"/>
            <w:tcBorders>
              <w:top w:val="nil"/>
              <w:left w:val="nil"/>
              <w:bottom w:val="single" w:sz="8" w:space="0" w:color="4F81BD"/>
              <w:right w:val="single" w:sz="8" w:space="0" w:color="4F81BD"/>
            </w:tcBorders>
            <w:shd w:val="clear" w:color="auto" w:fill="auto"/>
            <w:noWrap/>
            <w:vAlign w:val="center"/>
            <w:hideMark/>
          </w:tcPr>
          <w:p w14:paraId="551A62C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704D0EB6"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73A5DD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20</w:t>
            </w:r>
          </w:p>
        </w:tc>
        <w:tc>
          <w:tcPr>
            <w:tcW w:w="536" w:type="pct"/>
            <w:tcBorders>
              <w:top w:val="nil"/>
              <w:left w:val="nil"/>
              <w:bottom w:val="single" w:sz="8" w:space="0" w:color="4F81BD"/>
              <w:right w:val="single" w:sz="8" w:space="0" w:color="4F81BD"/>
            </w:tcBorders>
            <w:shd w:val="clear" w:color="auto" w:fill="auto"/>
            <w:noWrap/>
            <w:vAlign w:val="center"/>
            <w:hideMark/>
          </w:tcPr>
          <w:p w14:paraId="752E04F2"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0180B8F2"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243C74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EUR</w:t>
            </w:r>
          </w:p>
        </w:tc>
      </w:tr>
      <w:tr w:rsidR="006B2D7D" w:rsidRPr="00BF51BB" w14:paraId="0D8B1143"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71695AA"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USD_4</w:t>
            </w:r>
          </w:p>
        </w:tc>
        <w:tc>
          <w:tcPr>
            <w:tcW w:w="1028" w:type="pct"/>
            <w:tcBorders>
              <w:top w:val="nil"/>
              <w:left w:val="nil"/>
              <w:bottom w:val="single" w:sz="8" w:space="0" w:color="4F81BD"/>
              <w:right w:val="single" w:sz="8" w:space="0" w:color="4F81BD"/>
            </w:tcBorders>
            <w:shd w:val="clear" w:color="auto" w:fill="auto"/>
            <w:noWrap/>
            <w:vAlign w:val="center"/>
            <w:hideMark/>
          </w:tcPr>
          <w:p w14:paraId="58785EDE"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 xml:space="preserve">Koncesionalni USD </w:t>
            </w:r>
          </w:p>
        </w:tc>
        <w:tc>
          <w:tcPr>
            <w:tcW w:w="559" w:type="pct"/>
            <w:tcBorders>
              <w:top w:val="nil"/>
              <w:left w:val="nil"/>
              <w:bottom w:val="single" w:sz="8" w:space="0" w:color="4F81BD"/>
              <w:right w:val="single" w:sz="8" w:space="0" w:color="4F81BD"/>
            </w:tcBorders>
            <w:shd w:val="clear" w:color="auto" w:fill="auto"/>
            <w:noWrap/>
            <w:vAlign w:val="center"/>
            <w:hideMark/>
          </w:tcPr>
          <w:p w14:paraId="1CDC48C3"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49E019B6"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35472FCA"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18</w:t>
            </w:r>
          </w:p>
        </w:tc>
        <w:tc>
          <w:tcPr>
            <w:tcW w:w="536" w:type="pct"/>
            <w:tcBorders>
              <w:top w:val="nil"/>
              <w:left w:val="nil"/>
              <w:bottom w:val="single" w:sz="8" w:space="0" w:color="4F81BD"/>
              <w:right w:val="single" w:sz="8" w:space="0" w:color="4F81BD"/>
            </w:tcBorders>
            <w:shd w:val="clear" w:color="auto" w:fill="auto"/>
            <w:noWrap/>
            <w:vAlign w:val="center"/>
            <w:hideMark/>
          </w:tcPr>
          <w:p w14:paraId="0701159A"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4FA677C8"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04E0E65"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w:t>
            </w:r>
          </w:p>
        </w:tc>
      </w:tr>
      <w:tr w:rsidR="006B2D7D" w:rsidRPr="00BF51BB" w14:paraId="76468D26"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2B21DF47"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USD_5</w:t>
            </w:r>
          </w:p>
        </w:tc>
        <w:tc>
          <w:tcPr>
            <w:tcW w:w="1028" w:type="pct"/>
            <w:tcBorders>
              <w:top w:val="nil"/>
              <w:left w:val="nil"/>
              <w:bottom w:val="single" w:sz="8" w:space="0" w:color="4F81BD"/>
              <w:right w:val="single" w:sz="8" w:space="0" w:color="4F81BD"/>
            </w:tcBorders>
            <w:shd w:val="clear" w:color="auto" w:fill="auto"/>
            <w:noWrap/>
            <w:vAlign w:val="center"/>
            <w:hideMark/>
          </w:tcPr>
          <w:p w14:paraId="4D7F7983"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 xml:space="preserve">Koncesionalni EUR </w:t>
            </w:r>
          </w:p>
        </w:tc>
        <w:tc>
          <w:tcPr>
            <w:tcW w:w="559" w:type="pct"/>
            <w:tcBorders>
              <w:top w:val="nil"/>
              <w:left w:val="nil"/>
              <w:bottom w:val="single" w:sz="8" w:space="0" w:color="4F81BD"/>
              <w:right w:val="single" w:sz="8" w:space="0" w:color="4F81BD"/>
            </w:tcBorders>
            <w:shd w:val="clear" w:color="auto" w:fill="auto"/>
            <w:noWrap/>
            <w:vAlign w:val="center"/>
            <w:hideMark/>
          </w:tcPr>
          <w:p w14:paraId="2E6584D0"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07A4DA76"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5A5D8B80"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18</w:t>
            </w:r>
          </w:p>
        </w:tc>
        <w:tc>
          <w:tcPr>
            <w:tcW w:w="536" w:type="pct"/>
            <w:tcBorders>
              <w:top w:val="nil"/>
              <w:left w:val="nil"/>
              <w:bottom w:val="single" w:sz="8" w:space="0" w:color="4F81BD"/>
              <w:right w:val="single" w:sz="8" w:space="0" w:color="4F81BD"/>
            </w:tcBorders>
            <w:shd w:val="clear" w:color="auto" w:fill="auto"/>
            <w:noWrap/>
            <w:vAlign w:val="center"/>
            <w:hideMark/>
          </w:tcPr>
          <w:p w14:paraId="51BD94E6"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71062EDE"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540E965"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EUR</w:t>
            </w:r>
          </w:p>
        </w:tc>
      </w:tr>
      <w:tr w:rsidR="006B2D7D" w:rsidRPr="00BF51BB" w14:paraId="39F20C9E"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0BA1D342"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USD_6</w:t>
            </w:r>
          </w:p>
        </w:tc>
        <w:tc>
          <w:tcPr>
            <w:tcW w:w="1028" w:type="pct"/>
            <w:tcBorders>
              <w:top w:val="nil"/>
              <w:left w:val="nil"/>
              <w:bottom w:val="single" w:sz="8" w:space="0" w:color="4F81BD"/>
              <w:right w:val="single" w:sz="8" w:space="0" w:color="4F81BD"/>
            </w:tcBorders>
            <w:shd w:val="clear" w:color="auto" w:fill="auto"/>
            <w:noWrap/>
            <w:vAlign w:val="center"/>
            <w:hideMark/>
          </w:tcPr>
          <w:p w14:paraId="5A32468B"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 xml:space="preserve">IMF EFF USD </w:t>
            </w:r>
          </w:p>
        </w:tc>
        <w:tc>
          <w:tcPr>
            <w:tcW w:w="559" w:type="pct"/>
            <w:tcBorders>
              <w:top w:val="nil"/>
              <w:left w:val="nil"/>
              <w:bottom w:val="single" w:sz="8" w:space="0" w:color="4F81BD"/>
              <w:right w:val="single" w:sz="8" w:space="0" w:color="4F81BD"/>
            </w:tcBorders>
            <w:shd w:val="clear" w:color="auto" w:fill="auto"/>
            <w:noWrap/>
            <w:vAlign w:val="center"/>
            <w:hideMark/>
          </w:tcPr>
          <w:p w14:paraId="55C92BD8"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21A3E625"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27C0E9C4"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2ED4D34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35B9304B"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1C7E7242"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w:t>
            </w:r>
          </w:p>
        </w:tc>
      </w:tr>
      <w:tr w:rsidR="006B2D7D" w:rsidRPr="00BF51BB" w14:paraId="075C3D5C"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5DADD8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USD_7</w:t>
            </w:r>
          </w:p>
        </w:tc>
        <w:tc>
          <w:tcPr>
            <w:tcW w:w="1028" w:type="pct"/>
            <w:tcBorders>
              <w:top w:val="nil"/>
              <w:left w:val="nil"/>
              <w:bottom w:val="single" w:sz="8" w:space="0" w:color="4F81BD"/>
              <w:right w:val="single" w:sz="8" w:space="0" w:color="4F81BD"/>
            </w:tcBorders>
            <w:shd w:val="clear" w:color="auto" w:fill="auto"/>
            <w:noWrap/>
            <w:vAlign w:val="center"/>
            <w:hideMark/>
          </w:tcPr>
          <w:p w14:paraId="0871F6AA"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IMF RFI USD</w:t>
            </w:r>
          </w:p>
        </w:tc>
        <w:tc>
          <w:tcPr>
            <w:tcW w:w="559" w:type="pct"/>
            <w:tcBorders>
              <w:top w:val="nil"/>
              <w:left w:val="nil"/>
              <w:bottom w:val="single" w:sz="8" w:space="0" w:color="4F81BD"/>
              <w:right w:val="single" w:sz="8" w:space="0" w:color="4F81BD"/>
            </w:tcBorders>
            <w:shd w:val="clear" w:color="auto" w:fill="auto"/>
            <w:noWrap/>
            <w:vAlign w:val="center"/>
            <w:hideMark/>
          </w:tcPr>
          <w:p w14:paraId="17109115"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Varijabilni</w:t>
            </w:r>
          </w:p>
        </w:tc>
        <w:tc>
          <w:tcPr>
            <w:tcW w:w="715" w:type="pct"/>
            <w:tcBorders>
              <w:top w:val="nil"/>
              <w:left w:val="nil"/>
              <w:bottom w:val="single" w:sz="8" w:space="0" w:color="4F81BD"/>
              <w:right w:val="single" w:sz="8" w:space="0" w:color="4F81BD"/>
            </w:tcBorders>
            <w:shd w:val="clear" w:color="auto" w:fill="auto"/>
            <w:noWrap/>
            <w:vAlign w:val="center"/>
            <w:hideMark/>
          </w:tcPr>
          <w:p w14:paraId="719A846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Koncesionalni</w:t>
            </w:r>
          </w:p>
        </w:tc>
        <w:tc>
          <w:tcPr>
            <w:tcW w:w="536" w:type="pct"/>
            <w:tcBorders>
              <w:top w:val="nil"/>
              <w:left w:val="nil"/>
              <w:bottom w:val="single" w:sz="8" w:space="0" w:color="4F81BD"/>
              <w:right w:val="single" w:sz="8" w:space="0" w:color="4F81BD"/>
            </w:tcBorders>
            <w:shd w:val="clear" w:color="auto" w:fill="auto"/>
            <w:noWrap/>
            <w:vAlign w:val="center"/>
            <w:hideMark/>
          </w:tcPr>
          <w:p w14:paraId="4FD56E74"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49FB43AA"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3</w:t>
            </w:r>
          </w:p>
        </w:tc>
        <w:tc>
          <w:tcPr>
            <w:tcW w:w="536" w:type="pct"/>
            <w:tcBorders>
              <w:top w:val="nil"/>
              <w:left w:val="nil"/>
              <w:bottom w:val="single" w:sz="8" w:space="0" w:color="4F81BD"/>
              <w:right w:val="single" w:sz="8" w:space="0" w:color="4F81BD"/>
            </w:tcBorders>
            <w:shd w:val="clear" w:color="auto" w:fill="auto"/>
            <w:noWrap/>
            <w:vAlign w:val="center"/>
            <w:hideMark/>
          </w:tcPr>
          <w:p w14:paraId="475F9D56"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3A23B825"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w:t>
            </w:r>
          </w:p>
        </w:tc>
      </w:tr>
      <w:tr w:rsidR="006B2D7D" w:rsidRPr="00BF51BB" w14:paraId="2E76D023"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8AAA4B2"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BAM_9</w:t>
            </w:r>
          </w:p>
        </w:tc>
        <w:tc>
          <w:tcPr>
            <w:tcW w:w="1028" w:type="pct"/>
            <w:tcBorders>
              <w:top w:val="nil"/>
              <w:left w:val="nil"/>
              <w:bottom w:val="single" w:sz="8" w:space="0" w:color="4F81BD"/>
              <w:right w:val="single" w:sz="8" w:space="0" w:color="4F81BD"/>
            </w:tcBorders>
            <w:shd w:val="clear" w:color="auto" w:fill="auto"/>
            <w:noWrap/>
            <w:vAlign w:val="center"/>
            <w:hideMark/>
          </w:tcPr>
          <w:p w14:paraId="457D3C4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 xml:space="preserve">T zapis </w:t>
            </w:r>
          </w:p>
        </w:tc>
        <w:tc>
          <w:tcPr>
            <w:tcW w:w="559" w:type="pct"/>
            <w:tcBorders>
              <w:top w:val="nil"/>
              <w:left w:val="nil"/>
              <w:bottom w:val="single" w:sz="8" w:space="0" w:color="4F81BD"/>
              <w:right w:val="single" w:sz="8" w:space="0" w:color="4F81BD"/>
            </w:tcBorders>
            <w:shd w:val="clear" w:color="auto" w:fill="auto"/>
            <w:noWrap/>
            <w:vAlign w:val="center"/>
            <w:hideMark/>
          </w:tcPr>
          <w:p w14:paraId="707EFE5B"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52F0E597"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7EA4A77F"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w:t>
            </w:r>
          </w:p>
        </w:tc>
        <w:tc>
          <w:tcPr>
            <w:tcW w:w="536" w:type="pct"/>
            <w:tcBorders>
              <w:top w:val="nil"/>
              <w:left w:val="nil"/>
              <w:bottom w:val="single" w:sz="8" w:space="0" w:color="4F81BD"/>
              <w:right w:val="single" w:sz="8" w:space="0" w:color="4F81BD"/>
            </w:tcBorders>
            <w:shd w:val="clear" w:color="auto" w:fill="auto"/>
            <w:noWrap/>
            <w:vAlign w:val="center"/>
            <w:hideMark/>
          </w:tcPr>
          <w:p w14:paraId="0DBAA495"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0</w:t>
            </w:r>
          </w:p>
        </w:tc>
        <w:tc>
          <w:tcPr>
            <w:tcW w:w="536" w:type="pct"/>
            <w:tcBorders>
              <w:top w:val="nil"/>
              <w:left w:val="nil"/>
              <w:bottom w:val="single" w:sz="8" w:space="0" w:color="4F81BD"/>
              <w:right w:val="single" w:sz="8" w:space="0" w:color="4F81BD"/>
            </w:tcBorders>
            <w:shd w:val="clear" w:color="auto" w:fill="auto"/>
            <w:noWrap/>
            <w:vAlign w:val="center"/>
            <w:hideMark/>
          </w:tcPr>
          <w:p w14:paraId="4C489BE7"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1891DA77"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BAM</w:t>
            </w:r>
          </w:p>
        </w:tc>
      </w:tr>
      <w:tr w:rsidR="006B2D7D" w:rsidRPr="00BF51BB" w14:paraId="7ED641EE"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F1B9E7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BAM_11</w:t>
            </w:r>
          </w:p>
        </w:tc>
        <w:tc>
          <w:tcPr>
            <w:tcW w:w="1028" w:type="pct"/>
            <w:tcBorders>
              <w:top w:val="nil"/>
              <w:left w:val="nil"/>
              <w:bottom w:val="single" w:sz="8" w:space="0" w:color="4F81BD"/>
              <w:right w:val="single" w:sz="8" w:space="0" w:color="4F81BD"/>
            </w:tcBorders>
            <w:shd w:val="clear" w:color="auto" w:fill="auto"/>
            <w:noWrap/>
            <w:vAlign w:val="center"/>
            <w:hideMark/>
          </w:tcPr>
          <w:p w14:paraId="019A12B9"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 xml:space="preserve">2-3y T obveznica </w:t>
            </w:r>
          </w:p>
        </w:tc>
        <w:tc>
          <w:tcPr>
            <w:tcW w:w="559" w:type="pct"/>
            <w:tcBorders>
              <w:top w:val="nil"/>
              <w:left w:val="nil"/>
              <w:bottom w:val="single" w:sz="8" w:space="0" w:color="4F81BD"/>
              <w:right w:val="single" w:sz="8" w:space="0" w:color="4F81BD"/>
            </w:tcBorders>
            <w:shd w:val="clear" w:color="auto" w:fill="auto"/>
            <w:noWrap/>
            <w:vAlign w:val="center"/>
            <w:hideMark/>
          </w:tcPr>
          <w:p w14:paraId="0ECCE32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65322B00"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50A88550"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3</w:t>
            </w:r>
          </w:p>
        </w:tc>
        <w:tc>
          <w:tcPr>
            <w:tcW w:w="536" w:type="pct"/>
            <w:tcBorders>
              <w:top w:val="nil"/>
              <w:left w:val="nil"/>
              <w:bottom w:val="single" w:sz="8" w:space="0" w:color="4F81BD"/>
              <w:right w:val="single" w:sz="8" w:space="0" w:color="4F81BD"/>
            </w:tcBorders>
            <w:shd w:val="clear" w:color="auto" w:fill="auto"/>
            <w:noWrap/>
            <w:vAlign w:val="center"/>
            <w:hideMark/>
          </w:tcPr>
          <w:p w14:paraId="6C0F3C34"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2</w:t>
            </w:r>
          </w:p>
        </w:tc>
        <w:tc>
          <w:tcPr>
            <w:tcW w:w="536" w:type="pct"/>
            <w:tcBorders>
              <w:top w:val="nil"/>
              <w:left w:val="nil"/>
              <w:bottom w:val="single" w:sz="8" w:space="0" w:color="4F81BD"/>
              <w:right w:val="single" w:sz="8" w:space="0" w:color="4F81BD"/>
            </w:tcBorders>
            <w:shd w:val="clear" w:color="auto" w:fill="auto"/>
            <w:noWrap/>
            <w:vAlign w:val="center"/>
            <w:hideMark/>
          </w:tcPr>
          <w:p w14:paraId="1F85978B"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631384B0"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BAM</w:t>
            </w:r>
          </w:p>
        </w:tc>
      </w:tr>
      <w:tr w:rsidR="006B2D7D" w:rsidRPr="00BF51BB" w14:paraId="5E9F5F25"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CAC3A2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BAM_12</w:t>
            </w:r>
          </w:p>
        </w:tc>
        <w:tc>
          <w:tcPr>
            <w:tcW w:w="1028" w:type="pct"/>
            <w:tcBorders>
              <w:top w:val="nil"/>
              <w:left w:val="nil"/>
              <w:bottom w:val="single" w:sz="8" w:space="0" w:color="4F81BD"/>
              <w:right w:val="single" w:sz="8" w:space="0" w:color="4F81BD"/>
            </w:tcBorders>
            <w:shd w:val="clear" w:color="auto" w:fill="auto"/>
            <w:noWrap/>
            <w:vAlign w:val="center"/>
            <w:hideMark/>
          </w:tcPr>
          <w:p w14:paraId="7640ADC8"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 xml:space="preserve">5-7y T obveznica </w:t>
            </w:r>
          </w:p>
        </w:tc>
        <w:tc>
          <w:tcPr>
            <w:tcW w:w="559" w:type="pct"/>
            <w:tcBorders>
              <w:top w:val="nil"/>
              <w:left w:val="nil"/>
              <w:bottom w:val="single" w:sz="8" w:space="0" w:color="4F81BD"/>
              <w:right w:val="single" w:sz="8" w:space="0" w:color="4F81BD"/>
            </w:tcBorders>
            <w:shd w:val="clear" w:color="auto" w:fill="auto"/>
            <w:noWrap/>
            <w:vAlign w:val="center"/>
            <w:hideMark/>
          </w:tcPr>
          <w:p w14:paraId="2A57BEFA"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03465743"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3C8E6208"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6</w:t>
            </w:r>
          </w:p>
        </w:tc>
        <w:tc>
          <w:tcPr>
            <w:tcW w:w="536" w:type="pct"/>
            <w:tcBorders>
              <w:top w:val="nil"/>
              <w:left w:val="nil"/>
              <w:bottom w:val="single" w:sz="8" w:space="0" w:color="4F81BD"/>
              <w:right w:val="single" w:sz="8" w:space="0" w:color="4F81BD"/>
            </w:tcBorders>
            <w:shd w:val="clear" w:color="auto" w:fill="auto"/>
            <w:noWrap/>
            <w:vAlign w:val="center"/>
            <w:hideMark/>
          </w:tcPr>
          <w:p w14:paraId="3D53ABB2"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4DEE8D87"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53B840EB"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BAM</w:t>
            </w:r>
          </w:p>
        </w:tc>
      </w:tr>
      <w:tr w:rsidR="006B2D7D" w:rsidRPr="00BF51BB" w14:paraId="61EC11DC" w14:textId="77777777" w:rsidTr="00BF51BB">
        <w:trPr>
          <w:trHeight w:val="46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2311FE3D"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BAM_16</w:t>
            </w:r>
          </w:p>
        </w:tc>
        <w:tc>
          <w:tcPr>
            <w:tcW w:w="1028" w:type="pct"/>
            <w:tcBorders>
              <w:top w:val="nil"/>
              <w:left w:val="nil"/>
              <w:bottom w:val="single" w:sz="8" w:space="0" w:color="4F81BD"/>
              <w:right w:val="single" w:sz="8" w:space="0" w:color="4F81BD"/>
            </w:tcBorders>
            <w:shd w:val="clear" w:color="auto" w:fill="auto"/>
            <w:noWrap/>
            <w:vAlign w:val="center"/>
            <w:hideMark/>
          </w:tcPr>
          <w:p w14:paraId="04531DF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10y T obveznica</w:t>
            </w:r>
          </w:p>
        </w:tc>
        <w:tc>
          <w:tcPr>
            <w:tcW w:w="559" w:type="pct"/>
            <w:tcBorders>
              <w:top w:val="nil"/>
              <w:left w:val="nil"/>
              <w:bottom w:val="single" w:sz="8" w:space="0" w:color="4F81BD"/>
              <w:right w:val="single" w:sz="8" w:space="0" w:color="4F81BD"/>
            </w:tcBorders>
            <w:shd w:val="clear" w:color="auto" w:fill="auto"/>
            <w:noWrap/>
            <w:vAlign w:val="center"/>
            <w:hideMark/>
          </w:tcPr>
          <w:p w14:paraId="03B04760"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1CAED06B"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797E6897"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017F734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9</w:t>
            </w:r>
          </w:p>
        </w:tc>
        <w:tc>
          <w:tcPr>
            <w:tcW w:w="536" w:type="pct"/>
            <w:tcBorders>
              <w:top w:val="nil"/>
              <w:left w:val="nil"/>
              <w:bottom w:val="single" w:sz="8" w:space="0" w:color="4F81BD"/>
              <w:right w:val="single" w:sz="8" w:space="0" w:color="4F81BD"/>
            </w:tcBorders>
            <w:shd w:val="clear" w:color="auto" w:fill="auto"/>
            <w:noWrap/>
            <w:vAlign w:val="center"/>
            <w:hideMark/>
          </w:tcPr>
          <w:p w14:paraId="1175249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560A3DA7"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BAM</w:t>
            </w:r>
          </w:p>
        </w:tc>
      </w:tr>
      <w:tr w:rsidR="006B2D7D" w:rsidRPr="00BF51BB" w14:paraId="1125026F" w14:textId="77777777" w:rsidTr="00BF51BB">
        <w:trPr>
          <w:trHeight w:val="420"/>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38761384"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BAM_17</w:t>
            </w:r>
          </w:p>
        </w:tc>
        <w:tc>
          <w:tcPr>
            <w:tcW w:w="1028" w:type="pct"/>
            <w:tcBorders>
              <w:top w:val="nil"/>
              <w:left w:val="nil"/>
              <w:bottom w:val="single" w:sz="8" w:space="0" w:color="4F81BD"/>
              <w:right w:val="single" w:sz="8" w:space="0" w:color="4F81BD"/>
            </w:tcBorders>
            <w:shd w:val="clear" w:color="auto" w:fill="auto"/>
            <w:noWrap/>
            <w:vAlign w:val="center"/>
            <w:hideMark/>
          </w:tcPr>
          <w:p w14:paraId="24D78CB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15y T obveznica</w:t>
            </w:r>
          </w:p>
        </w:tc>
        <w:tc>
          <w:tcPr>
            <w:tcW w:w="559" w:type="pct"/>
            <w:tcBorders>
              <w:top w:val="nil"/>
              <w:left w:val="nil"/>
              <w:bottom w:val="single" w:sz="8" w:space="0" w:color="4F81BD"/>
              <w:right w:val="single" w:sz="8" w:space="0" w:color="4F81BD"/>
            </w:tcBorders>
            <w:shd w:val="clear" w:color="auto" w:fill="auto"/>
            <w:noWrap/>
            <w:vAlign w:val="center"/>
            <w:hideMark/>
          </w:tcPr>
          <w:p w14:paraId="7C3D1EB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FCF5593"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6012CA2F"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15</w:t>
            </w:r>
          </w:p>
        </w:tc>
        <w:tc>
          <w:tcPr>
            <w:tcW w:w="536" w:type="pct"/>
            <w:tcBorders>
              <w:top w:val="nil"/>
              <w:left w:val="nil"/>
              <w:bottom w:val="single" w:sz="8" w:space="0" w:color="4F81BD"/>
              <w:right w:val="single" w:sz="8" w:space="0" w:color="4F81BD"/>
            </w:tcBorders>
            <w:shd w:val="clear" w:color="auto" w:fill="auto"/>
            <w:noWrap/>
            <w:vAlign w:val="center"/>
            <w:hideMark/>
          </w:tcPr>
          <w:p w14:paraId="4BE3487D"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14</w:t>
            </w:r>
          </w:p>
        </w:tc>
        <w:tc>
          <w:tcPr>
            <w:tcW w:w="536" w:type="pct"/>
            <w:tcBorders>
              <w:top w:val="nil"/>
              <w:left w:val="nil"/>
              <w:bottom w:val="single" w:sz="8" w:space="0" w:color="4F81BD"/>
              <w:right w:val="single" w:sz="8" w:space="0" w:color="4F81BD"/>
            </w:tcBorders>
            <w:shd w:val="clear" w:color="auto" w:fill="auto"/>
            <w:noWrap/>
            <w:vAlign w:val="center"/>
            <w:hideMark/>
          </w:tcPr>
          <w:p w14:paraId="6960ADF6"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Domaća</w:t>
            </w:r>
          </w:p>
        </w:tc>
        <w:tc>
          <w:tcPr>
            <w:tcW w:w="536" w:type="pct"/>
            <w:tcBorders>
              <w:top w:val="nil"/>
              <w:left w:val="nil"/>
              <w:bottom w:val="single" w:sz="8" w:space="0" w:color="4F81BD"/>
              <w:right w:val="single" w:sz="8" w:space="0" w:color="4F81BD"/>
            </w:tcBorders>
            <w:shd w:val="clear" w:color="auto" w:fill="auto"/>
            <w:noWrap/>
            <w:vAlign w:val="center"/>
            <w:hideMark/>
          </w:tcPr>
          <w:p w14:paraId="3CFEAC4E"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BAM</w:t>
            </w:r>
          </w:p>
        </w:tc>
      </w:tr>
      <w:tr w:rsidR="006B2D7D" w:rsidRPr="00BF51BB" w14:paraId="72A3E09E"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53DB047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USD_8</w:t>
            </w:r>
          </w:p>
        </w:tc>
        <w:tc>
          <w:tcPr>
            <w:tcW w:w="1028" w:type="pct"/>
            <w:tcBorders>
              <w:top w:val="nil"/>
              <w:left w:val="nil"/>
              <w:bottom w:val="single" w:sz="8" w:space="0" w:color="4F81BD"/>
              <w:right w:val="single" w:sz="8" w:space="0" w:color="4F81BD"/>
            </w:tcBorders>
            <w:shd w:val="clear" w:color="auto" w:fill="auto"/>
            <w:noWrap/>
            <w:vAlign w:val="center"/>
            <w:hideMark/>
          </w:tcPr>
          <w:p w14:paraId="1447F0AD"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5y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26E8D858"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4DC063F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68C8A757"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5</w:t>
            </w:r>
          </w:p>
        </w:tc>
        <w:tc>
          <w:tcPr>
            <w:tcW w:w="536" w:type="pct"/>
            <w:tcBorders>
              <w:top w:val="nil"/>
              <w:left w:val="nil"/>
              <w:bottom w:val="single" w:sz="8" w:space="0" w:color="4F81BD"/>
              <w:right w:val="single" w:sz="8" w:space="0" w:color="4F81BD"/>
            </w:tcBorders>
            <w:shd w:val="clear" w:color="auto" w:fill="auto"/>
            <w:noWrap/>
            <w:vAlign w:val="center"/>
            <w:hideMark/>
          </w:tcPr>
          <w:p w14:paraId="74C8AAEA"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4</w:t>
            </w:r>
          </w:p>
        </w:tc>
        <w:tc>
          <w:tcPr>
            <w:tcW w:w="536" w:type="pct"/>
            <w:tcBorders>
              <w:top w:val="nil"/>
              <w:left w:val="nil"/>
              <w:bottom w:val="single" w:sz="8" w:space="0" w:color="4F81BD"/>
              <w:right w:val="single" w:sz="8" w:space="0" w:color="4F81BD"/>
            </w:tcBorders>
            <w:shd w:val="clear" w:color="auto" w:fill="auto"/>
            <w:noWrap/>
            <w:vAlign w:val="center"/>
            <w:hideMark/>
          </w:tcPr>
          <w:p w14:paraId="5151CBF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A09BCFC"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EUR</w:t>
            </w:r>
          </w:p>
        </w:tc>
      </w:tr>
      <w:tr w:rsidR="006B2D7D" w:rsidRPr="00BF51BB" w14:paraId="7ED64B50"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13ECFBC5"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USD_18</w:t>
            </w:r>
          </w:p>
        </w:tc>
        <w:tc>
          <w:tcPr>
            <w:tcW w:w="1028" w:type="pct"/>
            <w:tcBorders>
              <w:top w:val="nil"/>
              <w:left w:val="nil"/>
              <w:bottom w:val="single" w:sz="8" w:space="0" w:color="4F81BD"/>
              <w:right w:val="single" w:sz="8" w:space="0" w:color="4F81BD"/>
            </w:tcBorders>
            <w:shd w:val="clear" w:color="auto" w:fill="auto"/>
            <w:noWrap/>
            <w:vAlign w:val="center"/>
            <w:hideMark/>
          </w:tcPr>
          <w:p w14:paraId="05837D7A"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10Y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20715AAF"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37B0A93E"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0F5975CF"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10</w:t>
            </w:r>
          </w:p>
        </w:tc>
        <w:tc>
          <w:tcPr>
            <w:tcW w:w="536" w:type="pct"/>
            <w:tcBorders>
              <w:top w:val="nil"/>
              <w:left w:val="nil"/>
              <w:bottom w:val="single" w:sz="8" w:space="0" w:color="4F81BD"/>
              <w:right w:val="single" w:sz="8" w:space="0" w:color="4F81BD"/>
            </w:tcBorders>
            <w:shd w:val="clear" w:color="auto" w:fill="auto"/>
            <w:noWrap/>
            <w:vAlign w:val="center"/>
            <w:hideMark/>
          </w:tcPr>
          <w:p w14:paraId="76094835"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9</w:t>
            </w:r>
          </w:p>
        </w:tc>
        <w:tc>
          <w:tcPr>
            <w:tcW w:w="536" w:type="pct"/>
            <w:tcBorders>
              <w:top w:val="nil"/>
              <w:left w:val="nil"/>
              <w:bottom w:val="single" w:sz="8" w:space="0" w:color="4F81BD"/>
              <w:right w:val="single" w:sz="8" w:space="0" w:color="4F81BD"/>
            </w:tcBorders>
            <w:shd w:val="clear" w:color="auto" w:fill="auto"/>
            <w:noWrap/>
            <w:vAlign w:val="center"/>
            <w:hideMark/>
          </w:tcPr>
          <w:p w14:paraId="5D241A6E"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4D16CD7E"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EUR</w:t>
            </w:r>
          </w:p>
        </w:tc>
      </w:tr>
      <w:tr w:rsidR="006B2D7D" w:rsidRPr="00BF51BB" w14:paraId="30BDAE77" w14:textId="77777777" w:rsidTr="00BF51BB">
        <w:trPr>
          <w:trHeight w:val="315"/>
        </w:trPr>
        <w:tc>
          <w:tcPr>
            <w:tcW w:w="552" w:type="pct"/>
            <w:tcBorders>
              <w:top w:val="nil"/>
              <w:left w:val="single" w:sz="8" w:space="0" w:color="4F81BD"/>
              <w:bottom w:val="single" w:sz="8" w:space="0" w:color="4F81BD"/>
              <w:right w:val="single" w:sz="8" w:space="0" w:color="4F81BD"/>
            </w:tcBorders>
            <w:shd w:val="clear" w:color="auto" w:fill="auto"/>
            <w:noWrap/>
            <w:vAlign w:val="center"/>
            <w:hideMark/>
          </w:tcPr>
          <w:p w14:paraId="7E143585"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USD_19</w:t>
            </w:r>
          </w:p>
        </w:tc>
        <w:tc>
          <w:tcPr>
            <w:tcW w:w="1028" w:type="pct"/>
            <w:tcBorders>
              <w:top w:val="nil"/>
              <w:left w:val="nil"/>
              <w:bottom w:val="single" w:sz="8" w:space="0" w:color="4F81BD"/>
              <w:right w:val="single" w:sz="8" w:space="0" w:color="4F81BD"/>
            </w:tcBorders>
            <w:shd w:val="clear" w:color="auto" w:fill="auto"/>
            <w:noWrap/>
            <w:vAlign w:val="center"/>
            <w:hideMark/>
          </w:tcPr>
          <w:p w14:paraId="68561A16"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15Y Eurobond</w:t>
            </w:r>
          </w:p>
        </w:tc>
        <w:tc>
          <w:tcPr>
            <w:tcW w:w="559" w:type="pct"/>
            <w:tcBorders>
              <w:top w:val="nil"/>
              <w:left w:val="nil"/>
              <w:bottom w:val="single" w:sz="8" w:space="0" w:color="4F81BD"/>
              <w:right w:val="single" w:sz="8" w:space="0" w:color="4F81BD"/>
            </w:tcBorders>
            <w:shd w:val="clear" w:color="auto" w:fill="auto"/>
            <w:noWrap/>
            <w:vAlign w:val="center"/>
            <w:hideMark/>
          </w:tcPr>
          <w:p w14:paraId="4A33B80D"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Fiksni</w:t>
            </w:r>
          </w:p>
        </w:tc>
        <w:tc>
          <w:tcPr>
            <w:tcW w:w="715" w:type="pct"/>
            <w:tcBorders>
              <w:top w:val="nil"/>
              <w:left w:val="nil"/>
              <w:bottom w:val="single" w:sz="8" w:space="0" w:color="4F81BD"/>
              <w:right w:val="single" w:sz="8" w:space="0" w:color="4F81BD"/>
            </w:tcBorders>
            <w:shd w:val="clear" w:color="auto" w:fill="auto"/>
            <w:noWrap/>
            <w:vAlign w:val="center"/>
            <w:hideMark/>
          </w:tcPr>
          <w:p w14:paraId="3D28A071"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Tržni</w:t>
            </w:r>
          </w:p>
        </w:tc>
        <w:tc>
          <w:tcPr>
            <w:tcW w:w="536" w:type="pct"/>
            <w:tcBorders>
              <w:top w:val="nil"/>
              <w:left w:val="nil"/>
              <w:bottom w:val="single" w:sz="8" w:space="0" w:color="4F81BD"/>
              <w:right w:val="single" w:sz="8" w:space="0" w:color="4F81BD"/>
            </w:tcBorders>
            <w:shd w:val="clear" w:color="auto" w:fill="auto"/>
            <w:noWrap/>
            <w:vAlign w:val="center"/>
            <w:hideMark/>
          </w:tcPr>
          <w:p w14:paraId="5A9FE119"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15</w:t>
            </w:r>
          </w:p>
        </w:tc>
        <w:tc>
          <w:tcPr>
            <w:tcW w:w="536" w:type="pct"/>
            <w:tcBorders>
              <w:top w:val="nil"/>
              <w:left w:val="nil"/>
              <w:bottom w:val="single" w:sz="8" w:space="0" w:color="4F81BD"/>
              <w:right w:val="single" w:sz="8" w:space="0" w:color="4F81BD"/>
            </w:tcBorders>
            <w:shd w:val="clear" w:color="auto" w:fill="auto"/>
            <w:noWrap/>
            <w:vAlign w:val="center"/>
            <w:hideMark/>
          </w:tcPr>
          <w:p w14:paraId="428B51F3"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14</w:t>
            </w:r>
          </w:p>
        </w:tc>
        <w:tc>
          <w:tcPr>
            <w:tcW w:w="536" w:type="pct"/>
            <w:tcBorders>
              <w:top w:val="nil"/>
              <w:left w:val="nil"/>
              <w:bottom w:val="single" w:sz="8" w:space="0" w:color="4F81BD"/>
              <w:right w:val="single" w:sz="8" w:space="0" w:color="4F81BD"/>
            </w:tcBorders>
            <w:shd w:val="clear" w:color="auto" w:fill="auto"/>
            <w:noWrap/>
            <w:vAlign w:val="center"/>
            <w:hideMark/>
          </w:tcPr>
          <w:p w14:paraId="75D3B742"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Strana</w:t>
            </w:r>
          </w:p>
        </w:tc>
        <w:tc>
          <w:tcPr>
            <w:tcW w:w="536" w:type="pct"/>
            <w:tcBorders>
              <w:top w:val="nil"/>
              <w:left w:val="nil"/>
              <w:bottom w:val="single" w:sz="8" w:space="0" w:color="4F81BD"/>
              <w:right w:val="single" w:sz="8" w:space="0" w:color="4F81BD"/>
            </w:tcBorders>
            <w:shd w:val="clear" w:color="auto" w:fill="auto"/>
            <w:noWrap/>
            <w:vAlign w:val="center"/>
            <w:hideMark/>
          </w:tcPr>
          <w:p w14:paraId="562A52F7" w14:textId="77777777" w:rsidR="006B2D7D" w:rsidRPr="00BF51BB" w:rsidRDefault="006B2D7D" w:rsidP="006B2D7D">
            <w:pPr>
              <w:spacing w:after="0" w:line="240" w:lineRule="auto"/>
              <w:jc w:val="center"/>
              <w:rPr>
                <w:rFonts w:ascii="Arial Narrow" w:eastAsia="Times New Roman" w:hAnsi="Arial Narrow" w:cs="Calibri"/>
                <w:sz w:val="18"/>
                <w:szCs w:val="18"/>
              </w:rPr>
            </w:pPr>
            <w:r w:rsidRPr="00BF51BB">
              <w:rPr>
                <w:rFonts w:ascii="Arial Narrow" w:eastAsia="Times New Roman" w:hAnsi="Arial Narrow" w:cs="Calibri"/>
                <w:sz w:val="18"/>
                <w:szCs w:val="18"/>
              </w:rPr>
              <w:t>EUR</w:t>
            </w:r>
          </w:p>
        </w:tc>
      </w:tr>
    </w:tbl>
    <w:p w14:paraId="08B3C380" w14:textId="77777777" w:rsidR="00073673" w:rsidRPr="00BF51BB" w:rsidRDefault="00073673" w:rsidP="005B5F1A">
      <w:pPr>
        <w:spacing w:after="0" w:line="240" w:lineRule="auto"/>
        <w:jc w:val="both"/>
        <w:rPr>
          <w:rFonts w:ascii="Arial" w:hAnsi="Arial" w:cs="Arial"/>
          <w:szCs w:val="24"/>
        </w:rPr>
      </w:pPr>
    </w:p>
    <w:p w14:paraId="2841A955" w14:textId="77777777" w:rsidR="00ED768D" w:rsidRPr="00BF51BB" w:rsidRDefault="00ED768D" w:rsidP="005B5F1A">
      <w:pPr>
        <w:spacing w:after="0" w:line="240" w:lineRule="auto"/>
        <w:jc w:val="both"/>
        <w:rPr>
          <w:rFonts w:ascii="Arial" w:hAnsi="Arial" w:cs="Arial"/>
          <w:szCs w:val="24"/>
        </w:rPr>
      </w:pPr>
      <w:r w:rsidRPr="00BF51BB">
        <w:rPr>
          <w:rFonts w:ascii="Arial" w:hAnsi="Arial" w:cs="Arial"/>
          <w:szCs w:val="24"/>
        </w:rPr>
        <w:t>Tabela 1</w:t>
      </w:r>
      <w:r w:rsidR="005A0B60" w:rsidRPr="00BF51BB">
        <w:rPr>
          <w:rFonts w:ascii="Arial" w:hAnsi="Arial" w:cs="Arial"/>
          <w:szCs w:val="24"/>
        </w:rPr>
        <w:t>4</w:t>
      </w:r>
      <w:r w:rsidRPr="00BF51BB">
        <w:rPr>
          <w:rFonts w:ascii="Arial" w:hAnsi="Arial" w:cs="Arial"/>
          <w:szCs w:val="24"/>
        </w:rPr>
        <w:t xml:space="preserve">. </w:t>
      </w:r>
      <w:r w:rsidR="00EF6273" w:rsidRPr="00BF51BB">
        <w:rPr>
          <w:rFonts w:ascii="Arial" w:hAnsi="Arial" w:cs="Arial"/>
          <w:szCs w:val="24"/>
        </w:rPr>
        <w:t>Poređenje</w:t>
      </w:r>
      <w:r w:rsidRPr="00BF51BB">
        <w:rPr>
          <w:rFonts w:ascii="Arial" w:hAnsi="Arial" w:cs="Arial"/>
          <w:szCs w:val="24"/>
        </w:rPr>
        <w:t xml:space="preserve"> trenutnih indikatora rizika portfolija</w:t>
      </w:r>
      <w:r w:rsidR="00B44EE9" w:rsidRPr="00BF51BB">
        <w:rPr>
          <w:rFonts w:ascii="Arial" w:hAnsi="Arial" w:cs="Arial"/>
          <w:szCs w:val="24"/>
        </w:rPr>
        <w:t xml:space="preserve"> duga</w:t>
      </w:r>
      <w:r w:rsidRPr="00BF51BB">
        <w:rPr>
          <w:rFonts w:ascii="Arial" w:hAnsi="Arial" w:cs="Arial"/>
          <w:szCs w:val="24"/>
        </w:rPr>
        <w:t xml:space="preserve"> i rizika izabrane strategije</w:t>
      </w:r>
    </w:p>
    <w:p w14:paraId="735FB11B" w14:textId="77777777" w:rsidR="00073673" w:rsidRPr="00BF51BB" w:rsidRDefault="00073673" w:rsidP="005B5F1A">
      <w:pPr>
        <w:spacing w:after="0" w:line="240" w:lineRule="auto"/>
        <w:jc w:val="both"/>
        <w:rPr>
          <w:rFonts w:ascii="Arial" w:hAnsi="Arial" w:cs="Arial"/>
          <w:szCs w:val="24"/>
        </w:rPr>
      </w:pPr>
    </w:p>
    <w:tbl>
      <w:tblPr>
        <w:tblW w:w="0" w:type="auto"/>
        <w:tblInd w:w="-10" w:type="dxa"/>
        <w:tblLook w:val="04A0" w:firstRow="1" w:lastRow="0" w:firstColumn="1" w:lastColumn="0" w:noHBand="0" w:noVBand="1"/>
      </w:tblPr>
      <w:tblGrid>
        <w:gridCol w:w="1740"/>
        <w:gridCol w:w="3817"/>
        <w:gridCol w:w="1260"/>
        <w:gridCol w:w="1260"/>
        <w:gridCol w:w="1256"/>
      </w:tblGrid>
      <w:tr w:rsidR="00692BDF" w:rsidRPr="00BF51BB" w14:paraId="01E4A3B0" w14:textId="77777777" w:rsidTr="00BF51BB">
        <w:trPr>
          <w:trHeight w:val="360"/>
        </w:trPr>
        <w:tc>
          <w:tcPr>
            <w:tcW w:w="0" w:type="auto"/>
            <w:gridSpan w:val="2"/>
            <w:vMerge w:val="restart"/>
            <w:tcBorders>
              <w:top w:val="single" w:sz="4" w:space="0" w:color="4F81BD" w:themeColor="accent1"/>
              <w:left w:val="single" w:sz="4" w:space="0" w:color="4F81BD" w:themeColor="accent1"/>
              <w:bottom w:val="single" w:sz="8" w:space="0" w:color="95B3D7"/>
              <w:right w:val="single" w:sz="4" w:space="0" w:color="4F81BD" w:themeColor="accent1"/>
            </w:tcBorders>
            <w:shd w:val="clear" w:color="auto" w:fill="auto"/>
            <w:noWrap/>
            <w:vAlign w:val="center"/>
            <w:hideMark/>
          </w:tcPr>
          <w:p w14:paraId="2E5154B6"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Indikatori rizika</w:t>
            </w:r>
          </w:p>
        </w:tc>
        <w:tc>
          <w:tcPr>
            <w:tcW w:w="0" w:type="auto"/>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012BA1A3"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Portfolio duga</w:t>
            </w:r>
          </w:p>
        </w:tc>
      </w:tr>
      <w:tr w:rsidR="00692BDF" w:rsidRPr="00BF51BB" w14:paraId="74072604" w14:textId="77777777" w:rsidTr="00BF51BB">
        <w:trPr>
          <w:trHeight w:val="660"/>
        </w:trPr>
        <w:tc>
          <w:tcPr>
            <w:tcW w:w="0" w:type="auto"/>
            <w:gridSpan w:val="2"/>
            <w:vMerge/>
            <w:tcBorders>
              <w:top w:val="single" w:sz="8" w:space="0" w:color="C6D9F1"/>
              <w:left w:val="single" w:sz="4" w:space="0" w:color="4F81BD" w:themeColor="accent1"/>
              <w:bottom w:val="single" w:sz="8" w:space="0" w:color="95B3D7"/>
              <w:right w:val="single" w:sz="4" w:space="0" w:color="4F81BD" w:themeColor="accent1"/>
            </w:tcBorders>
            <w:vAlign w:val="center"/>
            <w:hideMark/>
          </w:tcPr>
          <w:p w14:paraId="3B6856A1" w14:textId="77777777" w:rsidR="00692BDF" w:rsidRPr="00BF51BB" w:rsidRDefault="00692BDF" w:rsidP="00692BDF">
            <w:pPr>
              <w:spacing w:after="0" w:line="240" w:lineRule="auto"/>
              <w:rPr>
                <w:rFonts w:ascii="Arial Narrow" w:eastAsia="Times New Roman" w:hAnsi="Arial Narrow" w:cs="Calibri"/>
                <w:color w:val="000000"/>
              </w:rPr>
            </w:pPr>
          </w:p>
        </w:tc>
        <w:tc>
          <w:tcPr>
            <w:tcW w:w="0" w:type="auto"/>
            <w:vMerge w:val="restart"/>
            <w:tcBorders>
              <w:top w:val="single" w:sz="4" w:space="0" w:color="4F81BD" w:themeColor="accent1"/>
              <w:left w:val="single" w:sz="4" w:space="0" w:color="4F81BD" w:themeColor="accent1"/>
              <w:bottom w:val="single" w:sz="8" w:space="0" w:color="95B3D7"/>
              <w:right w:val="single" w:sz="4" w:space="0" w:color="4F81BD" w:themeColor="accent1"/>
            </w:tcBorders>
            <w:shd w:val="clear" w:color="auto" w:fill="auto"/>
            <w:noWrap/>
            <w:vAlign w:val="center"/>
            <w:hideMark/>
          </w:tcPr>
          <w:p w14:paraId="2CD02C9A"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2020. godina</w:t>
            </w:r>
          </w:p>
        </w:tc>
        <w:tc>
          <w:tcPr>
            <w:tcW w:w="0" w:type="auto"/>
            <w:vMerge w:val="restart"/>
            <w:tcBorders>
              <w:top w:val="single" w:sz="4" w:space="0" w:color="4F81BD" w:themeColor="accent1"/>
              <w:left w:val="single" w:sz="4" w:space="0" w:color="4F81BD" w:themeColor="accent1"/>
              <w:bottom w:val="single" w:sz="8" w:space="0" w:color="95B3D7"/>
              <w:right w:val="single" w:sz="4" w:space="0" w:color="4F81BD" w:themeColor="accent1"/>
            </w:tcBorders>
            <w:shd w:val="clear" w:color="auto" w:fill="auto"/>
            <w:noWrap/>
            <w:vAlign w:val="center"/>
            <w:hideMark/>
          </w:tcPr>
          <w:p w14:paraId="494BCD76"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2021. godina</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7C160693"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Izabrana strategija</w:t>
            </w:r>
          </w:p>
        </w:tc>
      </w:tr>
      <w:tr w:rsidR="00692BDF" w:rsidRPr="00BF51BB" w14:paraId="1497349C" w14:textId="77777777" w:rsidTr="00BF51BB">
        <w:trPr>
          <w:trHeight w:val="675"/>
        </w:trPr>
        <w:tc>
          <w:tcPr>
            <w:tcW w:w="0" w:type="auto"/>
            <w:gridSpan w:val="2"/>
            <w:vMerge/>
            <w:tcBorders>
              <w:top w:val="single" w:sz="8" w:space="0" w:color="C6D9F1"/>
              <w:left w:val="single" w:sz="4" w:space="0" w:color="4F81BD" w:themeColor="accent1"/>
              <w:bottom w:val="single" w:sz="4" w:space="0" w:color="4F81BD" w:themeColor="accent1"/>
              <w:right w:val="single" w:sz="4" w:space="0" w:color="4F81BD" w:themeColor="accent1"/>
            </w:tcBorders>
            <w:vAlign w:val="center"/>
            <w:hideMark/>
          </w:tcPr>
          <w:p w14:paraId="514A67F4" w14:textId="77777777" w:rsidR="00692BDF" w:rsidRPr="00BF51BB" w:rsidRDefault="00692BDF" w:rsidP="00692BDF">
            <w:pPr>
              <w:spacing w:after="0" w:line="240" w:lineRule="auto"/>
              <w:rPr>
                <w:rFonts w:ascii="Arial Narrow" w:eastAsia="Times New Roman" w:hAnsi="Arial Narrow" w:cs="Calibri"/>
                <w:color w:val="000000"/>
              </w:rPr>
            </w:pPr>
          </w:p>
        </w:tc>
        <w:tc>
          <w:tcPr>
            <w:tcW w:w="0" w:type="auto"/>
            <w:vMerge/>
            <w:tcBorders>
              <w:top w:val="nil"/>
              <w:left w:val="single" w:sz="4" w:space="0" w:color="4F81BD" w:themeColor="accent1"/>
              <w:bottom w:val="single" w:sz="4" w:space="0" w:color="4F81BD" w:themeColor="accent1"/>
              <w:right w:val="single" w:sz="4" w:space="0" w:color="4F81BD" w:themeColor="accent1"/>
            </w:tcBorders>
            <w:vAlign w:val="center"/>
            <w:hideMark/>
          </w:tcPr>
          <w:p w14:paraId="2E82E943" w14:textId="77777777" w:rsidR="00692BDF" w:rsidRPr="00BF51BB" w:rsidRDefault="00692BDF" w:rsidP="00692BDF">
            <w:pPr>
              <w:spacing w:after="0" w:line="240" w:lineRule="auto"/>
              <w:rPr>
                <w:rFonts w:ascii="Arial Narrow" w:eastAsia="Times New Roman" w:hAnsi="Arial Narrow" w:cs="Calibri"/>
                <w:color w:val="000000"/>
              </w:rPr>
            </w:pPr>
          </w:p>
        </w:tc>
        <w:tc>
          <w:tcPr>
            <w:tcW w:w="0" w:type="auto"/>
            <w:vMerge/>
            <w:tcBorders>
              <w:top w:val="nil"/>
              <w:left w:val="single" w:sz="4" w:space="0" w:color="4F81BD" w:themeColor="accent1"/>
              <w:bottom w:val="single" w:sz="4" w:space="0" w:color="4F81BD" w:themeColor="accent1"/>
              <w:right w:val="single" w:sz="4" w:space="0" w:color="4F81BD" w:themeColor="accent1"/>
            </w:tcBorders>
            <w:vAlign w:val="center"/>
            <w:hideMark/>
          </w:tcPr>
          <w:p w14:paraId="6F3B7F36" w14:textId="77777777" w:rsidR="00692BDF" w:rsidRPr="00BF51BB" w:rsidRDefault="00692BDF" w:rsidP="00692BDF">
            <w:pPr>
              <w:spacing w:after="0" w:line="240" w:lineRule="auto"/>
              <w:rPr>
                <w:rFonts w:ascii="Arial Narrow" w:eastAsia="Times New Roman" w:hAnsi="Arial Narrow" w:cs="Calibri"/>
                <w:color w:val="000000"/>
              </w:rPr>
            </w:pP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588C2C95"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kraj 2024. godine</w:t>
            </w:r>
          </w:p>
        </w:tc>
      </w:tr>
      <w:tr w:rsidR="00692BDF" w:rsidRPr="00BF51BB" w14:paraId="176ECC0F" w14:textId="77777777" w:rsidTr="00BF51BB">
        <w:trPr>
          <w:trHeight w:val="330"/>
        </w:trPr>
        <w:tc>
          <w:tcPr>
            <w:tcW w:w="0" w:type="auto"/>
            <w:gridSpan w:val="2"/>
            <w:tcBorders>
              <w:top w:val="single" w:sz="4" w:space="0" w:color="4F81BD" w:themeColor="accent1"/>
              <w:left w:val="single" w:sz="4" w:space="0" w:color="4F81BD" w:themeColor="accent1"/>
              <w:bottom w:val="nil"/>
              <w:right w:val="single" w:sz="4" w:space="0" w:color="4F81BD" w:themeColor="accent1"/>
            </w:tcBorders>
            <w:shd w:val="clear" w:color="auto" w:fill="auto"/>
            <w:noWrap/>
            <w:vAlign w:val="center"/>
            <w:hideMark/>
          </w:tcPr>
          <w:p w14:paraId="07CA0E68" w14:textId="77777777"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Nominalni dug (%  BDP-a)</w:t>
            </w:r>
          </w:p>
        </w:tc>
        <w:tc>
          <w:tcPr>
            <w:tcW w:w="0" w:type="auto"/>
            <w:tcBorders>
              <w:top w:val="single" w:sz="4" w:space="0" w:color="4F81BD" w:themeColor="accent1"/>
              <w:left w:val="single" w:sz="4" w:space="0" w:color="4F81BD" w:themeColor="accent1"/>
              <w:bottom w:val="nil"/>
              <w:right w:val="nil"/>
            </w:tcBorders>
            <w:shd w:val="clear" w:color="auto" w:fill="auto"/>
            <w:vAlign w:val="center"/>
            <w:hideMark/>
          </w:tcPr>
          <w:p w14:paraId="6D975510"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26,4</w:t>
            </w:r>
          </w:p>
        </w:tc>
        <w:tc>
          <w:tcPr>
            <w:tcW w:w="0" w:type="auto"/>
            <w:tcBorders>
              <w:top w:val="single" w:sz="4" w:space="0" w:color="4F81BD" w:themeColor="accent1"/>
              <w:left w:val="nil"/>
              <w:bottom w:val="nil"/>
              <w:right w:val="nil"/>
            </w:tcBorders>
            <w:shd w:val="clear" w:color="auto" w:fill="auto"/>
            <w:noWrap/>
            <w:vAlign w:val="center"/>
            <w:hideMark/>
          </w:tcPr>
          <w:p w14:paraId="61A74A3C"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26,8</w:t>
            </w:r>
          </w:p>
        </w:tc>
        <w:tc>
          <w:tcPr>
            <w:tcW w:w="0" w:type="auto"/>
            <w:tcBorders>
              <w:top w:val="single" w:sz="4" w:space="0" w:color="4F81BD" w:themeColor="accent1"/>
              <w:left w:val="nil"/>
              <w:bottom w:val="nil"/>
              <w:right w:val="single" w:sz="4" w:space="0" w:color="4F81BD" w:themeColor="accent1"/>
            </w:tcBorders>
            <w:shd w:val="clear" w:color="auto" w:fill="auto"/>
            <w:vAlign w:val="center"/>
            <w:hideMark/>
          </w:tcPr>
          <w:p w14:paraId="69D7D0B6" w14:textId="5C2A4DFE" w:rsidR="007F00B5" w:rsidRPr="00BF51BB" w:rsidRDefault="007F00B5">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24,5</w:t>
            </w:r>
          </w:p>
        </w:tc>
      </w:tr>
      <w:tr w:rsidR="00692BDF" w:rsidRPr="00BF51BB" w14:paraId="335EC8BD" w14:textId="77777777" w:rsidTr="00BF51BB">
        <w:trPr>
          <w:trHeight w:val="330"/>
        </w:trPr>
        <w:tc>
          <w:tcPr>
            <w:tcW w:w="0" w:type="auto"/>
            <w:gridSpan w:val="2"/>
            <w:tcBorders>
              <w:top w:val="nil"/>
              <w:left w:val="single" w:sz="4" w:space="0" w:color="4F81BD" w:themeColor="accent1"/>
              <w:bottom w:val="nil"/>
              <w:right w:val="single" w:sz="4" w:space="0" w:color="4F81BD" w:themeColor="accent1"/>
            </w:tcBorders>
            <w:shd w:val="clear" w:color="auto" w:fill="auto"/>
            <w:noWrap/>
            <w:vAlign w:val="center"/>
            <w:hideMark/>
          </w:tcPr>
          <w:p w14:paraId="10970B2F" w14:textId="5D13D048"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Sadašnja vrijednost (% BDP-a)</w:t>
            </w:r>
          </w:p>
        </w:tc>
        <w:tc>
          <w:tcPr>
            <w:tcW w:w="0" w:type="auto"/>
            <w:tcBorders>
              <w:top w:val="nil"/>
              <w:left w:val="single" w:sz="4" w:space="0" w:color="4F81BD" w:themeColor="accent1"/>
              <w:bottom w:val="nil"/>
              <w:right w:val="nil"/>
            </w:tcBorders>
            <w:shd w:val="clear" w:color="auto" w:fill="auto"/>
            <w:vAlign w:val="center"/>
            <w:hideMark/>
          </w:tcPr>
          <w:p w14:paraId="0D94B23D"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22,7</w:t>
            </w:r>
          </w:p>
        </w:tc>
        <w:tc>
          <w:tcPr>
            <w:tcW w:w="0" w:type="auto"/>
            <w:tcBorders>
              <w:top w:val="nil"/>
              <w:left w:val="nil"/>
              <w:bottom w:val="nil"/>
              <w:right w:val="nil"/>
            </w:tcBorders>
            <w:shd w:val="clear" w:color="auto" w:fill="auto"/>
            <w:noWrap/>
            <w:vAlign w:val="center"/>
            <w:hideMark/>
          </w:tcPr>
          <w:p w14:paraId="1C868F6D"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22,4</w:t>
            </w:r>
          </w:p>
        </w:tc>
        <w:tc>
          <w:tcPr>
            <w:tcW w:w="0" w:type="auto"/>
            <w:tcBorders>
              <w:top w:val="nil"/>
              <w:left w:val="nil"/>
              <w:bottom w:val="nil"/>
              <w:right w:val="single" w:sz="4" w:space="0" w:color="4F81BD" w:themeColor="accent1"/>
            </w:tcBorders>
            <w:shd w:val="clear" w:color="auto" w:fill="auto"/>
            <w:vAlign w:val="center"/>
            <w:hideMark/>
          </w:tcPr>
          <w:p w14:paraId="71390417" w14:textId="7EFE855B" w:rsidR="00692BDF" w:rsidRPr="00BF51BB" w:rsidRDefault="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20,</w:t>
            </w:r>
            <w:r w:rsidR="007F00B5" w:rsidRPr="00BF51BB">
              <w:rPr>
                <w:rFonts w:ascii="Arial Narrow" w:eastAsia="Times New Roman" w:hAnsi="Arial Narrow" w:cs="Calibri"/>
                <w:color w:val="000000"/>
              </w:rPr>
              <w:t>4</w:t>
            </w:r>
          </w:p>
        </w:tc>
      </w:tr>
      <w:tr w:rsidR="00692BDF" w:rsidRPr="00BF51BB" w14:paraId="195F3E00" w14:textId="77777777" w:rsidTr="00BF51BB">
        <w:trPr>
          <w:trHeight w:val="345"/>
        </w:trPr>
        <w:tc>
          <w:tcPr>
            <w:tcW w:w="0" w:type="auto"/>
            <w:gridSpan w:val="2"/>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5647C12B" w14:textId="77777777"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Ponderisana prosječna kamata (%)</w:t>
            </w:r>
          </w:p>
        </w:tc>
        <w:tc>
          <w:tcPr>
            <w:tcW w:w="0" w:type="auto"/>
            <w:tcBorders>
              <w:top w:val="nil"/>
              <w:left w:val="single" w:sz="4" w:space="0" w:color="4F81BD" w:themeColor="accent1"/>
              <w:bottom w:val="single" w:sz="4" w:space="0" w:color="4F81BD" w:themeColor="accent1"/>
              <w:right w:val="nil"/>
            </w:tcBorders>
            <w:shd w:val="clear" w:color="auto" w:fill="auto"/>
            <w:vAlign w:val="center"/>
            <w:hideMark/>
          </w:tcPr>
          <w:p w14:paraId="19CA658A"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1,5</w:t>
            </w:r>
          </w:p>
        </w:tc>
        <w:tc>
          <w:tcPr>
            <w:tcW w:w="0" w:type="auto"/>
            <w:tcBorders>
              <w:top w:val="nil"/>
              <w:left w:val="nil"/>
              <w:bottom w:val="single" w:sz="4" w:space="0" w:color="4F81BD" w:themeColor="accent1"/>
              <w:right w:val="nil"/>
            </w:tcBorders>
            <w:shd w:val="clear" w:color="auto" w:fill="auto"/>
            <w:noWrap/>
            <w:vAlign w:val="center"/>
            <w:hideMark/>
          </w:tcPr>
          <w:p w14:paraId="04A62D96" w14:textId="458B3088" w:rsidR="00692BDF" w:rsidRPr="00BF51BB" w:rsidRDefault="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1,</w:t>
            </w:r>
            <w:r w:rsidR="007F00B5" w:rsidRPr="00BF51BB">
              <w:rPr>
                <w:rFonts w:ascii="Arial Narrow" w:eastAsia="Times New Roman" w:hAnsi="Arial Narrow" w:cs="Calibri"/>
                <w:color w:val="000000"/>
              </w:rPr>
              <w:t>3</w:t>
            </w:r>
          </w:p>
        </w:tc>
        <w:tc>
          <w:tcPr>
            <w:tcW w:w="0" w:type="auto"/>
            <w:tcBorders>
              <w:top w:val="nil"/>
              <w:left w:val="nil"/>
              <w:bottom w:val="single" w:sz="4" w:space="0" w:color="4F81BD" w:themeColor="accent1"/>
              <w:right w:val="single" w:sz="4" w:space="0" w:color="4F81BD" w:themeColor="accent1"/>
            </w:tcBorders>
            <w:shd w:val="clear" w:color="auto" w:fill="auto"/>
            <w:vAlign w:val="center"/>
            <w:hideMark/>
          </w:tcPr>
          <w:p w14:paraId="762F8DC9" w14:textId="2EF47E24" w:rsidR="00692BDF" w:rsidRPr="00BF51BB" w:rsidRDefault="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1,</w:t>
            </w:r>
            <w:r w:rsidR="0056624E" w:rsidRPr="00BF51BB">
              <w:rPr>
                <w:rFonts w:ascii="Arial Narrow" w:eastAsia="Times New Roman" w:hAnsi="Arial Narrow" w:cs="Calibri"/>
                <w:color w:val="000000"/>
              </w:rPr>
              <w:t>5</w:t>
            </w:r>
          </w:p>
        </w:tc>
      </w:tr>
      <w:tr w:rsidR="00692BDF" w:rsidRPr="00BF51BB" w14:paraId="617582A8" w14:textId="77777777" w:rsidTr="00BF51BB">
        <w:trPr>
          <w:trHeight w:val="330"/>
        </w:trPr>
        <w:tc>
          <w:tcPr>
            <w:tcW w:w="0" w:type="auto"/>
            <w:vMerge w:val="restart"/>
            <w:tcBorders>
              <w:top w:val="single" w:sz="4" w:space="0" w:color="4F81BD" w:themeColor="accent1"/>
              <w:left w:val="single" w:sz="4" w:space="0" w:color="4F81BD" w:themeColor="accent1"/>
              <w:bottom w:val="single" w:sz="8" w:space="0" w:color="95B3D7"/>
              <w:right w:val="single" w:sz="4" w:space="0" w:color="4F81BD" w:themeColor="accent1"/>
            </w:tcBorders>
            <w:shd w:val="clear" w:color="auto" w:fill="auto"/>
            <w:noWrap/>
            <w:vAlign w:val="center"/>
            <w:hideMark/>
          </w:tcPr>
          <w:p w14:paraId="75DA41B7"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Rizik refinansiranja</w:t>
            </w:r>
          </w:p>
        </w:tc>
        <w:tc>
          <w:tcPr>
            <w:tcW w:w="0" w:type="auto"/>
            <w:tcBorders>
              <w:top w:val="single" w:sz="4" w:space="0" w:color="4F81BD" w:themeColor="accent1"/>
              <w:left w:val="single" w:sz="4" w:space="0" w:color="4F81BD" w:themeColor="accent1"/>
              <w:bottom w:val="nil"/>
              <w:right w:val="single" w:sz="4" w:space="0" w:color="4F81BD" w:themeColor="accent1"/>
            </w:tcBorders>
            <w:shd w:val="clear" w:color="auto" w:fill="auto"/>
            <w:noWrap/>
            <w:vAlign w:val="center"/>
            <w:hideMark/>
          </w:tcPr>
          <w:p w14:paraId="511800C4" w14:textId="77777777"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ATM Vanjski dug (godine)</w:t>
            </w:r>
          </w:p>
        </w:tc>
        <w:tc>
          <w:tcPr>
            <w:tcW w:w="0" w:type="auto"/>
            <w:tcBorders>
              <w:top w:val="single" w:sz="4" w:space="0" w:color="4F81BD" w:themeColor="accent1"/>
              <w:left w:val="single" w:sz="4" w:space="0" w:color="4F81BD" w:themeColor="accent1"/>
              <w:bottom w:val="nil"/>
              <w:right w:val="nil"/>
            </w:tcBorders>
            <w:shd w:val="clear" w:color="auto" w:fill="auto"/>
            <w:vAlign w:val="center"/>
            <w:hideMark/>
          </w:tcPr>
          <w:p w14:paraId="20E23FA3"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Arial"/>
                <w:color w:val="000000"/>
              </w:rPr>
              <w:t>6,2</w:t>
            </w:r>
          </w:p>
        </w:tc>
        <w:tc>
          <w:tcPr>
            <w:tcW w:w="0" w:type="auto"/>
            <w:tcBorders>
              <w:top w:val="single" w:sz="4" w:space="0" w:color="4F81BD" w:themeColor="accent1"/>
              <w:left w:val="nil"/>
              <w:bottom w:val="nil"/>
              <w:right w:val="nil"/>
            </w:tcBorders>
            <w:shd w:val="clear" w:color="auto" w:fill="auto"/>
            <w:noWrap/>
            <w:vAlign w:val="center"/>
            <w:hideMark/>
          </w:tcPr>
          <w:p w14:paraId="22B0214A"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6,6</w:t>
            </w:r>
          </w:p>
        </w:tc>
        <w:tc>
          <w:tcPr>
            <w:tcW w:w="0" w:type="auto"/>
            <w:tcBorders>
              <w:top w:val="single" w:sz="4" w:space="0" w:color="4F81BD" w:themeColor="accent1"/>
              <w:left w:val="nil"/>
              <w:bottom w:val="nil"/>
              <w:right w:val="single" w:sz="4" w:space="0" w:color="4F81BD" w:themeColor="accent1"/>
            </w:tcBorders>
            <w:shd w:val="clear" w:color="auto" w:fill="auto"/>
            <w:vAlign w:val="center"/>
            <w:hideMark/>
          </w:tcPr>
          <w:p w14:paraId="59F9DBE3" w14:textId="1B0D2B27" w:rsidR="00692BDF" w:rsidRPr="00BF51BB" w:rsidRDefault="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7,</w:t>
            </w:r>
            <w:r w:rsidR="007F00B5" w:rsidRPr="00BF51BB">
              <w:rPr>
                <w:rFonts w:ascii="Arial Narrow" w:eastAsia="Times New Roman" w:hAnsi="Arial Narrow" w:cs="Calibri"/>
                <w:color w:val="000000"/>
              </w:rPr>
              <w:t>6</w:t>
            </w:r>
          </w:p>
        </w:tc>
      </w:tr>
      <w:tr w:rsidR="00692BDF" w:rsidRPr="00BF51BB" w14:paraId="1752A15E" w14:textId="77777777" w:rsidTr="00BF51BB">
        <w:trPr>
          <w:trHeight w:val="330"/>
        </w:trPr>
        <w:tc>
          <w:tcPr>
            <w:tcW w:w="0" w:type="auto"/>
            <w:vMerge/>
            <w:tcBorders>
              <w:top w:val="nil"/>
              <w:left w:val="single" w:sz="4" w:space="0" w:color="4F81BD" w:themeColor="accent1"/>
              <w:bottom w:val="single" w:sz="8" w:space="0" w:color="95B3D7"/>
              <w:right w:val="single" w:sz="4" w:space="0" w:color="4F81BD" w:themeColor="accent1"/>
            </w:tcBorders>
            <w:vAlign w:val="center"/>
            <w:hideMark/>
          </w:tcPr>
          <w:p w14:paraId="74225626" w14:textId="77777777" w:rsidR="00692BDF" w:rsidRPr="00BF51BB" w:rsidRDefault="00692BDF" w:rsidP="00692BDF">
            <w:pPr>
              <w:spacing w:after="0" w:line="240" w:lineRule="auto"/>
              <w:rPr>
                <w:rFonts w:ascii="Arial Narrow" w:eastAsia="Times New Roman" w:hAnsi="Arial Narrow" w:cs="Calibri"/>
                <w:color w:val="000000"/>
              </w:rPr>
            </w:pPr>
          </w:p>
        </w:tc>
        <w:tc>
          <w:tcPr>
            <w:tcW w:w="0" w:type="auto"/>
            <w:tcBorders>
              <w:top w:val="nil"/>
              <w:left w:val="single" w:sz="4" w:space="0" w:color="4F81BD" w:themeColor="accent1"/>
              <w:bottom w:val="nil"/>
              <w:right w:val="single" w:sz="4" w:space="0" w:color="4F81BD" w:themeColor="accent1"/>
            </w:tcBorders>
            <w:shd w:val="clear" w:color="auto" w:fill="auto"/>
            <w:noWrap/>
            <w:vAlign w:val="center"/>
            <w:hideMark/>
          </w:tcPr>
          <w:p w14:paraId="644FD7F4" w14:textId="77777777"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ATM Unutrašnji dug (godine)</w:t>
            </w:r>
          </w:p>
        </w:tc>
        <w:tc>
          <w:tcPr>
            <w:tcW w:w="0" w:type="auto"/>
            <w:tcBorders>
              <w:top w:val="nil"/>
              <w:left w:val="single" w:sz="4" w:space="0" w:color="4F81BD" w:themeColor="accent1"/>
              <w:bottom w:val="nil"/>
              <w:right w:val="nil"/>
            </w:tcBorders>
            <w:shd w:val="clear" w:color="auto" w:fill="auto"/>
            <w:vAlign w:val="center"/>
            <w:hideMark/>
          </w:tcPr>
          <w:p w14:paraId="661C980F"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Arial"/>
                <w:color w:val="000000"/>
              </w:rPr>
              <w:t>3,3</w:t>
            </w:r>
          </w:p>
        </w:tc>
        <w:tc>
          <w:tcPr>
            <w:tcW w:w="0" w:type="auto"/>
            <w:tcBorders>
              <w:top w:val="nil"/>
              <w:left w:val="nil"/>
              <w:bottom w:val="nil"/>
              <w:right w:val="nil"/>
            </w:tcBorders>
            <w:shd w:val="clear" w:color="auto" w:fill="auto"/>
            <w:noWrap/>
            <w:vAlign w:val="center"/>
            <w:hideMark/>
          </w:tcPr>
          <w:p w14:paraId="72027148"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3,6</w:t>
            </w:r>
          </w:p>
        </w:tc>
        <w:tc>
          <w:tcPr>
            <w:tcW w:w="0" w:type="auto"/>
            <w:tcBorders>
              <w:top w:val="nil"/>
              <w:left w:val="nil"/>
              <w:bottom w:val="nil"/>
              <w:right w:val="single" w:sz="4" w:space="0" w:color="4F81BD" w:themeColor="accent1"/>
            </w:tcBorders>
            <w:shd w:val="clear" w:color="auto" w:fill="auto"/>
            <w:vAlign w:val="center"/>
            <w:hideMark/>
          </w:tcPr>
          <w:p w14:paraId="62C0BE55" w14:textId="678C0C9D" w:rsidR="00692BDF" w:rsidRPr="00BF51BB" w:rsidRDefault="007F00B5"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2,7</w:t>
            </w:r>
          </w:p>
        </w:tc>
      </w:tr>
      <w:tr w:rsidR="00692BDF" w:rsidRPr="00BF51BB" w14:paraId="6CDB3FA9" w14:textId="77777777" w:rsidTr="00BF51BB">
        <w:trPr>
          <w:trHeight w:val="345"/>
        </w:trPr>
        <w:tc>
          <w:tcPr>
            <w:tcW w:w="0" w:type="auto"/>
            <w:vMerge/>
            <w:tcBorders>
              <w:top w:val="nil"/>
              <w:left w:val="single" w:sz="4" w:space="0" w:color="4F81BD" w:themeColor="accent1"/>
              <w:bottom w:val="single" w:sz="4" w:space="0" w:color="4F81BD" w:themeColor="accent1"/>
              <w:right w:val="single" w:sz="4" w:space="0" w:color="4F81BD" w:themeColor="accent1"/>
            </w:tcBorders>
            <w:vAlign w:val="center"/>
            <w:hideMark/>
          </w:tcPr>
          <w:p w14:paraId="5805487F" w14:textId="77777777" w:rsidR="00692BDF" w:rsidRPr="00BF51BB" w:rsidRDefault="00692BDF" w:rsidP="00692BDF">
            <w:pPr>
              <w:spacing w:after="0" w:line="240" w:lineRule="auto"/>
              <w:rPr>
                <w:rFonts w:ascii="Arial Narrow" w:eastAsia="Times New Roman" w:hAnsi="Arial Narrow" w:cs="Calibri"/>
                <w:color w:val="000000"/>
              </w:rPr>
            </w:pPr>
          </w:p>
        </w:tc>
        <w:tc>
          <w:tcPr>
            <w:tcW w:w="0" w:type="auto"/>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5DBB1690" w14:textId="77777777"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ATM Ukupni dug (godine)</w:t>
            </w:r>
          </w:p>
        </w:tc>
        <w:tc>
          <w:tcPr>
            <w:tcW w:w="0" w:type="auto"/>
            <w:tcBorders>
              <w:top w:val="nil"/>
              <w:left w:val="single" w:sz="4" w:space="0" w:color="4F81BD" w:themeColor="accent1"/>
              <w:bottom w:val="single" w:sz="4" w:space="0" w:color="4F81BD" w:themeColor="accent1"/>
              <w:right w:val="nil"/>
            </w:tcBorders>
            <w:shd w:val="clear" w:color="auto" w:fill="auto"/>
            <w:vAlign w:val="center"/>
            <w:hideMark/>
          </w:tcPr>
          <w:p w14:paraId="6D5D77C3"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Arial"/>
                <w:color w:val="000000"/>
              </w:rPr>
              <w:t>5,8</w:t>
            </w:r>
          </w:p>
        </w:tc>
        <w:tc>
          <w:tcPr>
            <w:tcW w:w="0" w:type="auto"/>
            <w:tcBorders>
              <w:top w:val="nil"/>
              <w:left w:val="nil"/>
              <w:bottom w:val="single" w:sz="4" w:space="0" w:color="4F81BD" w:themeColor="accent1"/>
              <w:right w:val="nil"/>
            </w:tcBorders>
            <w:shd w:val="clear" w:color="auto" w:fill="auto"/>
            <w:noWrap/>
            <w:vAlign w:val="center"/>
            <w:hideMark/>
          </w:tcPr>
          <w:p w14:paraId="35C871CC"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6,2</w:t>
            </w:r>
          </w:p>
        </w:tc>
        <w:tc>
          <w:tcPr>
            <w:tcW w:w="0" w:type="auto"/>
            <w:tcBorders>
              <w:top w:val="nil"/>
              <w:left w:val="nil"/>
              <w:bottom w:val="single" w:sz="4" w:space="0" w:color="4F81BD" w:themeColor="accent1"/>
              <w:right w:val="single" w:sz="4" w:space="0" w:color="4F81BD" w:themeColor="accent1"/>
            </w:tcBorders>
            <w:shd w:val="clear" w:color="auto" w:fill="auto"/>
            <w:vAlign w:val="center"/>
            <w:hideMark/>
          </w:tcPr>
          <w:p w14:paraId="65C25F9F" w14:textId="7B071BA4" w:rsidR="00692BDF" w:rsidRPr="00BF51BB" w:rsidRDefault="007F00B5"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6,7</w:t>
            </w:r>
          </w:p>
        </w:tc>
      </w:tr>
      <w:tr w:rsidR="00692BDF" w:rsidRPr="00BF51BB" w14:paraId="6332717B" w14:textId="77777777" w:rsidTr="00BF51BB">
        <w:trPr>
          <w:trHeight w:val="345"/>
        </w:trPr>
        <w:tc>
          <w:tcPr>
            <w:tcW w:w="0" w:type="auto"/>
            <w:vMerge w:val="restart"/>
            <w:tcBorders>
              <w:top w:val="single" w:sz="4" w:space="0" w:color="4F81BD" w:themeColor="accent1"/>
              <w:left w:val="single" w:sz="4" w:space="0" w:color="4F81BD" w:themeColor="accent1"/>
              <w:bottom w:val="single" w:sz="8" w:space="0" w:color="95B3D7"/>
              <w:right w:val="single" w:sz="4" w:space="0" w:color="4F81BD" w:themeColor="accent1"/>
            </w:tcBorders>
            <w:shd w:val="clear" w:color="auto" w:fill="auto"/>
            <w:noWrap/>
            <w:vAlign w:val="center"/>
            <w:hideMark/>
          </w:tcPr>
          <w:p w14:paraId="32261BA0"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Kamatni rizik</w:t>
            </w:r>
          </w:p>
        </w:tc>
        <w:tc>
          <w:tcPr>
            <w:tcW w:w="0" w:type="auto"/>
            <w:tcBorders>
              <w:top w:val="single" w:sz="4" w:space="0" w:color="4F81BD" w:themeColor="accent1"/>
              <w:left w:val="single" w:sz="4" w:space="0" w:color="4F81BD" w:themeColor="accent1"/>
              <w:bottom w:val="nil"/>
              <w:right w:val="single" w:sz="4" w:space="0" w:color="4F81BD" w:themeColor="accent1"/>
            </w:tcBorders>
            <w:shd w:val="clear" w:color="auto" w:fill="auto"/>
            <w:noWrap/>
            <w:vAlign w:val="center"/>
            <w:hideMark/>
          </w:tcPr>
          <w:p w14:paraId="7AFE8BE2" w14:textId="77777777"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ATR (godine)</w:t>
            </w:r>
          </w:p>
        </w:tc>
        <w:tc>
          <w:tcPr>
            <w:tcW w:w="0" w:type="auto"/>
            <w:tcBorders>
              <w:top w:val="single" w:sz="4" w:space="0" w:color="4F81BD" w:themeColor="accent1"/>
              <w:left w:val="single" w:sz="4" w:space="0" w:color="4F81BD" w:themeColor="accent1"/>
              <w:bottom w:val="nil"/>
              <w:right w:val="nil"/>
            </w:tcBorders>
            <w:shd w:val="clear" w:color="auto" w:fill="auto"/>
            <w:vAlign w:val="center"/>
            <w:hideMark/>
          </w:tcPr>
          <w:p w14:paraId="1249573D"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Arial"/>
                <w:color w:val="000000"/>
              </w:rPr>
              <w:t>3,7</w:t>
            </w:r>
          </w:p>
        </w:tc>
        <w:tc>
          <w:tcPr>
            <w:tcW w:w="0" w:type="auto"/>
            <w:tcBorders>
              <w:top w:val="single" w:sz="4" w:space="0" w:color="4F81BD" w:themeColor="accent1"/>
              <w:left w:val="nil"/>
              <w:bottom w:val="nil"/>
              <w:right w:val="nil"/>
            </w:tcBorders>
            <w:shd w:val="clear" w:color="auto" w:fill="auto"/>
            <w:noWrap/>
            <w:vAlign w:val="center"/>
            <w:hideMark/>
          </w:tcPr>
          <w:p w14:paraId="22A475A3" w14:textId="07C16CFF" w:rsidR="00692BDF" w:rsidRPr="00BF51BB" w:rsidRDefault="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4,</w:t>
            </w:r>
            <w:r w:rsidR="007F00B5" w:rsidRPr="00BF51BB">
              <w:rPr>
                <w:rFonts w:ascii="Arial Narrow" w:eastAsia="Times New Roman" w:hAnsi="Arial Narrow" w:cs="Calibri"/>
                <w:color w:val="000000"/>
              </w:rPr>
              <w:t>2</w:t>
            </w:r>
          </w:p>
        </w:tc>
        <w:tc>
          <w:tcPr>
            <w:tcW w:w="0" w:type="auto"/>
            <w:tcBorders>
              <w:top w:val="single" w:sz="4" w:space="0" w:color="4F81BD" w:themeColor="accent1"/>
              <w:left w:val="nil"/>
              <w:bottom w:val="nil"/>
              <w:right w:val="single" w:sz="4" w:space="0" w:color="4F81BD" w:themeColor="accent1"/>
            </w:tcBorders>
            <w:shd w:val="clear" w:color="auto" w:fill="auto"/>
            <w:vAlign w:val="center"/>
            <w:hideMark/>
          </w:tcPr>
          <w:p w14:paraId="1A41A3B7" w14:textId="3CD09414" w:rsidR="00692BDF" w:rsidRPr="00BF51BB" w:rsidRDefault="007F00B5">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4,3</w:t>
            </w:r>
          </w:p>
        </w:tc>
      </w:tr>
      <w:tr w:rsidR="00692BDF" w:rsidRPr="00BF51BB" w14:paraId="5E5F4CD9" w14:textId="77777777" w:rsidTr="00BF51BB">
        <w:trPr>
          <w:trHeight w:val="330"/>
        </w:trPr>
        <w:tc>
          <w:tcPr>
            <w:tcW w:w="0" w:type="auto"/>
            <w:vMerge/>
            <w:tcBorders>
              <w:top w:val="nil"/>
              <w:left w:val="single" w:sz="4" w:space="0" w:color="4F81BD" w:themeColor="accent1"/>
              <w:bottom w:val="single" w:sz="8" w:space="0" w:color="95B3D7"/>
              <w:right w:val="single" w:sz="4" w:space="0" w:color="4F81BD" w:themeColor="accent1"/>
            </w:tcBorders>
            <w:vAlign w:val="center"/>
            <w:hideMark/>
          </w:tcPr>
          <w:p w14:paraId="213858E6" w14:textId="77777777" w:rsidR="00692BDF" w:rsidRPr="00BF51BB" w:rsidRDefault="00692BDF" w:rsidP="00692BDF">
            <w:pPr>
              <w:spacing w:after="0" w:line="240" w:lineRule="auto"/>
              <w:rPr>
                <w:rFonts w:ascii="Arial Narrow" w:eastAsia="Times New Roman" w:hAnsi="Arial Narrow" w:cs="Calibri"/>
                <w:color w:val="000000"/>
              </w:rPr>
            </w:pPr>
          </w:p>
        </w:tc>
        <w:tc>
          <w:tcPr>
            <w:tcW w:w="0" w:type="auto"/>
            <w:tcBorders>
              <w:top w:val="nil"/>
              <w:left w:val="single" w:sz="4" w:space="0" w:color="4F81BD" w:themeColor="accent1"/>
              <w:bottom w:val="nil"/>
              <w:right w:val="single" w:sz="4" w:space="0" w:color="4F81BD" w:themeColor="accent1"/>
            </w:tcBorders>
            <w:shd w:val="clear" w:color="auto" w:fill="auto"/>
            <w:noWrap/>
            <w:vAlign w:val="center"/>
            <w:hideMark/>
          </w:tcPr>
          <w:p w14:paraId="09B72189" w14:textId="77777777"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Dug koji se refiksira u 1 g  (% ukupnog duga)</w:t>
            </w:r>
          </w:p>
        </w:tc>
        <w:tc>
          <w:tcPr>
            <w:tcW w:w="0" w:type="auto"/>
            <w:tcBorders>
              <w:top w:val="nil"/>
              <w:left w:val="single" w:sz="4" w:space="0" w:color="4F81BD" w:themeColor="accent1"/>
              <w:bottom w:val="nil"/>
              <w:right w:val="nil"/>
            </w:tcBorders>
            <w:shd w:val="clear" w:color="auto" w:fill="auto"/>
            <w:vAlign w:val="center"/>
            <w:hideMark/>
          </w:tcPr>
          <w:p w14:paraId="518E3E2A"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Arial"/>
                <w:color w:val="000000"/>
              </w:rPr>
              <w:t>46</w:t>
            </w:r>
          </w:p>
        </w:tc>
        <w:tc>
          <w:tcPr>
            <w:tcW w:w="0" w:type="auto"/>
            <w:tcBorders>
              <w:top w:val="nil"/>
              <w:left w:val="nil"/>
              <w:bottom w:val="nil"/>
              <w:right w:val="nil"/>
            </w:tcBorders>
            <w:shd w:val="clear" w:color="auto" w:fill="auto"/>
            <w:noWrap/>
            <w:vAlign w:val="center"/>
            <w:hideMark/>
          </w:tcPr>
          <w:p w14:paraId="58F3B057"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45,8</w:t>
            </w:r>
          </w:p>
        </w:tc>
        <w:tc>
          <w:tcPr>
            <w:tcW w:w="0" w:type="auto"/>
            <w:tcBorders>
              <w:top w:val="nil"/>
              <w:left w:val="nil"/>
              <w:bottom w:val="nil"/>
              <w:right w:val="single" w:sz="4" w:space="0" w:color="4F81BD" w:themeColor="accent1"/>
            </w:tcBorders>
            <w:shd w:val="clear" w:color="auto" w:fill="auto"/>
            <w:vAlign w:val="center"/>
            <w:hideMark/>
          </w:tcPr>
          <w:p w14:paraId="17C0E6B4" w14:textId="12310ACB" w:rsidR="00692BDF" w:rsidRPr="00BF51BB" w:rsidRDefault="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4</w:t>
            </w:r>
            <w:r w:rsidR="00CD7213" w:rsidRPr="00BF51BB">
              <w:rPr>
                <w:rFonts w:ascii="Arial Narrow" w:eastAsia="Times New Roman" w:hAnsi="Arial Narrow" w:cs="Calibri"/>
                <w:color w:val="000000"/>
              </w:rPr>
              <w:t>4,2</w:t>
            </w:r>
          </w:p>
        </w:tc>
      </w:tr>
      <w:tr w:rsidR="00692BDF" w:rsidRPr="00BF51BB" w14:paraId="23BE4CFF" w14:textId="77777777" w:rsidTr="00BF51BB">
        <w:trPr>
          <w:trHeight w:val="345"/>
        </w:trPr>
        <w:tc>
          <w:tcPr>
            <w:tcW w:w="0" w:type="auto"/>
            <w:vMerge/>
            <w:tcBorders>
              <w:top w:val="nil"/>
              <w:left w:val="single" w:sz="4" w:space="0" w:color="4F81BD" w:themeColor="accent1"/>
              <w:bottom w:val="single" w:sz="4" w:space="0" w:color="4F81BD" w:themeColor="accent1"/>
              <w:right w:val="single" w:sz="4" w:space="0" w:color="4F81BD" w:themeColor="accent1"/>
            </w:tcBorders>
            <w:vAlign w:val="center"/>
            <w:hideMark/>
          </w:tcPr>
          <w:p w14:paraId="09140949" w14:textId="77777777" w:rsidR="00692BDF" w:rsidRPr="00BF51BB" w:rsidRDefault="00692BDF" w:rsidP="00692BDF">
            <w:pPr>
              <w:spacing w:after="0" w:line="240" w:lineRule="auto"/>
              <w:rPr>
                <w:rFonts w:ascii="Arial Narrow" w:eastAsia="Times New Roman" w:hAnsi="Arial Narrow" w:cs="Calibri"/>
                <w:color w:val="000000"/>
              </w:rPr>
            </w:pPr>
          </w:p>
        </w:tc>
        <w:tc>
          <w:tcPr>
            <w:tcW w:w="0" w:type="auto"/>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60B4F0F0" w14:textId="77777777"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Dug po fiksnoj kamati (% ukupnog duga)</w:t>
            </w:r>
          </w:p>
        </w:tc>
        <w:tc>
          <w:tcPr>
            <w:tcW w:w="0" w:type="auto"/>
            <w:tcBorders>
              <w:top w:val="nil"/>
              <w:left w:val="single" w:sz="4" w:space="0" w:color="4F81BD" w:themeColor="accent1"/>
              <w:bottom w:val="single" w:sz="4" w:space="0" w:color="4F81BD" w:themeColor="accent1"/>
              <w:right w:val="nil"/>
            </w:tcBorders>
            <w:shd w:val="clear" w:color="auto" w:fill="auto"/>
            <w:vAlign w:val="center"/>
            <w:hideMark/>
          </w:tcPr>
          <w:p w14:paraId="188C029A"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Arial"/>
                <w:color w:val="000000"/>
              </w:rPr>
              <w:t>61,9</w:t>
            </w:r>
          </w:p>
        </w:tc>
        <w:tc>
          <w:tcPr>
            <w:tcW w:w="0" w:type="auto"/>
            <w:tcBorders>
              <w:top w:val="nil"/>
              <w:left w:val="nil"/>
              <w:bottom w:val="single" w:sz="4" w:space="0" w:color="4F81BD" w:themeColor="accent1"/>
              <w:right w:val="nil"/>
            </w:tcBorders>
            <w:shd w:val="clear" w:color="auto" w:fill="auto"/>
            <w:noWrap/>
            <w:vAlign w:val="center"/>
            <w:hideMark/>
          </w:tcPr>
          <w:p w14:paraId="4E4C9880"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62,5</w:t>
            </w:r>
          </w:p>
        </w:tc>
        <w:tc>
          <w:tcPr>
            <w:tcW w:w="0" w:type="auto"/>
            <w:tcBorders>
              <w:top w:val="nil"/>
              <w:left w:val="nil"/>
              <w:bottom w:val="single" w:sz="4" w:space="0" w:color="4F81BD" w:themeColor="accent1"/>
              <w:right w:val="single" w:sz="4" w:space="0" w:color="4F81BD" w:themeColor="accent1"/>
            </w:tcBorders>
            <w:shd w:val="clear" w:color="auto" w:fill="auto"/>
            <w:vAlign w:val="center"/>
            <w:hideMark/>
          </w:tcPr>
          <w:p w14:paraId="6B833612" w14:textId="619DCF88" w:rsidR="00692BDF" w:rsidRPr="00BF51BB" w:rsidRDefault="00CD7213"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65,4</w:t>
            </w:r>
          </w:p>
        </w:tc>
      </w:tr>
      <w:tr w:rsidR="00692BDF" w:rsidRPr="00BF51BB" w14:paraId="6417C5B9" w14:textId="77777777" w:rsidTr="00BF51BB">
        <w:trPr>
          <w:trHeight w:val="330"/>
        </w:trPr>
        <w:tc>
          <w:tcPr>
            <w:tcW w:w="0" w:type="auto"/>
            <w:vMerge w:val="restart"/>
            <w:tcBorders>
              <w:top w:val="single" w:sz="4" w:space="0" w:color="4F81BD" w:themeColor="accent1"/>
              <w:left w:val="single" w:sz="4" w:space="0" w:color="4F81BD" w:themeColor="accent1"/>
              <w:bottom w:val="single" w:sz="8" w:space="0" w:color="C6D9F1"/>
              <w:right w:val="single" w:sz="4" w:space="0" w:color="4F81BD" w:themeColor="accent1"/>
            </w:tcBorders>
            <w:shd w:val="clear" w:color="auto" w:fill="auto"/>
            <w:noWrap/>
            <w:vAlign w:val="center"/>
            <w:hideMark/>
          </w:tcPr>
          <w:p w14:paraId="569CA13C"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Valutni rizik</w:t>
            </w:r>
          </w:p>
        </w:tc>
        <w:tc>
          <w:tcPr>
            <w:tcW w:w="0" w:type="auto"/>
            <w:tcBorders>
              <w:top w:val="single" w:sz="4" w:space="0" w:color="4F81BD" w:themeColor="accent1"/>
              <w:left w:val="single" w:sz="4" w:space="0" w:color="4F81BD" w:themeColor="accent1"/>
              <w:bottom w:val="nil"/>
              <w:right w:val="single" w:sz="4" w:space="0" w:color="4F81BD" w:themeColor="accent1"/>
            </w:tcBorders>
            <w:shd w:val="clear" w:color="auto" w:fill="auto"/>
            <w:noWrap/>
            <w:vAlign w:val="center"/>
            <w:hideMark/>
          </w:tcPr>
          <w:p w14:paraId="51E26964" w14:textId="77777777"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Devizni dug (% ukupnog duga)</w:t>
            </w:r>
          </w:p>
        </w:tc>
        <w:tc>
          <w:tcPr>
            <w:tcW w:w="0" w:type="auto"/>
            <w:tcBorders>
              <w:top w:val="single" w:sz="4" w:space="0" w:color="4F81BD" w:themeColor="accent1"/>
              <w:left w:val="single" w:sz="4" w:space="0" w:color="4F81BD" w:themeColor="accent1"/>
              <w:bottom w:val="nil"/>
              <w:right w:val="nil"/>
            </w:tcBorders>
            <w:shd w:val="clear" w:color="auto" w:fill="auto"/>
            <w:vAlign w:val="center"/>
            <w:hideMark/>
          </w:tcPr>
          <w:p w14:paraId="75F1FF0F"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Arial"/>
                <w:color w:val="000000"/>
              </w:rPr>
              <w:t>85,4</w:t>
            </w:r>
          </w:p>
        </w:tc>
        <w:tc>
          <w:tcPr>
            <w:tcW w:w="0" w:type="auto"/>
            <w:tcBorders>
              <w:top w:val="single" w:sz="4" w:space="0" w:color="4F81BD" w:themeColor="accent1"/>
              <w:left w:val="nil"/>
              <w:bottom w:val="nil"/>
              <w:right w:val="nil"/>
            </w:tcBorders>
            <w:shd w:val="clear" w:color="auto" w:fill="auto"/>
            <w:noWrap/>
            <w:vAlign w:val="center"/>
            <w:hideMark/>
          </w:tcPr>
          <w:p w14:paraId="5FD2EB91"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87,8</w:t>
            </w:r>
          </w:p>
        </w:tc>
        <w:tc>
          <w:tcPr>
            <w:tcW w:w="0" w:type="auto"/>
            <w:tcBorders>
              <w:top w:val="single" w:sz="4" w:space="0" w:color="4F81BD" w:themeColor="accent1"/>
              <w:left w:val="nil"/>
              <w:bottom w:val="nil"/>
              <w:right w:val="single" w:sz="4" w:space="0" w:color="4F81BD" w:themeColor="accent1"/>
            </w:tcBorders>
            <w:shd w:val="clear" w:color="auto" w:fill="auto"/>
            <w:vAlign w:val="center"/>
            <w:hideMark/>
          </w:tcPr>
          <w:p w14:paraId="39A4031A" w14:textId="0250515B" w:rsidR="00692BDF" w:rsidRPr="00BF51BB" w:rsidRDefault="00CD7213"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81,3</w:t>
            </w:r>
          </w:p>
        </w:tc>
      </w:tr>
      <w:tr w:rsidR="00692BDF" w:rsidRPr="00BF51BB" w14:paraId="0F456351" w14:textId="77777777" w:rsidTr="00BF51BB">
        <w:trPr>
          <w:trHeight w:val="345"/>
        </w:trPr>
        <w:tc>
          <w:tcPr>
            <w:tcW w:w="0" w:type="auto"/>
            <w:vMerge/>
            <w:tcBorders>
              <w:top w:val="nil"/>
              <w:left w:val="single" w:sz="4" w:space="0" w:color="4F81BD" w:themeColor="accent1"/>
              <w:bottom w:val="single" w:sz="4" w:space="0" w:color="4F81BD" w:themeColor="accent1"/>
              <w:right w:val="single" w:sz="4" w:space="0" w:color="4F81BD" w:themeColor="accent1"/>
            </w:tcBorders>
            <w:vAlign w:val="center"/>
            <w:hideMark/>
          </w:tcPr>
          <w:p w14:paraId="7F093CC5" w14:textId="77777777" w:rsidR="00692BDF" w:rsidRPr="00BF51BB" w:rsidRDefault="00692BDF" w:rsidP="00692BDF">
            <w:pPr>
              <w:spacing w:after="0" w:line="240" w:lineRule="auto"/>
              <w:rPr>
                <w:rFonts w:ascii="Arial Narrow" w:eastAsia="Times New Roman" w:hAnsi="Arial Narrow" w:cs="Calibri"/>
                <w:color w:val="000000"/>
              </w:rPr>
            </w:pPr>
          </w:p>
        </w:tc>
        <w:tc>
          <w:tcPr>
            <w:tcW w:w="0" w:type="auto"/>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206D475B" w14:textId="77777777" w:rsidR="00692BDF" w:rsidRPr="00BF51BB" w:rsidRDefault="00692BDF" w:rsidP="00692BDF">
            <w:pPr>
              <w:spacing w:after="0" w:line="240" w:lineRule="auto"/>
              <w:rPr>
                <w:rFonts w:ascii="Arial Narrow" w:eastAsia="Times New Roman" w:hAnsi="Arial Narrow" w:cs="Calibri"/>
                <w:color w:val="000000"/>
              </w:rPr>
            </w:pPr>
            <w:r w:rsidRPr="00BF51BB">
              <w:rPr>
                <w:rFonts w:ascii="Arial Narrow" w:eastAsia="Times New Roman" w:hAnsi="Arial Narrow" w:cs="Calibri"/>
                <w:color w:val="000000"/>
              </w:rPr>
              <w:t>Kratkoročni devizni dug (% rezervi)</w:t>
            </w:r>
          </w:p>
        </w:tc>
        <w:tc>
          <w:tcPr>
            <w:tcW w:w="0" w:type="auto"/>
            <w:tcBorders>
              <w:top w:val="nil"/>
              <w:left w:val="single" w:sz="4" w:space="0" w:color="4F81BD" w:themeColor="accent1"/>
              <w:bottom w:val="single" w:sz="4" w:space="0" w:color="4F81BD" w:themeColor="accent1"/>
              <w:right w:val="nil"/>
            </w:tcBorders>
            <w:shd w:val="clear" w:color="auto" w:fill="auto"/>
            <w:vAlign w:val="center"/>
            <w:hideMark/>
          </w:tcPr>
          <w:p w14:paraId="1B573638"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Arial"/>
                <w:color w:val="000000"/>
              </w:rPr>
              <w:t>3,7</w:t>
            </w:r>
          </w:p>
        </w:tc>
        <w:tc>
          <w:tcPr>
            <w:tcW w:w="0" w:type="auto"/>
            <w:tcBorders>
              <w:top w:val="nil"/>
              <w:left w:val="nil"/>
              <w:bottom w:val="single" w:sz="4" w:space="0" w:color="4F81BD" w:themeColor="accent1"/>
              <w:right w:val="nil"/>
            </w:tcBorders>
            <w:shd w:val="clear" w:color="auto" w:fill="auto"/>
            <w:noWrap/>
            <w:vAlign w:val="center"/>
            <w:hideMark/>
          </w:tcPr>
          <w:p w14:paraId="7BC7B2BE"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3,0</w:t>
            </w:r>
          </w:p>
        </w:tc>
        <w:tc>
          <w:tcPr>
            <w:tcW w:w="0" w:type="auto"/>
            <w:tcBorders>
              <w:top w:val="nil"/>
              <w:left w:val="nil"/>
              <w:bottom w:val="single" w:sz="4" w:space="0" w:color="4F81BD" w:themeColor="accent1"/>
              <w:right w:val="single" w:sz="4" w:space="0" w:color="4F81BD" w:themeColor="accent1"/>
            </w:tcBorders>
            <w:shd w:val="clear" w:color="auto" w:fill="auto"/>
            <w:vAlign w:val="center"/>
            <w:hideMark/>
          </w:tcPr>
          <w:p w14:paraId="37213044" w14:textId="77777777" w:rsidR="00692BDF" w:rsidRPr="00BF51BB" w:rsidRDefault="00692BDF" w:rsidP="00692BDF">
            <w:pPr>
              <w:spacing w:after="0" w:line="240" w:lineRule="auto"/>
              <w:jc w:val="center"/>
              <w:rPr>
                <w:rFonts w:ascii="Arial Narrow" w:eastAsia="Times New Roman" w:hAnsi="Arial Narrow" w:cs="Calibri"/>
                <w:color w:val="000000"/>
              </w:rPr>
            </w:pPr>
            <w:r w:rsidRPr="00BF51BB">
              <w:rPr>
                <w:rFonts w:ascii="Arial Narrow" w:eastAsia="Times New Roman" w:hAnsi="Arial Narrow" w:cs="Calibri"/>
                <w:color w:val="000000"/>
              </w:rPr>
              <w:t>3,3</w:t>
            </w:r>
          </w:p>
        </w:tc>
      </w:tr>
    </w:tbl>
    <w:p w14:paraId="391A4E12" w14:textId="4175535C" w:rsidR="00073673" w:rsidRPr="00BF51BB" w:rsidRDefault="00073673" w:rsidP="00902BC4"/>
    <w:p w14:paraId="515ED086" w14:textId="77777777" w:rsidR="00ED768D" w:rsidRPr="00BF51BB" w:rsidRDefault="00ED768D" w:rsidP="00627D74">
      <w:pPr>
        <w:pStyle w:val="Heading2"/>
        <w:numPr>
          <w:ilvl w:val="1"/>
          <w:numId w:val="5"/>
        </w:numPr>
        <w:spacing w:before="0"/>
        <w:rPr>
          <w:rFonts w:ascii="Arial" w:hAnsi="Arial" w:cs="Arial"/>
          <w:b w:val="0"/>
          <w:color w:val="auto"/>
          <w:sz w:val="22"/>
          <w:szCs w:val="22"/>
        </w:rPr>
      </w:pPr>
      <w:bookmarkStart w:id="128" w:name="_Toc101781048"/>
      <w:r w:rsidRPr="00BF51BB">
        <w:rPr>
          <w:rFonts w:ascii="Arial" w:hAnsi="Arial" w:cs="Arial"/>
          <w:b w:val="0"/>
          <w:color w:val="auto"/>
          <w:sz w:val="22"/>
          <w:szCs w:val="22"/>
        </w:rPr>
        <w:t>Opis alternativnih strategija zaduživanja</w:t>
      </w:r>
      <w:bookmarkEnd w:id="128"/>
      <w:r w:rsidRPr="00BF51BB">
        <w:rPr>
          <w:rFonts w:ascii="Arial" w:hAnsi="Arial" w:cs="Arial"/>
          <w:b w:val="0"/>
          <w:color w:val="auto"/>
          <w:sz w:val="22"/>
          <w:szCs w:val="22"/>
        </w:rPr>
        <w:t xml:space="preserve"> </w:t>
      </w:r>
    </w:p>
    <w:p w14:paraId="76A65F8D" w14:textId="2BCFA230" w:rsidR="00902BC4" w:rsidRPr="00BF51BB" w:rsidRDefault="00902BC4" w:rsidP="00ED768D">
      <w:pPr>
        <w:spacing w:after="0"/>
        <w:rPr>
          <w:rFonts w:ascii="Arial" w:hAnsi="Arial" w:cs="Arial"/>
          <w:color w:val="E36C0A" w:themeColor="accent6" w:themeShade="BF"/>
        </w:rPr>
      </w:pPr>
    </w:p>
    <w:p w14:paraId="6C8384F4" w14:textId="77777777" w:rsidR="00ED768D" w:rsidRPr="00BF51BB" w:rsidRDefault="00ED768D" w:rsidP="00095017">
      <w:pPr>
        <w:spacing w:after="0"/>
        <w:ind w:firstLine="426"/>
        <w:jc w:val="both"/>
        <w:rPr>
          <w:rFonts w:ascii="Arial" w:hAnsi="Arial" w:cs="Arial"/>
        </w:rPr>
      </w:pPr>
      <w:r w:rsidRPr="00BF51BB">
        <w:rPr>
          <w:rFonts w:ascii="Arial" w:hAnsi="Arial" w:cs="Arial"/>
        </w:rPr>
        <w:t>Vanjsko zaduživanje F</w:t>
      </w:r>
      <w:r w:rsidR="00B44EE9" w:rsidRPr="00BF51BB">
        <w:rPr>
          <w:rFonts w:ascii="Arial" w:hAnsi="Arial" w:cs="Arial"/>
        </w:rPr>
        <w:t xml:space="preserve">ederacije </w:t>
      </w:r>
      <w:r w:rsidRPr="00BF51BB">
        <w:rPr>
          <w:rFonts w:ascii="Arial" w:hAnsi="Arial" w:cs="Arial"/>
        </w:rPr>
        <w:t xml:space="preserve">BiH će se koristi za finansiranje razvojnih programa i kao podrška budžetu. </w:t>
      </w:r>
      <w:r w:rsidR="002D0909" w:rsidRPr="00BF51BB">
        <w:rPr>
          <w:rFonts w:ascii="Arial" w:hAnsi="Arial" w:cs="Arial"/>
        </w:rPr>
        <w:t>Razvojni programi su</w:t>
      </w:r>
      <w:r w:rsidRPr="00BF51BB">
        <w:rPr>
          <w:rFonts w:ascii="Arial" w:hAnsi="Arial" w:cs="Arial"/>
        </w:rPr>
        <w:t xml:space="preserve"> projekti sa unaprijed identificiranim kreditorima i </w:t>
      </w:r>
      <w:r w:rsidR="00536791" w:rsidRPr="00BF51BB">
        <w:rPr>
          <w:rFonts w:ascii="Arial" w:hAnsi="Arial" w:cs="Arial"/>
        </w:rPr>
        <w:t>pod</w:t>
      </w:r>
      <w:r w:rsidRPr="00BF51BB">
        <w:rPr>
          <w:rFonts w:ascii="Arial" w:hAnsi="Arial" w:cs="Arial"/>
        </w:rPr>
        <w:t xml:space="preserve"> poznatim uslovima, te je time ograničena mogućnost pregovaranja finansijskih uslova kredita. Tim ograničenjima treba upravljati u kombinaciji s ograničenjima opisanim za domaće finansiranje, da bi se ublažili ranije identificirani rizici. </w:t>
      </w:r>
    </w:p>
    <w:p w14:paraId="0C90636E" w14:textId="77777777" w:rsidR="00AB5C50" w:rsidRPr="00BF51BB" w:rsidRDefault="00AB5C50" w:rsidP="00ED768D">
      <w:pPr>
        <w:spacing w:after="0"/>
        <w:jc w:val="both"/>
        <w:rPr>
          <w:rFonts w:ascii="Arial" w:hAnsi="Arial" w:cs="Arial"/>
        </w:rPr>
      </w:pPr>
    </w:p>
    <w:p w14:paraId="1A431DE6" w14:textId="02E9ED19" w:rsidR="0056558E" w:rsidRPr="00BF51BB" w:rsidRDefault="0056558E" w:rsidP="000D15AD">
      <w:pPr>
        <w:spacing w:after="0"/>
        <w:jc w:val="both"/>
        <w:rPr>
          <w:rFonts w:ascii="Arial" w:hAnsi="Arial" w:cs="Arial"/>
        </w:rPr>
      </w:pPr>
      <w:r w:rsidRPr="00BF51BB">
        <w:rPr>
          <w:rFonts w:ascii="Arial" w:hAnsi="Arial" w:cs="Arial"/>
          <w:b/>
          <w:i/>
        </w:rPr>
        <w:t>Strategija (S1)</w:t>
      </w:r>
      <w:r w:rsidR="001446EC" w:rsidRPr="00BF51BB">
        <w:rPr>
          <w:rFonts w:ascii="Arial" w:hAnsi="Arial" w:cs="Arial"/>
          <w:b/>
          <w:i/>
        </w:rPr>
        <w:t>:</w:t>
      </w:r>
      <w:r w:rsidRPr="00BF51BB">
        <w:rPr>
          <w:rFonts w:ascii="Arial" w:hAnsi="Arial" w:cs="Arial"/>
          <w:i/>
        </w:rPr>
        <w:t xml:space="preserve"> z</w:t>
      </w:r>
      <w:r w:rsidR="00ED768D" w:rsidRPr="00BF51BB">
        <w:rPr>
          <w:rFonts w:ascii="Arial" w:hAnsi="Arial" w:cs="Arial"/>
          <w:i/>
        </w:rPr>
        <w:t>aduživanje F</w:t>
      </w:r>
      <w:r w:rsidR="00B44EE9" w:rsidRPr="00BF51BB">
        <w:rPr>
          <w:rFonts w:ascii="Arial" w:hAnsi="Arial" w:cs="Arial"/>
          <w:i/>
        </w:rPr>
        <w:t xml:space="preserve">ederacije </w:t>
      </w:r>
      <w:r w:rsidR="00BE2B69" w:rsidRPr="00BF51BB">
        <w:rPr>
          <w:rFonts w:ascii="Arial" w:hAnsi="Arial" w:cs="Arial"/>
          <w:i/>
        </w:rPr>
        <w:t>BiH u skladu s</w:t>
      </w:r>
      <w:r w:rsidR="00ED768D" w:rsidRPr="00BF51BB">
        <w:rPr>
          <w:rFonts w:ascii="Arial" w:hAnsi="Arial" w:cs="Arial"/>
          <w:i/>
        </w:rPr>
        <w:t xml:space="preserve"> </w:t>
      </w:r>
      <w:r w:rsidR="00BE14BB" w:rsidRPr="00BF51BB">
        <w:rPr>
          <w:rFonts w:ascii="Arial" w:hAnsi="Arial" w:cs="Arial"/>
          <w:i/>
        </w:rPr>
        <w:t>Budžetom Federacije BiH</w:t>
      </w:r>
      <w:r w:rsidR="00B1260C" w:rsidRPr="00BF51BB">
        <w:rPr>
          <w:rFonts w:ascii="Arial" w:hAnsi="Arial" w:cs="Arial"/>
          <w:i/>
        </w:rPr>
        <w:t xml:space="preserve"> za </w:t>
      </w:r>
      <w:r w:rsidR="00997948" w:rsidRPr="00BF51BB">
        <w:rPr>
          <w:rFonts w:ascii="Arial" w:hAnsi="Arial" w:cs="Arial"/>
          <w:i/>
        </w:rPr>
        <w:t>2022</w:t>
      </w:r>
      <w:r w:rsidR="00B1260C" w:rsidRPr="00BF51BB">
        <w:rPr>
          <w:rFonts w:ascii="Arial" w:hAnsi="Arial" w:cs="Arial"/>
          <w:i/>
        </w:rPr>
        <w:t>. godinu</w:t>
      </w:r>
      <w:r w:rsidR="00BE14BB" w:rsidRPr="00BF51BB">
        <w:rPr>
          <w:rFonts w:ascii="Arial" w:hAnsi="Arial" w:cs="Arial"/>
          <w:i/>
        </w:rPr>
        <w:t xml:space="preserve">, </w:t>
      </w:r>
      <w:r w:rsidR="00902BC4" w:rsidRPr="00BF51BB">
        <w:rPr>
          <w:rFonts w:ascii="Arial" w:hAnsi="Arial" w:cs="Arial"/>
          <w:i/>
        </w:rPr>
        <w:t>Dokument</w:t>
      </w:r>
      <w:r w:rsidR="00492159" w:rsidRPr="00BF51BB">
        <w:rPr>
          <w:rFonts w:ascii="Arial" w:hAnsi="Arial" w:cs="Arial"/>
          <w:i/>
        </w:rPr>
        <w:t>om</w:t>
      </w:r>
      <w:r w:rsidR="00902BC4" w:rsidRPr="00BF51BB">
        <w:rPr>
          <w:rFonts w:ascii="Arial" w:hAnsi="Arial" w:cs="Arial"/>
          <w:i/>
        </w:rPr>
        <w:t xml:space="preserve"> okvirnog budžeta Federacije BiH</w:t>
      </w:r>
      <w:r w:rsidR="0072143E" w:rsidRPr="00BF51BB">
        <w:rPr>
          <w:rFonts w:ascii="Arial" w:hAnsi="Arial" w:cs="Arial"/>
          <w:i/>
        </w:rPr>
        <w:t xml:space="preserve"> u periodu </w:t>
      </w:r>
      <w:r w:rsidR="00997948" w:rsidRPr="00BF51BB">
        <w:rPr>
          <w:rFonts w:ascii="Arial" w:hAnsi="Arial" w:cs="Arial"/>
          <w:i/>
        </w:rPr>
        <w:t>2022</w:t>
      </w:r>
      <w:r w:rsidR="009645F1" w:rsidRPr="00BF51BB">
        <w:rPr>
          <w:rFonts w:ascii="Arial" w:hAnsi="Arial" w:cs="Arial"/>
          <w:i/>
        </w:rPr>
        <w:t>.</w:t>
      </w:r>
      <w:r w:rsidR="0072143E" w:rsidRPr="00BF51BB">
        <w:rPr>
          <w:rFonts w:ascii="Arial" w:hAnsi="Arial" w:cs="Arial"/>
          <w:i/>
        </w:rPr>
        <w:t>-</w:t>
      </w:r>
      <w:r w:rsidR="00997948" w:rsidRPr="00BF51BB">
        <w:rPr>
          <w:rFonts w:ascii="Arial" w:hAnsi="Arial" w:cs="Arial"/>
          <w:i/>
        </w:rPr>
        <w:t>2024</w:t>
      </w:r>
      <w:r w:rsidR="00BE14BB" w:rsidRPr="00BF51BB">
        <w:rPr>
          <w:rFonts w:ascii="Arial" w:hAnsi="Arial" w:cs="Arial"/>
          <w:i/>
        </w:rPr>
        <w:t>. godina</w:t>
      </w:r>
      <w:r w:rsidR="00B1260C" w:rsidRPr="00BF51BB">
        <w:rPr>
          <w:rFonts w:ascii="Arial" w:hAnsi="Arial" w:cs="Arial"/>
          <w:i/>
        </w:rPr>
        <w:t xml:space="preserve"> i</w:t>
      </w:r>
      <w:r w:rsidR="00ED768D" w:rsidRPr="00BF51BB">
        <w:rPr>
          <w:rFonts w:ascii="Arial" w:hAnsi="Arial" w:cs="Arial"/>
          <w:i/>
        </w:rPr>
        <w:t xml:space="preserve"> PJI</w:t>
      </w:r>
      <w:r w:rsidR="00B1260C" w:rsidRPr="00BF51BB">
        <w:rPr>
          <w:rFonts w:ascii="Arial" w:hAnsi="Arial" w:cs="Arial"/>
          <w:i/>
        </w:rPr>
        <w:t>-a za period</w:t>
      </w:r>
      <w:r w:rsidR="00ED768D" w:rsidRPr="00BF51BB">
        <w:rPr>
          <w:rFonts w:ascii="Arial" w:hAnsi="Arial" w:cs="Arial"/>
          <w:i/>
        </w:rPr>
        <w:t xml:space="preserve"> </w:t>
      </w:r>
      <w:r w:rsidR="00997948" w:rsidRPr="00BF51BB">
        <w:rPr>
          <w:rFonts w:ascii="Arial" w:hAnsi="Arial" w:cs="Arial"/>
          <w:i/>
        </w:rPr>
        <w:t>2022</w:t>
      </w:r>
      <w:r w:rsidR="009645F1" w:rsidRPr="00BF51BB">
        <w:rPr>
          <w:rFonts w:ascii="Arial" w:hAnsi="Arial" w:cs="Arial"/>
          <w:i/>
        </w:rPr>
        <w:t>.</w:t>
      </w:r>
      <w:r w:rsidR="00AB0693" w:rsidRPr="00BF51BB">
        <w:rPr>
          <w:rFonts w:ascii="Arial" w:hAnsi="Arial" w:cs="Arial"/>
          <w:i/>
        </w:rPr>
        <w:t>-</w:t>
      </w:r>
      <w:r w:rsidR="00997948" w:rsidRPr="00BF51BB">
        <w:rPr>
          <w:rFonts w:ascii="Arial" w:hAnsi="Arial" w:cs="Arial"/>
          <w:i/>
        </w:rPr>
        <w:t>2024</w:t>
      </w:r>
      <w:r w:rsidRPr="00BF51BB">
        <w:rPr>
          <w:rFonts w:ascii="Arial" w:hAnsi="Arial" w:cs="Arial"/>
          <w:i/>
        </w:rPr>
        <w:t>. godine</w:t>
      </w:r>
      <w:r w:rsidR="00BE14BB" w:rsidRPr="00BF51BB">
        <w:rPr>
          <w:rFonts w:ascii="Arial" w:hAnsi="Arial" w:cs="Arial"/>
          <w:i/>
        </w:rPr>
        <w:t>.</w:t>
      </w:r>
      <w:r w:rsidRPr="00BF51BB">
        <w:rPr>
          <w:rFonts w:ascii="Arial" w:hAnsi="Arial" w:cs="Arial"/>
          <w:i/>
        </w:rPr>
        <w:t xml:space="preserve"> </w:t>
      </w:r>
      <w:r w:rsidR="00ED768D" w:rsidRPr="00BF51BB">
        <w:rPr>
          <w:rFonts w:ascii="Arial" w:hAnsi="Arial" w:cs="Arial"/>
          <w:i/>
        </w:rPr>
        <w:t xml:space="preserve">Finansiranje razvojnih projekta do </w:t>
      </w:r>
      <w:r w:rsidR="00997948" w:rsidRPr="00BF51BB">
        <w:rPr>
          <w:rFonts w:ascii="Arial" w:hAnsi="Arial" w:cs="Arial"/>
          <w:i/>
        </w:rPr>
        <w:t>2024</w:t>
      </w:r>
      <w:r w:rsidR="00ED768D" w:rsidRPr="00BF51BB">
        <w:rPr>
          <w:rFonts w:ascii="Arial" w:hAnsi="Arial" w:cs="Arial"/>
          <w:i/>
        </w:rPr>
        <w:t xml:space="preserve">. godine procijenjeno je na </w:t>
      </w:r>
      <w:r w:rsidR="00AB0693" w:rsidRPr="00BF51BB">
        <w:rPr>
          <w:rFonts w:ascii="Arial" w:hAnsi="Arial" w:cs="Arial"/>
          <w:i/>
        </w:rPr>
        <w:t>1.</w:t>
      </w:r>
      <w:r w:rsidR="009137F0" w:rsidRPr="00BF51BB">
        <w:rPr>
          <w:rFonts w:ascii="Arial" w:hAnsi="Arial" w:cs="Arial"/>
          <w:i/>
        </w:rPr>
        <w:t>791,56</w:t>
      </w:r>
      <w:r w:rsidR="00AB0693" w:rsidRPr="00BF51BB">
        <w:rPr>
          <w:rFonts w:ascii="Arial" w:hAnsi="Arial" w:cs="Arial"/>
        </w:rPr>
        <w:t xml:space="preserve"> </w:t>
      </w:r>
      <w:r w:rsidR="00E672EB" w:rsidRPr="00BF51BB">
        <w:rPr>
          <w:rFonts w:ascii="Arial" w:hAnsi="Arial" w:cs="Arial"/>
          <w:i/>
        </w:rPr>
        <w:t>mil.KM</w:t>
      </w:r>
      <w:r w:rsidR="00ED768D" w:rsidRPr="00BF51BB">
        <w:rPr>
          <w:rFonts w:ascii="Arial" w:hAnsi="Arial" w:cs="Arial"/>
          <w:i/>
        </w:rPr>
        <w:t>. Vanjski izvori finansi</w:t>
      </w:r>
      <w:r w:rsidR="00752945" w:rsidRPr="00BF51BB">
        <w:rPr>
          <w:rFonts w:ascii="Arial" w:hAnsi="Arial" w:cs="Arial"/>
          <w:i/>
        </w:rPr>
        <w:t xml:space="preserve">ranja su okvirno identificirani </w:t>
      </w:r>
      <w:r w:rsidR="00BE14BB" w:rsidRPr="00BF51BB">
        <w:rPr>
          <w:rFonts w:ascii="Arial" w:hAnsi="Arial" w:cs="Arial"/>
          <w:i/>
        </w:rPr>
        <w:t>(tabela 8.)</w:t>
      </w:r>
      <w:r w:rsidR="00492159" w:rsidRPr="00BF51BB">
        <w:rPr>
          <w:rFonts w:ascii="Arial" w:hAnsi="Arial" w:cs="Arial"/>
          <w:i/>
        </w:rPr>
        <w:t>. U</w:t>
      </w:r>
      <w:r w:rsidR="002F0375" w:rsidRPr="00BF51BB">
        <w:rPr>
          <w:rFonts w:ascii="Arial" w:hAnsi="Arial" w:cs="Arial"/>
          <w:i/>
        </w:rPr>
        <w:t xml:space="preserve"> kontekstu procjene troškova i rizika </w:t>
      </w:r>
      <w:r w:rsidR="00492159" w:rsidRPr="00BF51BB">
        <w:rPr>
          <w:rFonts w:ascii="Arial" w:hAnsi="Arial" w:cs="Arial"/>
          <w:i/>
        </w:rPr>
        <w:t xml:space="preserve">vanjske kredite </w:t>
      </w:r>
      <w:r w:rsidR="009A2717" w:rsidRPr="00BF51BB">
        <w:rPr>
          <w:rFonts w:ascii="Arial" w:hAnsi="Arial" w:cs="Arial"/>
          <w:i/>
        </w:rPr>
        <w:t>namijenjene</w:t>
      </w:r>
      <w:r w:rsidR="00492159" w:rsidRPr="00BF51BB">
        <w:rPr>
          <w:rFonts w:ascii="Arial" w:hAnsi="Arial" w:cs="Arial"/>
          <w:i/>
        </w:rPr>
        <w:t xml:space="preserve"> realizaciji PJI Federacije BiH</w:t>
      </w:r>
      <w:r w:rsidR="002F0375" w:rsidRPr="00BF51BB">
        <w:rPr>
          <w:rFonts w:ascii="Arial" w:hAnsi="Arial" w:cs="Arial"/>
          <w:i/>
        </w:rPr>
        <w:t xml:space="preserve"> </w:t>
      </w:r>
      <w:r w:rsidR="009A2717" w:rsidRPr="00BF51BB">
        <w:rPr>
          <w:rFonts w:ascii="Arial" w:hAnsi="Arial" w:cs="Arial"/>
          <w:i/>
        </w:rPr>
        <w:t>primijenjeni</w:t>
      </w:r>
      <w:r w:rsidR="00492159" w:rsidRPr="00BF51BB">
        <w:rPr>
          <w:rFonts w:ascii="Arial" w:hAnsi="Arial" w:cs="Arial"/>
          <w:i/>
        </w:rPr>
        <w:t xml:space="preserve"> su </w:t>
      </w:r>
      <w:r w:rsidR="002F0375" w:rsidRPr="00BF51BB">
        <w:rPr>
          <w:rFonts w:ascii="Arial" w:hAnsi="Arial" w:cs="Arial"/>
          <w:i/>
        </w:rPr>
        <w:t>kreditni uslovi</w:t>
      </w:r>
      <w:r w:rsidR="00752945" w:rsidRPr="00BF51BB">
        <w:rPr>
          <w:rFonts w:ascii="Arial" w:hAnsi="Arial" w:cs="Arial"/>
          <w:i/>
        </w:rPr>
        <w:t xml:space="preserve"> </w:t>
      </w:r>
      <w:r w:rsidR="005908FE" w:rsidRPr="00BF51BB">
        <w:rPr>
          <w:rFonts w:ascii="Arial" w:hAnsi="Arial" w:cs="Arial"/>
          <w:i/>
        </w:rPr>
        <w:t>u skladu sa generalnim uslovima poslovanja kreditora u pogledu</w:t>
      </w:r>
      <w:r w:rsidR="00752945" w:rsidRPr="00BF51BB">
        <w:rPr>
          <w:rFonts w:ascii="Arial" w:hAnsi="Arial" w:cs="Arial"/>
          <w:i/>
        </w:rPr>
        <w:t xml:space="preserve"> fiksn</w:t>
      </w:r>
      <w:r w:rsidR="00492159" w:rsidRPr="00BF51BB">
        <w:rPr>
          <w:rFonts w:ascii="Arial" w:hAnsi="Arial" w:cs="Arial"/>
          <w:i/>
        </w:rPr>
        <w:t>e</w:t>
      </w:r>
      <w:r w:rsidR="00752945" w:rsidRPr="00BF51BB">
        <w:rPr>
          <w:rFonts w:ascii="Arial" w:hAnsi="Arial" w:cs="Arial"/>
          <w:i/>
        </w:rPr>
        <w:t xml:space="preserve"> i</w:t>
      </w:r>
      <w:r w:rsidR="005908FE" w:rsidRPr="00BF51BB">
        <w:rPr>
          <w:rFonts w:ascii="Arial" w:hAnsi="Arial" w:cs="Arial"/>
          <w:i/>
        </w:rPr>
        <w:t>li</w:t>
      </w:r>
      <w:r w:rsidR="00752945" w:rsidRPr="00BF51BB">
        <w:rPr>
          <w:rFonts w:ascii="Arial" w:hAnsi="Arial" w:cs="Arial"/>
          <w:i/>
        </w:rPr>
        <w:t xml:space="preserve"> promjenjiv</w:t>
      </w:r>
      <w:r w:rsidR="00492159" w:rsidRPr="00BF51BB">
        <w:rPr>
          <w:rFonts w:ascii="Arial" w:hAnsi="Arial" w:cs="Arial"/>
          <w:i/>
        </w:rPr>
        <w:t>e</w:t>
      </w:r>
      <w:r w:rsidR="00752945" w:rsidRPr="00BF51BB">
        <w:rPr>
          <w:rFonts w:ascii="Arial" w:hAnsi="Arial" w:cs="Arial"/>
          <w:i/>
        </w:rPr>
        <w:t xml:space="preserve"> kamatn</w:t>
      </w:r>
      <w:r w:rsidR="00492159" w:rsidRPr="00BF51BB">
        <w:rPr>
          <w:rFonts w:ascii="Arial" w:hAnsi="Arial" w:cs="Arial"/>
          <w:i/>
        </w:rPr>
        <w:t>e</w:t>
      </w:r>
      <w:r w:rsidR="00752945" w:rsidRPr="00BF51BB">
        <w:rPr>
          <w:rFonts w:ascii="Arial" w:hAnsi="Arial" w:cs="Arial"/>
          <w:i/>
        </w:rPr>
        <w:t xml:space="preserve"> stop</w:t>
      </w:r>
      <w:r w:rsidR="00492159" w:rsidRPr="00BF51BB">
        <w:rPr>
          <w:rFonts w:ascii="Arial" w:hAnsi="Arial" w:cs="Arial"/>
          <w:i/>
        </w:rPr>
        <w:t>e</w:t>
      </w:r>
      <w:r w:rsidR="002F0375" w:rsidRPr="00BF51BB">
        <w:rPr>
          <w:rFonts w:ascii="Arial" w:hAnsi="Arial" w:cs="Arial"/>
          <w:i/>
        </w:rPr>
        <w:t xml:space="preserve"> uz preferiranu valutu EUR</w:t>
      </w:r>
      <w:r w:rsidR="00752945" w:rsidRPr="00BF51BB">
        <w:rPr>
          <w:rFonts w:ascii="Arial" w:hAnsi="Arial" w:cs="Arial"/>
          <w:i/>
        </w:rPr>
        <w:t>.</w:t>
      </w:r>
      <w:r w:rsidR="00ED768D" w:rsidRPr="00BF51BB">
        <w:rPr>
          <w:rFonts w:ascii="Arial" w:hAnsi="Arial" w:cs="Arial"/>
          <w:i/>
        </w:rPr>
        <w:t xml:space="preserve"> </w:t>
      </w:r>
      <w:r w:rsidRPr="00BF51BB">
        <w:rPr>
          <w:rFonts w:ascii="Arial" w:hAnsi="Arial" w:cs="Arial"/>
          <w:i/>
        </w:rPr>
        <w:t>Budžet</w:t>
      </w:r>
      <w:r w:rsidR="007E269C" w:rsidRPr="00BF51BB">
        <w:rPr>
          <w:rFonts w:ascii="Arial" w:hAnsi="Arial" w:cs="Arial"/>
          <w:i/>
        </w:rPr>
        <w:t>ska podrška će se finansirati</w:t>
      </w:r>
      <w:r w:rsidRPr="00BF51BB">
        <w:rPr>
          <w:rFonts w:ascii="Arial" w:hAnsi="Arial" w:cs="Arial"/>
          <w:i/>
        </w:rPr>
        <w:t xml:space="preserve"> </w:t>
      </w:r>
      <w:r w:rsidR="00715ECB" w:rsidRPr="00BF51BB">
        <w:rPr>
          <w:rFonts w:ascii="Arial" w:hAnsi="Arial" w:cs="Arial"/>
          <w:i/>
        </w:rPr>
        <w:t xml:space="preserve">sredstvima </w:t>
      </w:r>
      <w:r w:rsidR="00492159" w:rsidRPr="00BF51BB">
        <w:rPr>
          <w:rFonts w:ascii="Arial" w:hAnsi="Arial" w:cs="Arial"/>
          <w:i/>
        </w:rPr>
        <w:t>E</w:t>
      </w:r>
      <w:r w:rsidR="00AD3357">
        <w:rPr>
          <w:rFonts w:ascii="Arial" w:hAnsi="Arial" w:cs="Arial"/>
          <w:i/>
        </w:rPr>
        <w:t>v</w:t>
      </w:r>
      <w:r w:rsidR="00492159" w:rsidRPr="00BF51BB">
        <w:rPr>
          <w:rFonts w:ascii="Arial" w:hAnsi="Arial" w:cs="Arial"/>
          <w:i/>
        </w:rPr>
        <w:t xml:space="preserve">ropske unije u okviru makroekonomske pomoći kao i sredstvima prikupljenim </w:t>
      </w:r>
      <w:r w:rsidRPr="00BF51BB">
        <w:rPr>
          <w:rFonts w:ascii="Arial" w:hAnsi="Arial" w:cs="Arial"/>
          <w:i/>
        </w:rPr>
        <w:t xml:space="preserve">emisijama trezorskih zapisa i </w:t>
      </w:r>
      <w:r w:rsidR="00DD1578" w:rsidRPr="00BF51BB">
        <w:rPr>
          <w:rFonts w:ascii="Arial" w:hAnsi="Arial" w:cs="Arial"/>
          <w:i/>
        </w:rPr>
        <w:t xml:space="preserve">trogodišnjih, </w:t>
      </w:r>
      <w:r w:rsidRPr="00BF51BB">
        <w:rPr>
          <w:rFonts w:ascii="Arial" w:hAnsi="Arial" w:cs="Arial"/>
          <w:i/>
        </w:rPr>
        <w:t xml:space="preserve">petogodišnjih, </w:t>
      </w:r>
      <w:r w:rsidR="00492159" w:rsidRPr="00BF51BB">
        <w:rPr>
          <w:rFonts w:ascii="Arial" w:hAnsi="Arial" w:cs="Arial"/>
          <w:i/>
        </w:rPr>
        <w:t xml:space="preserve">šestogodišnjih, </w:t>
      </w:r>
      <w:r w:rsidRPr="00BF51BB">
        <w:rPr>
          <w:rFonts w:ascii="Arial" w:hAnsi="Arial" w:cs="Arial"/>
          <w:i/>
        </w:rPr>
        <w:t>sedmogodišnjih</w:t>
      </w:r>
      <w:r w:rsidR="00D1611F" w:rsidRPr="00BF51BB">
        <w:rPr>
          <w:rFonts w:ascii="Arial" w:hAnsi="Arial" w:cs="Arial"/>
          <w:i/>
        </w:rPr>
        <w:t>,</w:t>
      </w:r>
      <w:r w:rsidRPr="00BF51BB">
        <w:rPr>
          <w:rFonts w:ascii="Arial" w:hAnsi="Arial" w:cs="Arial"/>
          <w:i/>
        </w:rPr>
        <w:t xml:space="preserve"> desetogodišnjih </w:t>
      </w:r>
      <w:r w:rsidR="0047387A" w:rsidRPr="00BF51BB">
        <w:rPr>
          <w:rFonts w:ascii="Arial" w:hAnsi="Arial" w:cs="Arial"/>
          <w:i/>
        </w:rPr>
        <w:t>obveznica</w:t>
      </w:r>
      <w:r w:rsidRPr="00BF51BB">
        <w:rPr>
          <w:rFonts w:ascii="Arial" w:hAnsi="Arial" w:cs="Arial"/>
          <w:i/>
        </w:rPr>
        <w:t xml:space="preserve"> u obimu koji osigurava </w:t>
      </w:r>
      <w:r w:rsidR="00B44EE9" w:rsidRPr="00BF51BB">
        <w:rPr>
          <w:rFonts w:ascii="Arial" w:hAnsi="Arial" w:cs="Arial"/>
          <w:i/>
        </w:rPr>
        <w:t xml:space="preserve">i </w:t>
      </w:r>
      <w:r w:rsidRPr="00BF51BB">
        <w:rPr>
          <w:rFonts w:ascii="Arial" w:hAnsi="Arial" w:cs="Arial"/>
          <w:i/>
        </w:rPr>
        <w:t>razvoj domaćeg tržišta.</w:t>
      </w:r>
    </w:p>
    <w:p w14:paraId="1BDEB71B" w14:textId="77777777" w:rsidR="000D15AD" w:rsidRPr="00BF51BB" w:rsidRDefault="000D15AD" w:rsidP="000D15AD">
      <w:pPr>
        <w:spacing w:after="0"/>
        <w:jc w:val="both"/>
        <w:rPr>
          <w:rFonts w:ascii="Arial" w:hAnsi="Arial" w:cs="Arial"/>
        </w:rPr>
      </w:pPr>
    </w:p>
    <w:p w14:paraId="4A234347" w14:textId="1509B7C9" w:rsidR="00D1611F" w:rsidRPr="00BF51BB" w:rsidRDefault="00ED768D" w:rsidP="00D1611F">
      <w:pPr>
        <w:spacing w:after="0"/>
        <w:jc w:val="both"/>
        <w:rPr>
          <w:rFonts w:ascii="Arial" w:hAnsi="Arial" w:cs="Arial"/>
        </w:rPr>
      </w:pPr>
      <w:r w:rsidRPr="00BF51BB">
        <w:rPr>
          <w:rFonts w:ascii="Arial" w:hAnsi="Arial" w:cs="Arial"/>
          <w:b/>
          <w:i/>
        </w:rPr>
        <w:t>Strategija 2</w:t>
      </w:r>
      <w:r w:rsidRPr="00BF51BB">
        <w:rPr>
          <w:rFonts w:ascii="Arial" w:hAnsi="Arial" w:cs="Arial"/>
          <w:i/>
        </w:rPr>
        <w:t xml:space="preserve"> (S2)</w:t>
      </w:r>
      <w:r w:rsidR="001446EC" w:rsidRPr="00BF51BB">
        <w:rPr>
          <w:rFonts w:ascii="Arial" w:hAnsi="Arial" w:cs="Arial"/>
          <w:i/>
        </w:rPr>
        <w:t>:</w:t>
      </w:r>
      <w:r w:rsidR="007427FC" w:rsidRPr="00BF51BB">
        <w:rPr>
          <w:rFonts w:ascii="Arial" w:hAnsi="Arial" w:cs="Arial"/>
          <w:i/>
        </w:rPr>
        <w:t xml:space="preserve"> </w:t>
      </w:r>
      <w:r w:rsidR="00BE14BB" w:rsidRPr="00BF51BB">
        <w:rPr>
          <w:rFonts w:ascii="Arial" w:hAnsi="Arial" w:cs="Arial"/>
          <w:i/>
        </w:rPr>
        <w:t xml:space="preserve">zaduživanje Federacije BiH u skladu s Budžetom Federacije BiH za </w:t>
      </w:r>
      <w:r w:rsidR="00997948" w:rsidRPr="00BF51BB">
        <w:rPr>
          <w:rFonts w:ascii="Arial" w:hAnsi="Arial" w:cs="Arial"/>
          <w:i/>
        </w:rPr>
        <w:t>2022</w:t>
      </w:r>
      <w:r w:rsidR="00BE14BB" w:rsidRPr="00BF51BB">
        <w:rPr>
          <w:rFonts w:ascii="Arial" w:hAnsi="Arial" w:cs="Arial"/>
          <w:i/>
        </w:rPr>
        <w:t xml:space="preserve">. godinu, </w:t>
      </w:r>
      <w:r w:rsidR="00435E22" w:rsidRPr="00BF51BB">
        <w:rPr>
          <w:rFonts w:ascii="Arial" w:hAnsi="Arial" w:cs="Arial"/>
          <w:i/>
        </w:rPr>
        <w:t xml:space="preserve">Dokumentom okvirnog budžeta Federacije BiH u periodu </w:t>
      </w:r>
      <w:r w:rsidR="00997948" w:rsidRPr="00BF51BB">
        <w:rPr>
          <w:rFonts w:ascii="Arial" w:hAnsi="Arial" w:cs="Arial"/>
          <w:i/>
        </w:rPr>
        <w:t>2022</w:t>
      </w:r>
      <w:r w:rsidR="009645F1" w:rsidRPr="00BF51BB">
        <w:rPr>
          <w:rFonts w:ascii="Arial" w:hAnsi="Arial" w:cs="Arial"/>
          <w:i/>
        </w:rPr>
        <w:t>.</w:t>
      </w:r>
      <w:r w:rsidR="00435E22" w:rsidRPr="00BF51BB">
        <w:rPr>
          <w:rFonts w:ascii="Arial" w:hAnsi="Arial" w:cs="Arial"/>
          <w:i/>
        </w:rPr>
        <w:t>-</w:t>
      </w:r>
      <w:r w:rsidR="00997948" w:rsidRPr="00BF51BB">
        <w:rPr>
          <w:rFonts w:ascii="Arial" w:hAnsi="Arial" w:cs="Arial"/>
          <w:i/>
        </w:rPr>
        <w:t>2024</w:t>
      </w:r>
      <w:r w:rsidR="00435E22" w:rsidRPr="00BF51BB">
        <w:rPr>
          <w:rFonts w:ascii="Arial" w:hAnsi="Arial" w:cs="Arial"/>
          <w:i/>
        </w:rPr>
        <w:t xml:space="preserve">. godina i PJI-a za period </w:t>
      </w:r>
      <w:r w:rsidR="00997948" w:rsidRPr="00BF51BB">
        <w:rPr>
          <w:rFonts w:ascii="Arial" w:hAnsi="Arial" w:cs="Arial"/>
          <w:i/>
        </w:rPr>
        <w:t>2022</w:t>
      </w:r>
      <w:r w:rsidR="009645F1" w:rsidRPr="00BF51BB">
        <w:rPr>
          <w:rFonts w:ascii="Arial" w:hAnsi="Arial" w:cs="Arial"/>
          <w:i/>
        </w:rPr>
        <w:t>.</w:t>
      </w:r>
      <w:r w:rsidR="00435E22" w:rsidRPr="00BF51BB">
        <w:rPr>
          <w:rFonts w:ascii="Arial" w:hAnsi="Arial" w:cs="Arial"/>
          <w:i/>
        </w:rPr>
        <w:t>-</w:t>
      </w:r>
      <w:r w:rsidR="00997948" w:rsidRPr="00BF51BB">
        <w:rPr>
          <w:rFonts w:ascii="Arial" w:hAnsi="Arial" w:cs="Arial"/>
          <w:i/>
        </w:rPr>
        <w:t>2024</w:t>
      </w:r>
      <w:r w:rsidR="00435E22" w:rsidRPr="00BF51BB">
        <w:rPr>
          <w:rFonts w:ascii="Arial" w:hAnsi="Arial" w:cs="Arial"/>
          <w:i/>
        </w:rPr>
        <w:t>. godine</w:t>
      </w:r>
      <w:r w:rsidR="00CA3B13" w:rsidRPr="00BF51BB">
        <w:rPr>
          <w:rFonts w:ascii="Arial" w:hAnsi="Arial" w:cs="Arial"/>
          <w:i/>
        </w:rPr>
        <w:t>.</w:t>
      </w:r>
      <w:r w:rsidRPr="00BF51BB">
        <w:rPr>
          <w:rFonts w:ascii="Arial" w:hAnsi="Arial" w:cs="Arial"/>
          <w:i/>
        </w:rPr>
        <w:t xml:space="preserve"> </w:t>
      </w:r>
      <w:r w:rsidR="009E79E0" w:rsidRPr="00BF51BB">
        <w:rPr>
          <w:rFonts w:ascii="Arial" w:hAnsi="Arial" w:cs="Arial"/>
          <w:i/>
        </w:rPr>
        <w:t>U cilju procj</w:t>
      </w:r>
      <w:r w:rsidR="00435E22" w:rsidRPr="00BF51BB">
        <w:rPr>
          <w:rFonts w:ascii="Arial" w:hAnsi="Arial" w:cs="Arial"/>
          <w:i/>
        </w:rPr>
        <w:t xml:space="preserve">ene troškova i rizika </w:t>
      </w:r>
      <w:r w:rsidR="00997948" w:rsidRPr="00BF51BB">
        <w:rPr>
          <w:rFonts w:ascii="Arial" w:hAnsi="Arial" w:cs="Arial"/>
          <w:i/>
        </w:rPr>
        <w:t xml:space="preserve"> razmatrani su kreditni uslovi koji podrazumijevaju kredite sa ugovorenom promjenjivom kamatnom stopom uz preferiranu valutu EUR</w:t>
      </w:r>
      <w:r w:rsidR="00DC10AD" w:rsidRPr="00BF51BB">
        <w:rPr>
          <w:rFonts w:ascii="Arial" w:hAnsi="Arial" w:cs="Arial"/>
          <w:i/>
        </w:rPr>
        <w:t>.</w:t>
      </w:r>
      <w:r w:rsidR="00E9638C" w:rsidRPr="00BF51BB">
        <w:rPr>
          <w:rFonts w:ascii="Arial" w:hAnsi="Arial" w:cs="Arial"/>
          <w:i/>
        </w:rPr>
        <w:t xml:space="preserve"> </w:t>
      </w:r>
      <w:r w:rsidR="00D1611F" w:rsidRPr="00BF51BB">
        <w:rPr>
          <w:rFonts w:ascii="Arial" w:hAnsi="Arial" w:cs="Arial"/>
          <w:i/>
        </w:rPr>
        <w:t xml:space="preserve">Budžetska podrška će se </w:t>
      </w:r>
      <w:r w:rsidR="00DC10AD" w:rsidRPr="00BF51BB">
        <w:rPr>
          <w:rFonts w:ascii="Arial" w:hAnsi="Arial" w:cs="Arial"/>
          <w:i/>
        </w:rPr>
        <w:t>dodatno finansirati sredstvima E</w:t>
      </w:r>
      <w:r w:rsidR="00A10DA0">
        <w:rPr>
          <w:rFonts w:ascii="Arial" w:hAnsi="Arial" w:cs="Arial"/>
          <w:i/>
        </w:rPr>
        <w:t>v</w:t>
      </w:r>
      <w:r w:rsidR="00DC10AD" w:rsidRPr="00BF51BB">
        <w:rPr>
          <w:rFonts w:ascii="Arial" w:hAnsi="Arial" w:cs="Arial"/>
          <w:i/>
        </w:rPr>
        <w:t xml:space="preserve">ropske unije </w:t>
      </w:r>
      <w:r w:rsidR="005908FE" w:rsidRPr="00BF51BB">
        <w:rPr>
          <w:rFonts w:ascii="Arial" w:hAnsi="Arial" w:cs="Arial"/>
          <w:i/>
        </w:rPr>
        <w:t>u skladu sa sporazumom</w:t>
      </w:r>
      <w:r w:rsidR="00DC10AD" w:rsidRPr="00BF51BB">
        <w:rPr>
          <w:rFonts w:ascii="Arial" w:hAnsi="Arial" w:cs="Arial"/>
          <w:i/>
        </w:rPr>
        <w:t xml:space="preserve"> kao i </w:t>
      </w:r>
      <w:r w:rsidR="00D1611F" w:rsidRPr="00BF51BB">
        <w:rPr>
          <w:rFonts w:ascii="Arial" w:hAnsi="Arial" w:cs="Arial"/>
          <w:i/>
        </w:rPr>
        <w:t>sredstvima prikupljenim emisijama trezorskih zapisa i trogodišnjih, petogodišnjih, sedmogodišnjih</w:t>
      </w:r>
      <w:r w:rsidR="00DC10AD" w:rsidRPr="00BF51BB">
        <w:rPr>
          <w:rFonts w:ascii="Arial" w:hAnsi="Arial" w:cs="Arial"/>
          <w:i/>
        </w:rPr>
        <w:t xml:space="preserve"> i</w:t>
      </w:r>
      <w:r w:rsidR="00D1611F" w:rsidRPr="00BF51BB">
        <w:rPr>
          <w:rFonts w:ascii="Arial" w:hAnsi="Arial" w:cs="Arial"/>
          <w:i/>
        </w:rPr>
        <w:t xml:space="preserve"> desetogodišnjih obveznica u obimu koji osigurava i razvoj domaćeg tržišta.</w:t>
      </w:r>
    </w:p>
    <w:p w14:paraId="45D8C4AC" w14:textId="77777777" w:rsidR="000D15AD" w:rsidRPr="00BF51BB" w:rsidRDefault="000D15AD" w:rsidP="000D15AD">
      <w:pPr>
        <w:spacing w:after="0"/>
        <w:jc w:val="both"/>
        <w:rPr>
          <w:rFonts w:ascii="Arial" w:hAnsi="Arial" w:cs="Arial"/>
          <w:b/>
        </w:rPr>
      </w:pPr>
    </w:p>
    <w:p w14:paraId="52F5854C" w14:textId="5E0F55B1" w:rsidR="00997948" w:rsidRPr="00BF51BB" w:rsidRDefault="00ED768D" w:rsidP="00997948">
      <w:pPr>
        <w:spacing w:after="0"/>
        <w:jc w:val="both"/>
        <w:rPr>
          <w:rFonts w:ascii="Arial" w:hAnsi="Arial" w:cs="Arial"/>
        </w:rPr>
      </w:pPr>
      <w:r w:rsidRPr="00BF51BB">
        <w:rPr>
          <w:rFonts w:ascii="Arial" w:hAnsi="Arial" w:cs="Arial"/>
          <w:b/>
          <w:i/>
        </w:rPr>
        <w:t xml:space="preserve">Strategija 3 </w:t>
      </w:r>
      <w:r w:rsidRPr="00BF51BB">
        <w:rPr>
          <w:rFonts w:ascii="Arial" w:hAnsi="Arial" w:cs="Arial"/>
          <w:i/>
        </w:rPr>
        <w:t>(S3)</w:t>
      </w:r>
      <w:r w:rsidR="00B44EE9" w:rsidRPr="00BF51BB">
        <w:rPr>
          <w:rFonts w:ascii="Arial" w:hAnsi="Arial" w:cs="Arial"/>
          <w:i/>
        </w:rPr>
        <w:t>:</w:t>
      </w:r>
      <w:r w:rsidR="00DC10AD" w:rsidRPr="00BF51BB">
        <w:rPr>
          <w:rFonts w:ascii="Arial" w:hAnsi="Arial" w:cs="Arial"/>
          <w:i/>
        </w:rPr>
        <w:t xml:space="preserve"> </w:t>
      </w:r>
      <w:r w:rsidR="00997948" w:rsidRPr="00BF51BB">
        <w:rPr>
          <w:rFonts w:ascii="Arial" w:hAnsi="Arial" w:cs="Arial"/>
          <w:i/>
        </w:rPr>
        <w:t>zaduživanje Federacije BiH u skladu s Budžetom Federacije BiH za 2022. godinu, Dokumentom okvirnog budžeta Federacije BiH u periodu 2022</w:t>
      </w:r>
      <w:r w:rsidR="009645F1" w:rsidRPr="00BF51BB">
        <w:rPr>
          <w:rFonts w:ascii="Arial" w:hAnsi="Arial" w:cs="Arial"/>
          <w:i/>
        </w:rPr>
        <w:t>.</w:t>
      </w:r>
      <w:r w:rsidR="00997948" w:rsidRPr="00BF51BB">
        <w:rPr>
          <w:rFonts w:ascii="Arial" w:hAnsi="Arial" w:cs="Arial"/>
          <w:i/>
        </w:rPr>
        <w:t>-2024. godina i PJI-a za period 2022</w:t>
      </w:r>
      <w:r w:rsidR="009645F1" w:rsidRPr="00BF51BB">
        <w:rPr>
          <w:rFonts w:ascii="Arial" w:hAnsi="Arial" w:cs="Arial"/>
          <w:i/>
        </w:rPr>
        <w:t>.</w:t>
      </w:r>
      <w:r w:rsidR="00997948" w:rsidRPr="00BF51BB">
        <w:rPr>
          <w:rFonts w:ascii="Arial" w:hAnsi="Arial" w:cs="Arial"/>
          <w:i/>
        </w:rPr>
        <w:t>-2024. godine</w:t>
      </w:r>
      <w:r w:rsidR="001B2D70" w:rsidRPr="00BF51BB">
        <w:rPr>
          <w:rFonts w:ascii="Arial" w:hAnsi="Arial" w:cs="Arial"/>
          <w:i/>
        </w:rPr>
        <w:t>.</w:t>
      </w:r>
      <w:r w:rsidR="00997948" w:rsidRPr="00BF51BB">
        <w:rPr>
          <w:rFonts w:ascii="Arial" w:hAnsi="Arial" w:cs="Arial"/>
          <w:i/>
        </w:rPr>
        <w:t xml:space="preserve"> </w:t>
      </w:r>
      <w:r w:rsidR="00820F18" w:rsidRPr="00BF51BB">
        <w:rPr>
          <w:rFonts w:ascii="Arial" w:hAnsi="Arial" w:cs="Arial"/>
          <w:i/>
        </w:rPr>
        <w:t xml:space="preserve">Kreditni uslovi pod kojima bi se Federacija BiH trebala zadužiti za finansiranje razvojnih projekata (u cilju procjene tako nastalih troškova) koji podrazumijevaju kredite sa ugovorenom fiksnom kamatnom stopom uz preferiranu valutu EUR. </w:t>
      </w:r>
      <w:r w:rsidR="00997948" w:rsidRPr="00BF51BB">
        <w:rPr>
          <w:rFonts w:ascii="Arial" w:hAnsi="Arial" w:cs="Arial"/>
          <w:i/>
        </w:rPr>
        <w:t>Budžetska podrška će se finansirati sredstvima prikupljenim emisijama trezorskih zapisa i trogodišnjih, petogodišnjih, sedmogodišnjih i desetogodišnjih obveznica u obimu koji osigurava i razvoj domaćeg tržišta.</w:t>
      </w:r>
    </w:p>
    <w:p w14:paraId="5056FF5B" w14:textId="3E29FBFE" w:rsidR="000D15AD" w:rsidRPr="00BF51BB" w:rsidRDefault="000D15AD" w:rsidP="000D15AD">
      <w:pPr>
        <w:spacing w:after="0"/>
        <w:jc w:val="both"/>
        <w:rPr>
          <w:rFonts w:ascii="Arial" w:hAnsi="Arial" w:cs="Arial"/>
          <w:b/>
          <w:i/>
          <w:highlight w:val="yellow"/>
        </w:rPr>
      </w:pPr>
    </w:p>
    <w:p w14:paraId="005FDC94" w14:textId="45381E73" w:rsidR="00820F18" w:rsidRPr="00BF51BB" w:rsidRDefault="00ED768D" w:rsidP="006F06B8">
      <w:pPr>
        <w:spacing w:after="0"/>
        <w:jc w:val="both"/>
        <w:rPr>
          <w:rFonts w:ascii="Arial" w:hAnsi="Arial" w:cs="Arial"/>
          <w:i/>
        </w:rPr>
      </w:pPr>
      <w:r w:rsidRPr="00BF51BB">
        <w:rPr>
          <w:rFonts w:ascii="Arial" w:hAnsi="Arial" w:cs="Arial"/>
          <w:b/>
          <w:i/>
        </w:rPr>
        <w:t>Strategija 4</w:t>
      </w:r>
      <w:r w:rsidRPr="00BF51BB">
        <w:rPr>
          <w:rFonts w:ascii="Arial" w:hAnsi="Arial" w:cs="Arial"/>
          <w:i/>
        </w:rPr>
        <w:t xml:space="preserve"> (S4)</w:t>
      </w:r>
      <w:r w:rsidR="00804BE8" w:rsidRPr="00BF51BB">
        <w:rPr>
          <w:rFonts w:ascii="Arial" w:hAnsi="Arial" w:cs="Arial"/>
        </w:rPr>
        <w:t xml:space="preserve">: </w:t>
      </w:r>
      <w:r w:rsidR="00820F18" w:rsidRPr="00BF51BB">
        <w:rPr>
          <w:rFonts w:ascii="Arial" w:hAnsi="Arial" w:cs="Arial"/>
          <w:i/>
        </w:rPr>
        <w:t>zaduživanje Federacije BiH u skladu s Budžetom Federacije BiH za 2022. godinu, Dokumentom okvirnog budžeta Federacije BiH u periodu 2022</w:t>
      </w:r>
      <w:r w:rsidR="009645F1" w:rsidRPr="00BF51BB">
        <w:rPr>
          <w:rFonts w:ascii="Arial" w:hAnsi="Arial" w:cs="Arial"/>
          <w:i/>
        </w:rPr>
        <w:t>.</w:t>
      </w:r>
      <w:r w:rsidR="00820F18" w:rsidRPr="00BF51BB">
        <w:rPr>
          <w:rFonts w:ascii="Arial" w:hAnsi="Arial" w:cs="Arial"/>
          <w:i/>
        </w:rPr>
        <w:t>-2024. godina i PJI-a za period 2022</w:t>
      </w:r>
      <w:r w:rsidR="009645F1" w:rsidRPr="00BF51BB">
        <w:rPr>
          <w:rFonts w:ascii="Arial" w:hAnsi="Arial" w:cs="Arial"/>
          <w:i/>
        </w:rPr>
        <w:t>.</w:t>
      </w:r>
      <w:r w:rsidR="00820F18" w:rsidRPr="00BF51BB">
        <w:rPr>
          <w:rFonts w:ascii="Arial" w:hAnsi="Arial" w:cs="Arial"/>
          <w:i/>
        </w:rPr>
        <w:t>-2024. godine</w:t>
      </w:r>
      <w:r w:rsidR="00640FC4" w:rsidRPr="00BF51BB">
        <w:rPr>
          <w:rFonts w:ascii="Arial" w:hAnsi="Arial" w:cs="Arial"/>
          <w:i/>
        </w:rPr>
        <w:t xml:space="preserve">. Finansiranje razvojnih projekta do </w:t>
      </w:r>
      <w:r w:rsidR="00820F18" w:rsidRPr="00BF51BB">
        <w:rPr>
          <w:rFonts w:ascii="Arial" w:hAnsi="Arial" w:cs="Arial"/>
          <w:i/>
        </w:rPr>
        <w:t>2024</w:t>
      </w:r>
      <w:r w:rsidR="00640FC4" w:rsidRPr="00BF51BB">
        <w:rPr>
          <w:rFonts w:ascii="Arial" w:hAnsi="Arial" w:cs="Arial"/>
          <w:i/>
        </w:rPr>
        <w:t xml:space="preserve">. godine procijenjeno je na </w:t>
      </w:r>
      <w:r w:rsidR="00FE64B7" w:rsidRPr="00BF51BB">
        <w:rPr>
          <w:rFonts w:ascii="Arial" w:hAnsi="Arial" w:cs="Arial"/>
          <w:i/>
        </w:rPr>
        <w:t>1.</w:t>
      </w:r>
      <w:r w:rsidR="009137F0" w:rsidRPr="00BF51BB">
        <w:rPr>
          <w:rFonts w:ascii="Arial" w:hAnsi="Arial" w:cs="Arial"/>
          <w:i/>
        </w:rPr>
        <w:t>791,56</w:t>
      </w:r>
      <w:r w:rsidR="009137F0" w:rsidRPr="00BF51BB">
        <w:rPr>
          <w:rFonts w:ascii="Arial" w:hAnsi="Arial" w:cs="Arial"/>
        </w:rPr>
        <w:t xml:space="preserve"> </w:t>
      </w:r>
      <w:r w:rsidR="00FE64B7" w:rsidRPr="00BF51BB">
        <w:rPr>
          <w:rFonts w:ascii="Arial" w:hAnsi="Arial" w:cs="Arial"/>
          <w:i/>
        </w:rPr>
        <w:t>mil.</w:t>
      </w:r>
      <w:r w:rsidR="009137F0" w:rsidRPr="00BF51BB">
        <w:rPr>
          <w:rFonts w:ascii="Arial" w:hAnsi="Arial" w:cs="Arial"/>
          <w:i/>
        </w:rPr>
        <w:t xml:space="preserve"> </w:t>
      </w:r>
      <w:r w:rsidR="00FE64B7" w:rsidRPr="00BF51BB">
        <w:rPr>
          <w:rFonts w:ascii="Arial" w:hAnsi="Arial" w:cs="Arial"/>
          <w:i/>
        </w:rPr>
        <w:t>KM</w:t>
      </w:r>
      <w:r w:rsidR="00640FC4" w:rsidRPr="00BF51BB">
        <w:rPr>
          <w:rFonts w:ascii="Arial" w:hAnsi="Arial" w:cs="Arial"/>
          <w:i/>
        </w:rPr>
        <w:t xml:space="preserve">. </w:t>
      </w:r>
      <w:r w:rsidR="00820F18" w:rsidRPr="00BF51BB">
        <w:rPr>
          <w:rFonts w:ascii="Arial" w:hAnsi="Arial" w:cs="Arial"/>
          <w:i/>
        </w:rPr>
        <w:t>Budžetska podrška planirana da se finansira sredstvima E</w:t>
      </w:r>
      <w:r w:rsidR="00A10DA0">
        <w:rPr>
          <w:rFonts w:ascii="Arial" w:hAnsi="Arial" w:cs="Arial"/>
          <w:i/>
        </w:rPr>
        <w:t>v</w:t>
      </w:r>
      <w:r w:rsidR="00820F18" w:rsidRPr="00BF51BB">
        <w:rPr>
          <w:rFonts w:ascii="Arial" w:hAnsi="Arial" w:cs="Arial"/>
          <w:i/>
        </w:rPr>
        <w:t xml:space="preserve">ropske unije u okviru makroekonomske pomoći </w:t>
      </w:r>
      <w:r w:rsidR="009A2717" w:rsidRPr="00BF51BB">
        <w:rPr>
          <w:rFonts w:ascii="Arial" w:hAnsi="Arial" w:cs="Arial"/>
          <w:i/>
        </w:rPr>
        <w:t>zamijenjena</w:t>
      </w:r>
      <w:r w:rsidR="00820F18" w:rsidRPr="00BF51BB">
        <w:rPr>
          <w:rFonts w:ascii="Arial" w:hAnsi="Arial" w:cs="Arial"/>
          <w:i/>
        </w:rPr>
        <w:t xml:space="preserve"> su izdavanjem desetogodišnje i petnaestogodišnje euroobveznice na nivou koji je adekvatan izvorima koji su </w:t>
      </w:r>
      <w:r w:rsidR="009A2717" w:rsidRPr="00BF51BB">
        <w:rPr>
          <w:rFonts w:ascii="Arial" w:hAnsi="Arial" w:cs="Arial"/>
          <w:i/>
        </w:rPr>
        <w:t>zamijenjeni</w:t>
      </w:r>
      <w:r w:rsidR="00820F18" w:rsidRPr="00BF51BB">
        <w:rPr>
          <w:rFonts w:ascii="Arial" w:hAnsi="Arial" w:cs="Arial"/>
          <w:i/>
        </w:rPr>
        <w:t xml:space="preserve"> kao i sredstvima prikupljenim emisijama trezorskih zapisa i trogodišnjih, petogodišnjih, šestogodišnjih, sedmogodišnjih, desetogodišnjih obveznica u obimu koji osigurava i razvoj domaćeg tržišta.</w:t>
      </w:r>
    </w:p>
    <w:p w14:paraId="5736C7F3" w14:textId="77777777" w:rsidR="00820F18" w:rsidRPr="00BF51BB" w:rsidRDefault="00820F18" w:rsidP="006F06B8">
      <w:pPr>
        <w:spacing w:after="0"/>
        <w:jc w:val="both"/>
        <w:rPr>
          <w:rFonts w:ascii="Arial" w:hAnsi="Arial" w:cs="Arial"/>
          <w:i/>
          <w:highlight w:val="yellow"/>
        </w:rPr>
      </w:pPr>
    </w:p>
    <w:p w14:paraId="7553E35B" w14:textId="3B6B788C" w:rsidR="009E79E0" w:rsidRPr="00BF51BB" w:rsidRDefault="009E79E0" w:rsidP="006F06B8">
      <w:pPr>
        <w:spacing w:after="0"/>
        <w:jc w:val="both"/>
        <w:rPr>
          <w:rFonts w:ascii="Arial" w:hAnsi="Arial" w:cs="Arial"/>
          <w:i/>
        </w:rPr>
      </w:pPr>
    </w:p>
    <w:p w14:paraId="19791B2E" w14:textId="77777777" w:rsidR="00721364" w:rsidRPr="00BF51BB" w:rsidRDefault="00721364" w:rsidP="006F06B8">
      <w:pPr>
        <w:spacing w:after="0"/>
        <w:jc w:val="both"/>
        <w:rPr>
          <w:rFonts w:ascii="Arial" w:hAnsi="Arial" w:cs="Arial"/>
          <w:i/>
        </w:rPr>
      </w:pPr>
    </w:p>
    <w:p w14:paraId="2E461BE9" w14:textId="77777777" w:rsidR="00ED768D" w:rsidRPr="00BF51BB" w:rsidRDefault="00ED768D" w:rsidP="006F06B8">
      <w:pPr>
        <w:pStyle w:val="Heading2"/>
        <w:numPr>
          <w:ilvl w:val="1"/>
          <w:numId w:val="5"/>
        </w:numPr>
        <w:spacing w:before="0" w:line="240" w:lineRule="auto"/>
        <w:ind w:left="993" w:hanging="709"/>
        <w:rPr>
          <w:rFonts w:ascii="Arial" w:hAnsi="Arial" w:cs="Arial"/>
          <w:b w:val="0"/>
          <w:color w:val="auto"/>
          <w:sz w:val="24"/>
        </w:rPr>
      </w:pPr>
      <w:bookmarkStart w:id="129" w:name="_Toc100667337"/>
      <w:bookmarkStart w:id="130" w:name="_Toc100751763"/>
      <w:bookmarkStart w:id="131" w:name="_Toc100754220"/>
      <w:bookmarkStart w:id="132" w:name="_Toc100754664"/>
      <w:bookmarkStart w:id="133" w:name="_Toc100755056"/>
      <w:bookmarkStart w:id="134" w:name="_Toc100818787"/>
      <w:bookmarkStart w:id="135" w:name="_Toc100820493"/>
      <w:bookmarkStart w:id="136" w:name="_Toc100822781"/>
      <w:bookmarkStart w:id="137" w:name="_Toc100823320"/>
      <w:bookmarkStart w:id="138" w:name="_Toc100823763"/>
      <w:bookmarkStart w:id="139" w:name="_Toc100667338"/>
      <w:bookmarkStart w:id="140" w:name="_Toc100751764"/>
      <w:bookmarkStart w:id="141" w:name="_Toc100754221"/>
      <w:bookmarkStart w:id="142" w:name="_Toc100754665"/>
      <w:bookmarkStart w:id="143" w:name="_Toc100755057"/>
      <w:bookmarkStart w:id="144" w:name="_Toc100818788"/>
      <w:bookmarkStart w:id="145" w:name="_Toc100820494"/>
      <w:bookmarkStart w:id="146" w:name="_Toc100822782"/>
      <w:bookmarkStart w:id="147" w:name="_Toc100823321"/>
      <w:bookmarkStart w:id="148" w:name="_Toc100823764"/>
      <w:bookmarkStart w:id="149" w:name="_Toc10178104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F51BB">
        <w:rPr>
          <w:rFonts w:ascii="Arial" w:hAnsi="Arial" w:cs="Arial"/>
          <w:b w:val="0"/>
          <w:color w:val="auto"/>
          <w:sz w:val="24"/>
        </w:rPr>
        <w:lastRenderedPageBreak/>
        <w:t>Analiza troškova i rizika alternativnih strategija zaduživanja</w:t>
      </w:r>
      <w:bookmarkEnd w:id="149"/>
      <w:r w:rsidRPr="00BF51BB">
        <w:rPr>
          <w:rFonts w:ascii="Arial" w:hAnsi="Arial" w:cs="Arial"/>
          <w:b w:val="0"/>
          <w:color w:val="auto"/>
          <w:sz w:val="24"/>
        </w:rPr>
        <w:t xml:space="preserve"> </w:t>
      </w:r>
    </w:p>
    <w:p w14:paraId="19FB1303" w14:textId="77777777" w:rsidR="007A7F89" w:rsidRPr="00BF51BB" w:rsidRDefault="007A7F89" w:rsidP="007A7F89">
      <w:pPr>
        <w:spacing w:after="0"/>
      </w:pPr>
    </w:p>
    <w:p w14:paraId="52A98B3E" w14:textId="77777777" w:rsidR="00ED768D" w:rsidRPr="00BF51BB" w:rsidRDefault="00ED768D" w:rsidP="007A7F89">
      <w:pPr>
        <w:pStyle w:val="ListParagraph"/>
        <w:spacing w:after="0" w:line="240" w:lineRule="auto"/>
        <w:contextualSpacing w:val="0"/>
        <w:jc w:val="both"/>
        <w:rPr>
          <w:rFonts w:ascii="Arial" w:hAnsi="Arial" w:cs="Arial"/>
          <w:b/>
          <w:color w:val="E36C0A" w:themeColor="accent6" w:themeShade="BF"/>
          <w:sz w:val="24"/>
          <w:szCs w:val="24"/>
        </w:rPr>
      </w:pPr>
    </w:p>
    <w:p w14:paraId="6D468DCC" w14:textId="39C95491" w:rsidR="00873A1D" w:rsidRPr="00BF51BB" w:rsidRDefault="00873A1D" w:rsidP="00873A1D">
      <w:pPr>
        <w:spacing w:after="0"/>
        <w:ind w:firstLine="284"/>
        <w:jc w:val="both"/>
        <w:rPr>
          <w:rFonts w:ascii="Arial" w:hAnsi="Arial" w:cs="Arial"/>
          <w:szCs w:val="24"/>
          <w:highlight w:val="green"/>
        </w:rPr>
      </w:pPr>
      <w:r w:rsidRPr="00BF51BB">
        <w:rPr>
          <w:rFonts w:ascii="Arial" w:hAnsi="Arial" w:cs="Arial"/>
          <w:szCs w:val="24"/>
        </w:rPr>
        <w:t>Učinak predloženih strategija je procijenjen u osnovnom i šok scenariju. Dva ključna indikatora troškova (dug/BDP i kamata/BDP) izračunati su kako bi se odredio odnos između troškova i rizika različitih scenarija zaduživanja. Promjene visine neotplaćenog duga uzrokovane promjenom valutnog kursa odražavaju se na odnos dug/BDP. U</w:t>
      </w:r>
      <w:r w:rsidR="0000223F">
        <w:rPr>
          <w:rFonts w:ascii="Arial" w:hAnsi="Arial" w:cs="Arial"/>
          <w:szCs w:val="24"/>
        </w:rPr>
        <w:t>češće</w:t>
      </w:r>
      <w:r w:rsidRPr="00BF51BB">
        <w:rPr>
          <w:rFonts w:ascii="Arial" w:hAnsi="Arial" w:cs="Arial"/>
          <w:szCs w:val="24"/>
        </w:rPr>
        <w:t xml:space="preserve"> plaćene kamate u BDP-u daje procjenu potencijalnog utjecaja svake strategije na budžet. Rizik date strategije je razlika između njenih troškova prema scenariju rizika, odnosno scenariju šoka u odnosu na osnovni (bazni) scenarij. </w:t>
      </w:r>
    </w:p>
    <w:p w14:paraId="46BABD86" w14:textId="77777777" w:rsidR="00873A1D" w:rsidRPr="00BF51BB" w:rsidRDefault="00873A1D" w:rsidP="00873A1D">
      <w:pPr>
        <w:spacing w:after="0"/>
        <w:jc w:val="both"/>
        <w:rPr>
          <w:rFonts w:ascii="Arial" w:hAnsi="Arial" w:cs="Arial"/>
          <w:szCs w:val="24"/>
          <w:highlight w:val="yellow"/>
        </w:rPr>
      </w:pPr>
    </w:p>
    <w:p w14:paraId="0505A59C" w14:textId="5B22D01F" w:rsidR="00873A1D" w:rsidRPr="00BF51BB" w:rsidRDefault="00873A1D" w:rsidP="00BF51BB">
      <w:pPr>
        <w:spacing w:after="0"/>
        <w:ind w:firstLine="284"/>
        <w:jc w:val="both"/>
        <w:rPr>
          <w:rFonts w:ascii="Arial" w:hAnsi="Arial" w:cs="Arial"/>
          <w:szCs w:val="24"/>
        </w:rPr>
      </w:pPr>
      <w:r w:rsidRPr="00BF51BB">
        <w:rPr>
          <w:rFonts w:ascii="Arial" w:hAnsi="Arial" w:cs="Arial"/>
          <w:szCs w:val="24"/>
        </w:rPr>
        <w:t>Trošak servisiranja duga u direktnoj je korelaciji sa promjenama kamatnih stopa. Dug sa visokim kamatnim stopama generira tokom vremena veće troškove duga, odnosno povećava potrebe za refinansiranjem. Strategije S</w:t>
      </w:r>
      <w:r w:rsidR="00B9248C" w:rsidRPr="00BF51BB">
        <w:rPr>
          <w:rFonts w:ascii="Arial" w:hAnsi="Arial" w:cs="Arial"/>
          <w:szCs w:val="24"/>
        </w:rPr>
        <w:t>3</w:t>
      </w:r>
      <w:r w:rsidRPr="00BF51BB">
        <w:rPr>
          <w:rFonts w:ascii="Arial" w:hAnsi="Arial" w:cs="Arial"/>
          <w:szCs w:val="24"/>
        </w:rPr>
        <w:t xml:space="preserve"> i S4 su najmanje rizične strategije</w:t>
      </w:r>
      <w:r w:rsidR="0092029D">
        <w:rPr>
          <w:rFonts w:ascii="Arial" w:hAnsi="Arial" w:cs="Arial"/>
          <w:szCs w:val="24"/>
        </w:rPr>
        <w:t>,</w:t>
      </w:r>
      <w:r w:rsidRPr="00BF51BB">
        <w:rPr>
          <w:rFonts w:ascii="Arial" w:hAnsi="Arial" w:cs="Arial"/>
          <w:szCs w:val="24"/>
        </w:rPr>
        <w:t xml:space="preserve"> ali imaju i najveće troškove (Slika 12.) zbog strukture duga u kojoj dominira vanjsko zaduživanje u EUR-ima i u kojem </w:t>
      </w:r>
      <w:r w:rsidR="0000223F" w:rsidRPr="00BF51BB">
        <w:rPr>
          <w:rFonts w:ascii="Arial" w:hAnsi="Arial" w:cs="Arial"/>
          <w:bCs/>
        </w:rPr>
        <w:t>u</w:t>
      </w:r>
      <w:r w:rsidR="0000223F">
        <w:rPr>
          <w:rFonts w:ascii="Arial" w:hAnsi="Arial" w:cs="Arial"/>
          <w:bCs/>
        </w:rPr>
        <w:t>češće</w:t>
      </w:r>
      <w:r w:rsidRPr="00BF51BB">
        <w:rPr>
          <w:rFonts w:ascii="Arial" w:hAnsi="Arial" w:cs="Arial"/>
          <w:szCs w:val="24"/>
        </w:rPr>
        <w:t xml:space="preserve"> duga sa fiksnim kamatnim stopama zadržava visoko učešće u portfoliju ukupnog duga. Strategija S4 je najskuplja jer predviđa zaduživanje u većem obimu na inostranom tržištu kapitala kombinacijom desetogodišnjih i petnaestogodišnjih euroobveznica u uslovima tržišnih kamatnih stopa. Strategije S1 i S</w:t>
      </w:r>
      <w:r w:rsidR="00B9248C" w:rsidRPr="00BF51BB">
        <w:rPr>
          <w:rFonts w:ascii="Arial" w:hAnsi="Arial" w:cs="Arial"/>
          <w:szCs w:val="24"/>
        </w:rPr>
        <w:t>2</w:t>
      </w:r>
      <w:r w:rsidRPr="00BF51BB">
        <w:rPr>
          <w:rFonts w:ascii="Arial" w:hAnsi="Arial" w:cs="Arial"/>
          <w:szCs w:val="24"/>
        </w:rPr>
        <w:t xml:space="preserve"> imaju približno iste troškove</w:t>
      </w:r>
      <w:r w:rsidR="0092029D">
        <w:rPr>
          <w:rFonts w:ascii="Arial" w:hAnsi="Arial" w:cs="Arial"/>
          <w:szCs w:val="24"/>
        </w:rPr>
        <w:t>,</w:t>
      </w:r>
      <w:r w:rsidRPr="00BF51BB">
        <w:rPr>
          <w:rFonts w:ascii="Arial" w:hAnsi="Arial" w:cs="Arial"/>
          <w:szCs w:val="24"/>
        </w:rPr>
        <w:t xml:space="preserve"> s tim da je strategija S</w:t>
      </w:r>
      <w:r w:rsidR="00B9248C" w:rsidRPr="00BF51BB">
        <w:rPr>
          <w:rFonts w:ascii="Arial" w:hAnsi="Arial" w:cs="Arial"/>
          <w:szCs w:val="24"/>
        </w:rPr>
        <w:t>2</w:t>
      </w:r>
      <w:r w:rsidRPr="00BF51BB">
        <w:rPr>
          <w:rFonts w:ascii="Arial" w:hAnsi="Arial" w:cs="Arial"/>
          <w:szCs w:val="24"/>
        </w:rPr>
        <w:t xml:space="preserve"> najrizičnija s obzirom da su u strategiji S</w:t>
      </w:r>
      <w:r w:rsidR="00B9248C" w:rsidRPr="00BF51BB">
        <w:rPr>
          <w:rFonts w:ascii="Arial" w:hAnsi="Arial" w:cs="Arial"/>
          <w:szCs w:val="24"/>
        </w:rPr>
        <w:t>2</w:t>
      </w:r>
      <w:r w:rsidRPr="00BF51BB">
        <w:rPr>
          <w:rFonts w:ascii="Arial" w:hAnsi="Arial" w:cs="Arial"/>
          <w:szCs w:val="24"/>
        </w:rPr>
        <w:t xml:space="preserve"> razmatrani kreditni uslovi u kojima u većem obimu (u odnosu na Strategiju S1) prevladavaju promjenjive kamatne stope. Najveći rizik za sve bazne strategije u pogledu omjera kamata/BDP predstavlja ekstremni kamatni šok u 2. godini strategije. Odstupanje od baznog scenarija kreće u iznosu od 0,</w:t>
      </w:r>
      <w:r w:rsidR="00E728FD" w:rsidRPr="00BF51BB">
        <w:rPr>
          <w:rFonts w:ascii="Arial" w:hAnsi="Arial" w:cs="Arial"/>
          <w:szCs w:val="24"/>
        </w:rPr>
        <w:t>4488</w:t>
      </w:r>
      <w:r w:rsidRPr="00BF51BB">
        <w:rPr>
          <w:rFonts w:ascii="Arial" w:hAnsi="Arial" w:cs="Arial"/>
          <w:szCs w:val="24"/>
        </w:rPr>
        <w:t>% – 0,</w:t>
      </w:r>
      <w:r w:rsidR="00E728FD" w:rsidRPr="00BF51BB">
        <w:rPr>
          <w:rFonts w:ascii="Arial" w:hAnsi="Arial" w:cs="Arial"/>
          <w:szCs w:val="24"/>
        </w:rPr>
        <w:t>4497</w:t>
      </w:r>
      <w:r w:rsidRPr="00BF51BB">
        <w:rPr>
          <w:rFonts w:ascii="Arial" w:hAnsi="Arial" w:cs="Arial"/>
          <w:szCs w:val="24"/>
        </w:rPr>
        <w:t xml:space="preserve">% procijenjenog BDP-a. </w:t>
      </w:r>
    </w:p>
    <w:p w14:paraId="54C4045E" w14:textId="77777777" w:rsidR="00355621" w:rsidRPr="00BF51BB" w:rsidRDefault="00355621" w:rsidP="00773274">
      <w:pPr>
        <w:spacing w:after="0"/>
        <w:ind w:firstLine="425"/>
        <w:jc w:val="both"/>
        <w:rPr>
          <w:rFonts w:ascii="Arial" w:hAnsi="Arial" w:cs="Arial"/>
          <w:szCs w:val="24"/>
        </w:rPr>
      </w:pPr>
    </w:p>
    <w:p w14:paraId="162B16AA" w14:textId="7C5F9E2A" w:rsidR="00ED768D" w:rsidRPr="00BF51BB" w:rsidRDefault="00ED768D" w:rsidP="003440EA">
      <w:pPr>
        <w:spacing w:after="0" w:line="240" w:lineRule="auto"/>
        <w:jc w:val="both"/>
        <w:rPr>
          <w:rFonts w:ascii="Arial" w:hAnsi="Arial" w:cs="Arial"/>
          <w:i/>
          <w:szCs w:val="24"/>
        </w:rPr>
      </w:pPr>
      <w:r w:rsidRPr="00BF51BB">
        <w:rPr>
          <w:rFonts w:ascii="Arial" w:hAnsi="Arial" w:cs="Arial"/>
          <w:i/>
          <w:szCs w:val="24"/>
        </w:rPr>
        <w:t xml:space="preserve">Slika </w:t>
      </w:r>
      <w:r w:rsidR="009D5680" w:rsidRPr="00BF51BB">
        <w:rPr>
          <w:rFonts w:ascii="Arial" w:hAnsi="Arial" w:cs="Arial"/>
          <w:i/>
          <w:szCs w:val="24"/>
        </w:rPr>
        <w:t>1</w:t>
      </w:r>
      <w:r w:rsidR="008A7690" w:rsidRPr="00BF51BB">
        <w:rPr>
          <w:rFonts w:ascii="Arial" w:hAnsi="Arial" w:cs="Arial"/>
          <w:i/>
          <w:szCs w:val="24"/>
        </w:rPr>
        <w:t>2</w:t>
      </w:r>
      <w:r w:rsidRPr="00BF51BB">
        <w:rPr>
          <w:rFonts w:ascii="Arial" w:hAnsi="Arial" w:cs="Arial"/>
          <w:i/>
          <w:szCs w:val="24"/>
        </w:rPr>
        <w:t xml:space="preserve">. Učešće troškova kamata u BDP-u (kraj </w:t>
      </w:r>
      <w:r w:rsidR="001C7485" w:rsidRPr="00BF51BB">
        <w:rPr>
          <w:rFonts w:ascii="Arial" w:hAnsi="Arial" w:cs="Arial"/>
          <w:i/>
          <w:szCs w:val="24"/>
        </w:rPr>
        <w:t>202</w:t>
      </w:r>
      <w:r w:rsidR="00873A1D" w:rsidRPr="00BF51BB">
        <w:rPr>
          <w:rFonts w:ascii="Arial" w:hAnsi="Arial" w:cs="Arial"/>
          <w:i/>
          <w:szCs w:val="24"/>
        </w:rPr>
        <w:t>4</w:t>
      </w:r>
      <w:r w:rsidRPr="00BF51BB">
        <w:rPr>
          <w:rFonts w:ascii="Arial" w:hAnsi="Arial" w:cs="Arial"/>
          <w:i/>
          <w:szCs w:val="24"/>
        </w:rPr>
        <w:t>. godine)</w:t>
      </w:r>
    </w:p>
    <w:p w14:paraId="1E3D2FEE" w14:textId="4603413D" w:rsidR="00665731" w:rsidRPr="00BF51BB" w:rsidRDefault="00873A1D" w:rsidP="003440EA">
      <w:pPr>
        <w:spacing w:after="0" w:line="240" w:lineRule="auto"/>
        <w:jc w:val="both"/>
        <w:rPr>
          <w:rFonts w:ascii="Arial" w:hAnsi="Arial" w:cs="Arial"/>
          <w:i/>
          <w:szCs w:val="24"/>
        </w:rPr>
      </w:pPr>
      <w:r w:rsidRPr="00BF51BB">
        <w:rPr>
          <w:noProof/>
          <w:lang w:val="en-US"/>
        </w:rPr>
        <w:drawing>
          <wp:inline distT="0" distB="0" distL="0" distR="0" wp14:anchorId="05EAA678" wp14:editId="634B365D">
            <wp:extent cx="5835015" cy="1666800"/>
            <wp:effectExtent l="0" t="0" r="13335" b="10160"/>
            <wp:docPr id="30" name="Chart 3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113979" w14:textId="21D0671E" w:rsidR="00066616" w:rsidRPr="00BF51BB" w:rsidRDefault="00066616" w:rsidP="003440EA">
      <w:pPr>
        <w:spacing w:after="0" w:line="240" w:lineRule="auto"/>
        <w:jc w:val="both"/>
        <w:rPr>
          <w:rFonts w:ascii="Arial" w:hAnsi="Arial" w:cs="Arial"/>
          <w:i/>
          <w:szCs w:val="24"/>
        </w:rPr>
      </w:pPr>
    </w:p>
    <w:p w14:paraId="036FC7A0" w14:textId="77777777" w:rsidR="00873A1D" w:rsidRPr="00BF51BB" w:rsidRDefault="00873A1D" w:rsidP="00873A1D">
      <w:pPr>
        <w:spacing w:after="0"/>
        <w:ind w:firstLine="426"/>
        <w:jc w:val="both"/>
        <w:rPr>
          <w:rFonts w:ascii="Arial" w:hAnsi="Arial" w:cs="Arial"/>
          <w:szCs w:val="24"/>
        </w:rPr>
      </w:pPr>
      <w:r w:rsidRPr="00BF51BB">
        <w:rPr>
          <w:rFonts w:ascii="Arial" w:hAnsi="Arial" w:cs="Arial"/>
          <w:szCs w:val="24"/>
        </w:rPr>
        <w:t xml:space="preserve">Najveći rizik portfolija duga za sve četiri testirane strategije, u pogledu omjera dug/BDP predstavlja valutni rizik u slučaju nagle promjene deviznog kursa odnosno aprecijacije USD u odnosu na KM i EUR (šok od 30% u 2. godini strategije). </w:t>
      </w:r>
    </w:p>
    <w:p w14:paraId="7249F108" w14:textId="10FEE905" w:rsidR="00873A1D" w:rsidRPr="00BF51BB" w:rsidRDefault="00873A1D" w:rsidP="00873A1D">
      <w:pPr>
        <w:spacing w:after="0"/>
        <w:ind w:firstLine="426"/>
        <w:jc w:val="both"/>
        <w:rPr>
          <w:rFonts w:ascii="Arial" w:hAnsi="Arial" w:cs="Arial"/>
          <w:szCs w:val="24"/>
        </w:rPr>
      </w:pPr>
      <w:r w:rsidRPr="00BF51BB">
        <w:rPr>
          <w:rFonts w:ascii="Arial" w:hAnsi="Arial" w:cs="Arial"/>
          <w:szCs w:val="24"/>
        </w:rPr>
        <w:t>Portfolio koji ima već</w:t>
      </w:r>
      <w:r w:rsidR="0000223F">
        <w:rPr>
          <w:rFonts w:ascii="Arial" w:hAnsi="Arial" w:cs="Arial"/>
          <w:szCs w:val="24"/>
        </w:rPr>
        <w:t xml:space="preserve">e </w:t>
      </w:r>
      <w:r w:rsidRPr="00BF51BB">
        <w:rPr>
          <w:rFonts w:ascii="Arial" w:hAnsi="Arial" w:cs="Arial"/>
          <w:szCs w:val="24"/>
        </w:rPr>
        <w:t>u</w:t>
      </w:r>
      <w:r w:rsidR="0000223F">
        <w:rPr>
          <w:rFonts w:ascii="Arial" w:hAnsi="Arial" w:cs="Arial"/>
          <w:szCs w:val="24"/>
        </w:rPr>
        <w:t>češće</w:t>
      </w:r>
      <w:r w:rsidRPr="00BF51BB">
        <w:rPr>
          <w:rFonts w:ascii="Arial" w:hAnsi="Arial" w:cs="Arial"/>
          <w:szCs w:val="24"/>
        </w:rPr>
        <w:t xml:space="preserve"> neeurskih valuta u stanju neotplaćenog  vanjskog duga izložen je većem riziku kada je u pitanju apracijacija stranih valuta u odnosu na domaću. Strategija S4 je najosjetljivija strategija na promjene deviznih kurseva, zbog niskog </w:t>
      </w:r>
      <w:r w:rsidR="0000223F">
        <w:rPr>
          <w:rFonts w:ascii="Arial" w:hAnsi="Arial" w:cs="Arial"/>
          <w:szCs w:val="24"/>
        </w:rPr>
        <w:t>učešć</w:t>
      </w:r>
      <w:r w:rsidRPr="00BF51BB">
        <w:rPr>
          <w:rFonts w:ascii="Arial" w:hAnsi="Arial" w:cs="Arial"/>
          <w:szCs w:val="24"/>
        </w:rPr>
        <w:t>a domaćeg zaduživanja i značajnijeg vanjskog zaduživanja u neeurskim valutama (SDR, USD).</w:t>
      </w:r>
    </w:p>
    <w:p w14:paraId="19B0AAAF" w14:textId="6913E6B1" w:rsidR="00873A1D" w:rsidRPr="00BF51BB" w:rsidRDefault="00873A1D" w:rsidP="00873A1D">
      <w:pPr>
        <w:spacing w:after="0"/>
        <w:ind w:firstLine="426"/>
        <w:jc w:val="both"/>
        <w:rPr>
          <w:rFonts w:ascii="Arial" w:hAnsi="Arial" w:cs="Arial"/>
          <w:szCs w:val="24"/>
        </w:rPr>
      </w:pPr>
      <w:r w:rsidRPr="00BF51BB">
        <w:rPr>
          <w:rFonts w:ascii="Arial" w:hAnsi="Arial" w:cs="Arial"/>
          <w:szCs w:val="24"/>
        </w:rPr>
        <w:t xml:space="preserve"> Kao i u slučaju prethodnog indikatora kada posmatramo bazni scenarij, strategije S1 i S</w:t>
      </w:r>
      <w:r w:rsidR="00E728FD" w:rsidRPr="00BF51BB">
        <w:rPr>
          <w:rFonts w:ascii="Arial" w:hAnsi="Arial" w:cs="Arial"/>
          <w:szCs w:val="24"/>
        </w:rPr>
        <w:t xml:space="preserve">2 </w:t>
      </w:r>
      <w:r w:rsidRPr="00BF51BB">
        <w:rPr>
          <w:rFonts w:ascii="Arial" w:hAnsi="Arial" w:cs="Arial"/>
          <w:szCs w:val="24"/>
        </w:rPr>
        <w:t>imaju najmanje troškove i manje su rizične u odnosu na strategije S</w:t>
      </w:r>
      <w:r w:rsidR="00E728FD" w:rsidRPr="00BF51BB">
        <w:rPr>
          <w:rFonts w:ascii="Arial" w:hAnsi="Arial" w:cs="Arial"/>
          <w:szCs w:val="24"/>
        </w:rPr>
        <w:t>3</w:t>
      </w:r>
      <w:r w:rsidRPr="00BF51BB">
        <w:rPr>
          <w:rFonts w:ascii="Arial" w:hAnsi="Arial" w:cs="Arial"/>
          <w:szCs w:val="24"/>
        </w:rPr>
        <w:t xml:space="preserve"> i S4. Strategija S4 je najrizičnija i najskuplja kada je poredimo </w:t>
      </w:r>
      <w:r w:rsidR="0092029D">
        <w:rPr>
          <w:rFonts w:ascii="Arial" w:hAnsi="Arial" w:cs="Arial"/>
          <w:szCs w:val="24"/>
        </w:rPr>
        <w:t>s</w:t>
      </w:r>
      <w:r w:rsidRPr="00BF51BB">
        <w:rPr>
          <w:rFonts w:ascii="Arial" w:hAnsi="Arial" w:cs="Arial"/>
          <w:szCs w:val="24"/>
        </w:rPr>
        <w:t xml:space="preserve"> ostal</w:t>
      </w:r>
      <w:r w:rsidR="0092029D">
        <w:rPr>
          <w:rFonts w:ascii="Arial" w:hAnsi="Arial" w:cs="Arial"/>
          <w:szCs w:val="24"/>
        </w:rPr>
        <w:t>im</w:t>
      </w:r>
      <w:r w:rsidRPr="00BF51BB">
        <w:rPr>
          <w:rFonts w:ascii="Arial" w:hAnsi="Arial" w:cs="Arial"/>
          <w:szCs w:val="24"/>
        </w:rPr>
        <w:t xml:space="preserve"> strategij</w:t>
      </w:r>
      <w:r w:rsidR="0092029D">
        <w:rPr>
          <w:rFonts w:ascii="Arial" w:hAnsi="Arial" w:cs="Arial"/>
          <w:szCs w:val="24"/>
        </w:rPr>
        <w:t>ama</w:t>
      </w:r>
      <w:r w:rsidRPr="00BF51BB">
        <w:rPr>
          <w:rFonts w:ascii="Arial" w:hAnsi="Arial" w:cs="Arial"/>
          <w:szCs w:val="24"/>
        </w:rPr>
        <w:t xml:space="preserve">. </w:t>
      </w:r>
    </w:p>
    <w:p w14:paraId="2990A8E8" w14:textId="6426CF5E" w:rsidR="00873A1D" w:rsidRPr="00BF51BB" w:rsidRDefault="00873A1D" w:rsidP="00873A1D">
      <w:pPr>
        <w:spacing w:after="0"/>
        <w:ind w:firstLine="426"/>
        <w:jc w:val="both"/>
        <w:rPr>
          <w:rFonts w:ascii="Arial" w:hAnsi="Arial" w:cs="Arial"/>
          <w:szCs w:val="24"/>
        </w:rPr>
      </w:pPr>
      <w:r w:rsidRPr="00BF51BB">
        <w:rPr>
          <w:rFonts w:ascii="Arial" w:hAnsi="Arial" w:cs="Arial"/>
          <w:szCs w:val="24"/>
        </w:rPr>
        <w:t>Strategija S4 je najosjetljivija na promjene deviznog kursa i ima veće odstupanje od svog baznog scenarija (u odnosu na ostale strategije), koji podrazumijeva izdavanje euroobveznice na vanjskom tržištu kao i zaduživanje u neeurskim valutama (USD i SDR) u cilju realizacije PJI 202</w:t>
      </w:r>
      <w:r w:rsidR="00E728FD" w:rsidRPr="00BF51BB">
        <w:rPr>
          <w:rFonts w:ascii="Arial" w:hAnsi="Arial" w:cs="Arial"/>
          <w:szCs w:val="24"/>
        </w:rPr>
        <w:t>2</w:t>
      </w:r>
      <w:r w:rsidRPr="00BF51BB">
        <w:rPr>
          <w:rFonts w:ascii="Arial" w:hAnsi="Arial" w:cs="Arial"/>
          <w:szCs w:val="24"/>
        </w:rPr>
        <w:t>. – 202</w:t>
      </w:r>
      <w:r w:rsidR="00E728FD" w:rsidRPr="00BF51BB">
        <w:rPr>
          <w:rFonts w:ascii="Arial" w:hAnsi="Arial" w:cs="Arial"/>
          <w:szCs w:val="24"/>
        </w:rPr>
        <w:t>4</w:t>
      </w:r>
      <w:r w:rsidRPr="00BF51BB">
        <w:rPr>
          <w:rFonts w:ascii="Arial" w:hAnsi="Arial" w:cs="Arial"/>
          <w:szCs w:val="24"/>
        </w:rPr>
        <w:t xml:space="preserve">. godine. U slučaju ekstremnog deviznog šoka (aprecijacija USD u odnosu na BAM u iznosu od 30%) odstupanje šok scenarija od baznog, iznosi od </w:t>
      </w:r>
      <w:r w:rsidR="00E728FD" w:rsidRPr="00BF51BB">
        <w:rPr>
          <w:rFonts w:ascii="Arial" w:hAnsi="Arial" w:cs="Arial"/>
          <w:szCs w:val="24"/>
        </w:rPr>
        <w:t>5,9779</w:t>
      </w:r>
      <w:r w:rsidRPr="00BF51BB">
        <w:rPr>
          <w:rFonts w:ascii="Arial" w:hAnsi="Arial" w:cs="Arial"/>
          <w:szCs w:val="24"/>
        </w:rPr>
        <w:t>%–</w:t>
      </w:r>
      <w:r w:rsidR="00E728FD" w:rsidRPr="00BF51BB">
        <w:rPr>
          <w:rFonts w:ascii="Arial" w:hAnsi="Arial" w:cs="Arial"/>
          <w:szCs w:val="24"/>
        </w:rPr>
        <w:t>6,5552</w:t>
      </w:r>
      <w:r w:rsidRPr="00BF51BB">
        <w:rPr>
          <w:rFonts w:ascii="Arial" w:hAnsi="Arial" w:cs="Arial"/>
          <w:szCs w:val="24"/>
        </w:rPr>
        <w:t>%, procijenjenog BDP-a u 202</w:t>
      </w:r>
      <w:r w:rsidR="00E728FD" w:rsidRPr="00BF51BB">
        <w:rPr>
          <w:rFonts w:ascii="Arial" w:hAnsi="Arial" w:cs="Arial"/>
          <w:szCs w:val="24"/>
        </w:rPr>
        <w:t>4</w:t>
      </w:r>
      <w:r w:rsidRPr="00BF51BB">
        <w:rPr>
          <w:rFonts w:ascii="Arial" w:hAnsi="Arial" w:cs="Arial"/>
          <w:szCs w:val="24"/>
        </w:rPr>
        <w:t>. godini s tim da je to odstupanje najmanje u Strategiji S</w:t>
      </w:r>
      <w:r w:rsidR="00E728FD" w:rsidRPr="00BF51BB">
        <w:rPr>
          <w:rFonts w:ascii="Arial" w:hAnsi="Arial" w:cs="Arial"/>
          <w:szCs w:val="24"/>
        </w:rPr>
        <w:t>2</w:t>
      </w:r>
      <w:r w:rsidRPr="00BF51BB">
        <w:rPr>
          <w:rFonts w:ascii="Arial" w:hAnsi="Arial" w:cs="Arial"/>
          <w:szCs w:val="24"/>
        </w:rPr>
        <w:t xml:space="preserve"> i iznosi </w:t>
      </w:r>
      <w:r w:rsidR="00E728FD" w:rsidRPr="00BF51BB">
        <w:rPr>
          <w:rFonts w:ascii="Arial" w:hAnsi="Arial" w:cs="Arial"/>
          <w:szCs w:val="24"/>
        </w:rPr>
        <w:t>5,9779</w:t>
      </w:r>
      <w:r w:rsidRPr="00BF51BB">
        <w:rPr>
          <w:rFonts w:ascii="Arial" w:hAnsi="Arial" w:cs="Arial"/>
          <w:szCs w:val="24"/>
        </w:rPr>
        <w:t>%.</w:t>
      </w:r>
    </w:p>
    <w:p w14:paraId="276C72F3" w14:textId="24EA98BA" w:rsidR="00066616" w:rsidRPr="00BF51BB" w:rsidRDefault="00ED768D" w:rsidP="003440EA">
      <w:pPr>
        <w:spacing w:after="0" w:line="240" w:lineRule="auto"/>
        <w:jc w:val="both"/>
        <w:rPr>
          <w:rFonts w:ascii="Arial" w:hAnsi="Arial" w:cs="Arial"/>
          <w:i/>
          <w:color w:val="E36C0A" w:themeColor="accent6" w:themeShade="BF"/>
          <w:sz w:val="20"/>
        </w:rPr>
      </w:pPr>
      <w:r w:rsidRPr="00BF51BB">
        <w:rPr>
          <w:rFonts w:ascii="Arial" w:hAnsi="Arial" w:cs="Arial"/>
          <w:i/>
          <w:szCs w:val="24"/>
        </w:rPr>
        <w:lastRenderedPageBreak/>
        <w:t xml:space="preserve">Slika </w:t>
      </w:r>
      <w:r w:rsidR="008A7690" w:rsidRPr="00BF51BB">
        <w:rPr>
          <w:rFonts w:ascii="Arial" w:hAnsi="Arial" w:cs="Arial"/>
          <w:i/>
          <w:szCs w:val="24"/>
        </w:rPr>
        <w:t>13</w:t>
      </w:r>
      <w:r w:rsidRPr="00BF51BB">
        <w:rPr>
          <w:rFonts w:ascii="Arial" w:hAnsi="Arial" w:cs="Arial"/>
          <w:i/>
          <w:szCs w:val="24"/>
        </w:rPr>
        <w:t>. Učešće duga u BDP-u</w:t>
      </w:r>
      <w:r w:rsidRPr="00BF51BB">
        <w:rPr>
          <w:rFonts w:ascii="Arial" w:hAnsi="Arial" w:cs="Arial"/>
          <w:i/>
          <w:sz w:val="20"/>
        </w:rPr>
        <w:t xml:space="preserve">  </w:t>
      </w:r>
      <w:r w:rsidRPr="00BF51BB">
        <w:rPr>
          <w:rFonts w:ascii="Arial" w:hAnsi="Arial" w:cs="Arial"/>
          <w:i/>
          <w:szCs w:val="24"/>
        </w:rPr>
        <w:t xml:space="preserve">(kraj </w:t>
      </w:r>
      <w:r w:rsidR="00383751" w:rsidRPr="00BF51BB">
        <w:rPr>
          <w:rFonts w:ascii="Arial" w:hAnsi="Arial" w:cs="Arial"/>
          <w:i/>
          <w:szCs w:val="24"/>
        </w:rPr>
        <w:t>2024</w:t>
      </w:r>
      <w:r w:rsidRPr="00BF51BB">
        <w:rPr>
          <w:rFonts w:ascii="Arial" w:hAnsi="Arial" w:cs="Arial"/>
          <w:i/>
          <w:szCs w:val="24"/>
        </w:rPr>
        <w:t>. godine)</w:t>
      </w:r>
      <w:r w:rsidRPr="00BF51BB">
        <w:rPr>
          <w:rFonts w:ascii="Arial" w:hAnsi="Arial" w:cs="Arial"/>
          <w:i/>
          <w:color w:val="E36C0A" w:themeColor="accent6" w:themeShade="BF"/>
          <w:sz w:val="20"/>
        </w:rPr>
        <w:t xml:space="preserve">      </w:t>
      </w:r>
    </w:p>
    <w:p w14:paraId="0682AAAC" w14:textId="2F126B9C" w:rsidR="00ED768D" w:rsidRPr="00BF51BB" w:rsidRDefault="00ED768D" w:rsidP="003440EA">
      <w:pPr>
        <w:spacing w:after="0" w:line="240" w:lineRule="auto"/>
        <w:jc w:val="both"/>
        <w:rPr>
          <w:rFonts w:ascii="Arial" w:hAnsi="Arial" w:cs="Arial"/>
          <w:i/>
          <w:color w:val="E36C0A" w:themeColor="accent6" w:themeShade="BF"/>
        </w:rPr>
      </w:pPr>
      <w:r w:rsidRPr="00BF51BB">
        <w:rPr>
          <w:rFonts w:ascii="Arial" w:hAnsi="Arial" w:cs="Arial"/>
          <w:i/>
          <w:color w:val="E36C0A" w:themeColor="accent6" w:themeShade="BF"/>
        </w:rPr>
        <w:t xml:space="preserve">                      </w:t>
      </w:r>
      <w:r w:rsidR="00873A1D" w:rsidRPr="00BF51BB">
        <w:rPr>
          <w:noProof/>
          <w:lang w:val="en-US"/>
        </w:rPr>
        <w:drawing>
          <wp:inline distT="0" distB="0" distL="0" distR="0" wp14:anchorId="6F2E8FDA" wp14:editId="4702581E">
            <wp:extent cx="5779135" cy="2695575"/>
            <wp:effectExtent l="0" t="0" r="12065" b="9525"/>
            <wp:docPr id="31" name="Chart 3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DDA4C85" w14:textId="2C3A8F85" w:rsidR="00ED768D" w:rsidRPr="00BF51BB" w:rsidRDefault="00ED768D" w:rsidP="00ED768D">
      <w:pPr>
        <w:spacing w:after="0"/>
        <w:jc w:val="center"/>
        <w:rPr>
          <w:rFonts w:ascii="Arial" w:hAnsi="Arial" w:cs="Arial"/>
        </w:rPr>
      </w:pPr>
    </w:p>
    <w:p w14:paraId="5619706D" w14:textId="77777777" w:rsidR="001349F9" w:rsidRPr="00BF51BB" w:rsidRDefault="001349F9" w:rsidP="00BF51BB">
      <w:pPr>
        <w:pStyle w:val="Heading2"/>
        <w:spacing w:before="0"/>
        <w:ind w:left="993"/>
        <w:rPr>
          <w:rFonts w:ascii="Arial" w:hAnsi="Arial" w:cs="Arial"/>
          <w:b w:val="0"/>
          <w:color w:val="auto"/>
          <w:sz w:val="22"/>
          <w:szCs w:val="22"/>
        </w:rPr>
      </w:pPr>
    </w:p>
    <w:p w14:paraId="76EBD437" w14:textId="77777777" w:rsidR="00ED768D" w:rsidRPr="00BF51BB" w:rsidRDefault="00ED768D" w:rsidP="003440EA">
      <w:pPr>
        <w:pStyle w:val="Heading2"/>
        <w:numPr>
          <w:ilvl w:val="1"/>
          <w:numId w:val="5"/>
        </w:numPr>
        <w:spacing w:before="0"/>
        <w:ind w:left="993" w:hanging="709"/>
        <w:rPr>
          <w:rFonts w:ascii="Arial" w:hAnsi="Arial" w:cs="Arial"/>
          <w:b w:val="0"/>
          <w:color w:val="auto"/>
          <w:sz w:val="22"/>
          <w:szCs w:val="22"/>
        </w:rPr>
      </w:pPr>
      <w:bookmarkStart w:id="150" w:name="_Toc101781050"/>
      <w:r w:rsidRPr="00BF51BB">
        <w:rPr>
          <w:rFonts w:ascii="Arial" w:hAnsi="Arial" w:cs="Arial"/>
          <w:b w:val="0"/>
          <w:color w:val="auto"/>
          <w:sz w:val="22"/>
          <w:szCs w:val="22"/>
        </w:rPr>
        <w:t>Indikatori rizika alternativnih strategija</w:t>
      </w:r>
      <w:bookmarkEnd w:id="150"/>
    </w:p>
    <w:p w14:paraId="3BE9E212" w14:textId="77777777" w:rsidR="009E79E0" w:rsidRPr="00BF51BB" w:rsidRDefault="009E79E0" w:rsidP="00AF3981">
      <w:pPr>
        <w:spacing w:after="0" w:line="240" w:lineRule="auto"/>
        <w:jc w:val="both"/>
        <w:rPr>
          <w:rFonts w:ascii="Arial" w:hAnsi="Arial" w:cs="Arial"/>
        </w:rPr>
      </w:pPr>
    </w:p>
    <w:p w14:paraId="1692A568" w14:textId="77777777" w:rsidR="00ED768D" w:rsidRPr="00BF51BB" w:rsidRDefault="00ED768D" w:rsidP="00773274">
      <w:pPr>
        <w:spacing w:after="0"/>
        <w:ind w:firstLine="284"/>
        <w:jc w:val="both"/>
        <w:rPr>
          <w:rFonts w:ascii="Arial" w:hAnsi="Arial" w:cs="Arial"/>
        </w:rPr>
      </w:pPr>
      <w:r w:rsidRPr="00BF51BB">
        <w:rPr>
          <w:rFonts w:ascii="Arial" w:hAnsi="Arial" w:cs="Arial"/>
        </w:rPr>
        <w:t xml:space="preserve">Budući da odnosi </w:t>
      </w:r>
      <w:r w:rsidRPr="00BF51BB">
        <w:rPr>
          <w:rFonts w:ascii="Arial" w:hAnsi="Arial" w:cs="Arial"/>
          <w:i/>
        </w:rPr>
        <w:t>dug/BDP</w:t>
      </w:r>
      <w:r w:rsidRPr="00BF51BB">
        <w:rPr>
          <w:rFonts w:ascii="Arial" w:hAnsi="Arial" w:cs="Arial"/>
        </w:rPr>
        <w:t xml:space="preserve"> i </w:t>
      </w:r>
      <w:r w:rsidRPr="00BF51BB">
        <w:rPr>
          <w:rFonts w:ascii="Arial" w:hAnsi="Arial" w:cs="Arial"/>
          <w:i/>
        </w:rPr>
        <w:t>kamata/BDP</w:t>
      </w:r>
      <w:r w:rsidRPr="00BF51BB">
        <w:rPr>
          <w:rFonts w:ascii="Arial" w:hAnsi="Arial" w:cs="Arial"/>
        </w:rPr>
        <w:t xml:space="preserve"> nisu dovoljni za procjenu rizika analizirani </w:t>
      </w:r>
      <w:r w:rsidR="00224D49" w:rsidRPr="00BF51BB">
        <w:rPr>
          <w:rFonts w:ascii="Arial" w:hAnsi="Arial" w:cs="Arial"/>
        </w:rPr>
        <w:t xml:space="preserve">su </w:t>
      </w:r>
      <w:r w:rsidR="00477B94" w:rsidRPr="00BF51BB">
        <w:rPr>
          <w:rFonts w:ascii="Arial" w:hAnsi="Arial" w:cs="Arial"/>
        </w:rPr>
        <w:t xml:space="preserve">i </w:t>
      </w:r>
      <w:r w:rsidRPr="00BF51BB">
        <w:rPr>
          <w:rFonts w:ascii="Arial" w:hAnsi="Arial" w:cs="Arial"/>
        </w:rPr>
        <w:t>drugi indikatori</w:t>
      </w:r>
      <w:r w:rsidR="00224D49" w:rsidRPr="00BF51BB">
        <w:rPr>
          <w:rFonts w:ascii="Arial" w:hAnsi="Arial" w:cs="Arial"/>
        </w:rPr>
        <w:t>:</w:t>
      </w:r>
      <w:r w:rsidRPr="00BF51BB">
        <w:rPr>
          <w:rFonts w:ascii="Arial" w:hAnsi="Arial" w:cs="Arial"/>
        </w:rPr>
        <w:t xml:space="preserve"> rizik refinansiranja,</w:t>
      </w:r>
      <w:r w:rsidR="006C23C4" w:rsidRPr="00BF51BB">
        <w:rPr>
          <w:rFonts w:ascii="Arial" w:hAnsi="Arial" w:cs="Arial"/>
        </w:rPr>
        <w:t xml:space="preserve"> kamatni rizik i valutni rizik</w:t>
      </w:r>
      <w:r w:rsidRPr="00BF51BB">
        <w:rPr>
          <w:rFonts w:ascii="Arial" w:hAnsi="Arial" w:cs="Arial"/>
        </w:rPr>
        <w:t xml:space="preserve">. </w:t>
      </w:r>
    </w:p>
    <w:p w14:paraId="12E04A98" w14:textId="77777777" w:rsidR="00773274" w:rsidRPr="00BF51BB" w:rsidRDefault="00773274" w:rsidP="00773274">
      <w:pPr>
        <w:spacing w:after="0"/>
        <w:ind w:firstLine="284"/>
        <w:jc w:val="both"/>
        <w:rPr>
          <w:rFonts w:ascii="Arial" w:hAnsi="Arial" w:cs="Arial"/>
        </w:rPr>
      </w:pPr>
    </w:p>
    <w:p w14:paraId="419A6B75" w14:textId="6AB31C50" w:rsidR="00ED768D" w:rsidRPr="00BF51BB" w:rsidRDefault="00ED768D" w:rsidP="00AF3981">
      <w:pPr>
        <w:spacing w:after="0" w:line="240" w:lineRule="auto"/>
        <w:jc w:val="both"/>
        <w:rPr>
          <w:rFonts w:ascii="Arial" w:hAnsi="Arial" w:cs="Arial"/>
        </w:rPr>
      </w:pPr>
      <w:r w:rsidRPr="00BF51BB">
        <w:rPr>
          <w:rFonts w:ascii="Arial" w:hAnsi="Arial" w:cs="Arial"/>
        </w:rPr>
        <w:t>Tabela 1</w:t>
      </w:r>
      <w:r w:rsidR="005A0B60" w:rsidRPr="00BF51BB">
        <w:rPr>
          <w:rFonts w:ascii="Arial" w:hAnsi="Arial" w:cs="Arial"/>
        </w:rPr>
        <w:t>5</w:t>
      </w:r>
      <w:r w:rsidRPr="00BF51BB">
        <w:rPr>
          <w:rFonts w:ascii="Arial" w:hAnsi="Arial" w:cs="Arial"/>
        </w:rPr>
        <w:t>. Indikatori rizika po strategijama na kraju 20</w:t>
      </w:r>
      <w:r w:rsidR="00E919B0" w:rsidRPr="00BF51BB">
        <w:rPr>
          <w:rFonts w:ascii="Arial" w:hAnsi="Arial" w:cs="Arial"/>
        </w:rPr>
        <w:t>2</w:t>
      </w:r>
      <w:r w:rsidR="00123EA5" w:rsidRPr="00BF51BB">
        <w:rPr>
          <w:rFonts w:ascii="Arial" w:hAnsi="Arial" w:cs="Arial"/>
        </w:rPr>
        <w:t>4</w:t>
      </w:r>
      <w:r w:rsidRPr="00BF51BB">
        <w:rPr>
          <w:rFonts w:ascii="Arial" w:hAnsi="Arial" w:cs="Arial"/>
        </w:rPr>
        <w:t>. godine</w:t>
      </w:r>
    </w:p>
    <w:p w14:paraId="3440806D" w14:textId="77777777" w:rsidR="00DC4B41" w:rsidRPr="00BF51BB" w:rsidRDefault="00DC4B41" w:rsidP="00AF3981">
      <w:pPr>
        <w:spacing w:after="0" w:line="240" w:lineRule="auto"/>
        <w:jc w:val="both"/>
        <w:rPr>
          <w:rFonts w:ascii="Arial" w:hAnsi="Arial" w:cs="Arial"/>
        </w:rPr>
      </w:pPr>
    </w:p>
    <w:tbl>
      <w:tblPr>
        <w:tblW w:w="0" w:type="auto"/>
        <w:tblInd w:w="-10" w:type="dxa"/>
        <w:tblLook w:val="04A0" w:firstRow="1" w:lastRow="0" w:firstColumn="1" w:lastColumn="0" w:noHBand="0" w:noVBand="1"/>
      </w:tblPr>
      <w:tblGrid>
        <w:gridCol w:w="1737"/>
        <w:gridCol w:w="3768"/>
        <w:gridCol w:w="1275"/>
        <w:gridCol w:w="586"/>
        <w:gridCol w:w="586"/>
        <w:gridCol w:w="586"/>
        <w:gridCol w:w="586"/>
      </w:tblGrid>
      <w:tr w:rsidR="00123EA5" w:rsidRPr="00BF51BB" w14:paraId="303C90CF" w14:textId="77777777" w:rsidTr="00BF51BB">
        <w:trPr>
          <w:trHeight w:val="315"/>
        </w:trPr>
        <w:tc>
          <w:tcPr>
            <w:tcW w:w="0" w:type="auto"/>
            <w:gridSpan w:val="2"/>
            <w:vMerge w:val="restart"/>
            <w:tcBorders>
              <w:top w:val="single" w:sz="8" w:space="0" w:color="4F81BD"/>
              <w:left w:val="single" w:sz="8" w:space="0" w:color="4F81BD"/>
              <w:bottom w:val="single" w:sz="8" w:space="0" w:color="95B3D7"/>
              <w:right w:val="nil"/>
            </w:tcBorders>
            <w:shd w:val="clear" w:color="auto" w:fill="auto"/>
            <w:noWrap/>
            <w:vAlign w:val="center"/>
            <w:hideMark/>
          </w:tcPr>
          <w:p w14:paraId="708607C7" w14:textId="77777777" w:rsidR="00123EA5" w:rsidRPr="00BF51BB" w:rsidRDefault="00123EA5" w:rsidP="00123EA5">
            <w:pPr>
              <w:spacing w:after="0" w:line="240" w:lineRule="auto"/>
              <w:jc w:val="center"/>
              <w:rPr>
                <w:rFonts w:ascii="Arial Narrow" w:eastAsia="Times New Roman" w:hAnsi="Arial Narrow" w:cs="Calibri"/>
                <w:bCs/>
                <w:color w:val="000000"/>
                <w:sz w:val="18"/>
                <w:szCs w:val="18"/>
              </w:rPr>
            </w:pPr>
            <w:r w:rsidRPr="00BF51BB">
              <w:rPr>
                <w:rFonts w:ascii="Arial Narrow" w:eastAsia="Times New Roman" w:hAnsi="Arial Narrow" w:cs="Calibri"/>
                <w:bCs/>
                <w:color w:val="000000"/>
                <w:szCs w:val="18"/>
              </w:rPr>
              <w:t>Indikatori rizika</w:t>
            </w:r>
          </w:p>
        </w:tc>
        <w:tc>
          <w:tcPr>
            <w:tcW w:w="0" w:type="auto"/>
            <w:tcBorders>
              <w:top w:val="single" w:sz="8" w:space="0" w:color="4F81BD"/>
              <w:left w:val="nil"/>
              <w:bottom w:val="single" w:sz="8" w:space="0" w:color="95B3D7"/>
              <w:right w:val="nil"/>
            </w:tcBorders>
            <w:shd w:val="clear" w:color="auto" w:fill="auto"/>
            <w:noWrap/>
            <w:vAlign w:val="center"/>
            <w:hideMark/>
          </w:tcPr>
          <w:p w14:paraId="60E550D5" w14:textId="77777777" w:rsidR="00123EA5" w:rsidRPr="00BF51BB" w:rsidRDefault="00123EA5" w:rsidP="00123EA5">
            <w:pPr>
              <w:spacing w:after="0" w:line="240" w:lineRule="auto"/>
              <w:jc w:val="center"/>
              <w:rPr>
                <w:rFonts w:ascii="Arial Narrow" w:eastAsia="Times New Roman" w:hAnsi="Arial Narrow" w:cs="Calibri"/>
                <w:b/>
                <w:bCs/>
                <w:color w:val="FFFFFF"/>
                <w:sz w:val="18"/>
                <w:szCs w:val="18"/>
              </w:rPr>
            </w:pPr>
            <w:r w:rsidRPr="00BF51BB">
              <w:rPr>
                <w:rFonts w:ascii="Arial Narrow" w:eastAsia="Times New Roman" w:hAnsi="Arial Narrow" w:cs="Calibri"/>
                <w:b/>
                <w:bCs/>
                <w:color w:val="FFFFFF"/>
                <w:sz w:val="18"/>
                <w:szCs w:val="18"/>
              </w:rPr>
              <w:t>2016</w:t>
            </w:r>
          </w:p>
        </w:tc>
        <w:tc>
          <w:tcPr>
            <w:tcW w:w="0" w:type="auto"/>
            <w:gridSpan w:val="4"/>
            <w:tcBorders>
              <w:top w:val="single" w:sz="8" w:space="0" w:color="4F81BD"/>
              <w:left w:val="nil"/>
              <w:bottom w:val="single" w:sz="8" w:space="0" w:color="95B3D7"/>
              <w:right w:val="single" w:sz="8" w:space="0" w:color="4F81BD"/>
            </w:tcBorders>
            <w:shd w:val="clear" w:color="auto" w:fill="auto"/>
            <w:noWrap/>
            <w:vAlign w:val="center"/>
            <w:hideMark/>
          </w:tcPr>
          <w:p w14:paraId="585AD8D0" w14:textId="77777777" w:rsidR="00123EA5" w:rsidRPr="00BF51BB" w:rsidRDefault="00123EA5" w:rsidP="00123EA5">
            <w:pPr>
              <w:spacing w:after="0" w:line="240" w:lineRule="auto"/>
              <w:jc w:val="center"/>
              <w:rPr>
                <w:rFonts w:ascii="Arial Narrow" w:eastAsia="Times New Roman" w:hAnsi="Arial Narrow" w:cs="Calibri"/>
                <w:b/>
                <w:bCs/>
                <w:color w:val="FFFFFF"/>
                <w:sz w:val="18"/>
                <w:szCs w:val="18"/>
              </w:rPr>
            </w:pPr>
            <w:r w:rsidRPr="00BF51BB">
              <w:rPr>
                <w:rFonts w:ascii="Arial Narrow" w:eastAsia="Times New Roman" w:hAnsi="Arial Narrow" w:cs="Calibri"/>
                <w:b/>
                <w:bCs/>
                <w:color w:val="FFFFFF"/>
                <w:sz w:val="18"/>
                <w:szCs w:val="18"/>
              </w:rPr>
              <w:t>Na kraju 2019</w:t>
            </w:r>
          </w:p>
        </w:tc>
      </w:tr>
      <w:tr w:rsidR="00123EA5" w:rsidRPr="00BF51BB" w14:paraId="5B662F5F" w14:textId="77777777" w:rsidTr="00BF51BB">
        <w:trPr>
          <w:trHeight w:val="315"/>
        </w:trPr>
        <w:tc>
          <w:tcPr>
            <w:tcW w:w="0" w:type="auto"/>
            <w:gridSpan w:val="2"/>
            <w:vMerge/>
            <w:tcBorders>
              <w:top w:val="single" w:sz="8" w:space="0" w:color="4F81BD"/>
              <w:left w:val="single" w:sz="8" w:space="0" w:color="4F81BD"/>
              <w:bottom w:val="single" w:sz="8" w:space="0" w:color="95B3D7"/>
              <w:right w:val="nil"/>
            </w:tcBorders>
            <w:vAlign w:val="center"/>
            <w:hideMark/>
          </w:tcPr>
          <w:p w14:paraId="1E8C2899" w14:textId="77777777" w:rsidR="00123EA5" w:rsidRPr="00BF51BB" w:rsidRDefault="00123EA5" w:rsidP="00123EA5">
            <w:pPr>
              <w:spacing w:after="0" w:line="240" w:lineRule="auto"/>
              <w:rPr>
                <w:rFonts w:ascii="Arial Narrow" w:eastAsia="Times New Roman" w:hAnsi="Arial Narrow" w:cs="Calibri"/>
                <w:b/>
                <w:bCs/>
                <w:color w:val="000000"/>
                <w:sz w:val="18"/>
                <w:szCs w:val="18"/>
              </w:rPr>
            </w:pPr>
          </w:p>
        </w:tc>
        <w:tc>
          <w:tcPr>
            <w:tcW w:w="0" w:type="auto"/>
            <w:tcBorders>
              <w:top w:val="nil"/>
              <w:left w:val="single" w:sz="8" w:space="0" w:color="95B3D7"/>
              <w:bottom w:val="single" w:sz="8" w:space="0" w:color="95B3D7"/>
              <w:right w:val="single" w:sz="8" w:space="0" w:color="95B3D7"/>
            </w:tcBorders>
            <w:shd w:val="clear" w:color="auto" w:fill="auto"/>
            <w:noWrap/>
            <w:vAlign w:val="center"/>
            <w:hideMark/>
          </w:tcPr>
          <w:p w14:paraId="01FE2F6E"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Početni portfolio</w:t>
            </w:r>
          </w:p>
        </w:tc>
        <w:tc>
          <w:tcPr>
            <w:tcW w:w="0" w:type="auto"/>
            <w:tcBorders>
              <w:top w:val="nil"/>
              <w:left w:val="nil"/>
              <w:bottom w:val="single" w:sz="8" w:space="0" w:color="95B3D7"/>
              <w:right w:val="single" w:sz="8" w:space="0" w:color="95B3D7"/>
            </w:tcBorders>
            <w:shd w:val="clear" w:color="auto" w:fill="auto"/>
            <w:noWrap/>
            <w:vAlign w:val="center"/>
            <w:hideMark/>
          </w:tcPr>
          <w:p w14:paraId="0F6E4B22"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S1</w:t>
            </w:r>
          </w:p>
        </w:tc>
        <w:tc>
          <w:tcPr>
            <w:tcW w:w="0" w:type="auto"/>
            <w:tcBorders>
              <w:top w:val="nil"/>
              <w:left w:val="nil"/>
              <w:bottom w:val="single" w:sz="8" w:space="0" w:color="95B3D7"/>
              <w:right w:val="single" w:sz="8" w:space="0" w:color="95B3D7"/>
            </w:tcBorders>
            <w:shd w:val="clear" w:color="auto" w:fill="auto"/>
            <w:noWrap/>
            <w:vAlign w:val="center"/>
            <w:hideMark/>
          </w:tcPr>
          <w:p w14:paraId="1545055D"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S2</w:t>
            </w:r>
          </w:p>
        </w:tc>
        <w:tc>
          <w:tcPr>
            <w:tcW w:w="0" w:type="auto"/>
            <w:tcBorders>
              <w:top w:val="nil"/>
              <w:left w:val="nil"/>
              <w:bottom w:val="single" w:sz="8" w:space="0" w:color="95B3D7"/>
              <w:right w:val="single" w:sz="8" w:space="0" w:color="95B3D7"/>
            </w:tcBorders>
            <w:shd w:val="clear" w:color="auto" w:fill="auto"/>
            <w:noWrap/>
            <w:vAlign w:val="center"/>
            <w:hideMark/>
          </w:tcPr>
          <w:p w14:paraId="13EB7922"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S3</w:t>
            </w:r>
          </w:p>
        </w:tc>
        <w:tc>
          <w:tcPr>
            <w:tcW w:w="0" w:type="auto"/>
            <w:tcBorders>
              <w:top w:val="nil"/>
              <w:left w:val="nil"/>
              <w:bottom w:val="single" w:sz="8" w:space="0" w:color="95B3D7"/>
              <w:right w:val="single" w:sz="8" w:space="0" w:color="95B3D7"/>
            </w:tcBorders>
            <w:shd w:val="clear" w:color="auto" w:fill="auto"/>
            <w:noWrap/>
            <w:vAlign w:val="center"/>
            <w:hideMark/>
          </w:tcPr>
          <w:p w14:paraId="4B92D79B"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S4</w:t>
            </w:r>
          </w:p>
        </w:tc>
      </w:tr>
      <w:tr w:rsidR="00123EA5" w:rsidRPr="00BF51BB" w14:paraId="6C10AC29" w14:textId="77777777" w:rsidTr="00BF51BB">
        <w:trPr>
          <w:trHeight w:val="300"/>
        </w:trPr>
        <w:tc>
          <w:tcPr>
            <w:tcW w:w="0" w:type="auto"/>
            <w:gridSpan w:val="2"/>
            <w:tcBorders>
              <w:top w:val="single" w:sz="8" w:space="0" w:color="95B3D7"/>
              <w:left w:val="single" w:sz="8" w:space="0" w:color="95B3D7"/>
              <w:bottom w:val="nil"/>
              <w:right w:val="nil"/>
            </w:tcBorders>
            <w:shd w:val="clear" w:color="auto" w:fill="auto"/>
            <w:noWrap/>
            <w:vAlign w:val="center"/>
            <w:hideMark/>
          </w:tcPr>
          <w:p w14:paraId="7A343616"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Nominalni dug u % BDP</w:t>
            </w:r>
          </w:p>
        </w:tc>
        <w:tc>
          <w:tcPr>
            <w:tcW w:w="0" w:type="auto"/>
            <w:tcBorders>
              <w:top w:val="nil"/>
              <w:left w:val="nil"/>
              <w:bottom w:val="nil"/>
              <w:right w:val="nil"/>
            </w:tcBorders>
            <w:shd w:val="clear" w:color="auto" w:fill="auto"/>
            <w:noWrap/>
            <w:vAlign w:val="center"/>
            <w:hideMark/>
          </w:tcPr>
          <w:p w14:paraId="400BDD62"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26,84</w:t>
            </w:r>
          </w:p>
        </w:tc>
        <w:tc>
          <w:tcPr>
            <w:tcW w:w="0" w:type="auto"/>
            <w:tcBorders>
              <w:top w:val="nil"/>
              <w:left w:val="nil"/>
              <w:bottom w:val="nil"/>
              <w:right w:val="nil"/>
            </w:tcBorders>
            <w:shd w:val="clear" w:color="auto" w:fill="auto"/>
            <w:noWrap/>
            <w:vAlign w:val="center"/>
            <w:hideMark/>
          </w:tcPr>
          <w:p w14:paraId="2238C7F4"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24,45</w:t>
            </w:r>
          </w:p>
        </w:tc>
        <w:tc>
          <w:tcPr>
            <w:tcW w:w="0" w:type="auto"/>
            <w:tcBorders>
              <w:top w:val="nil"/>
              <w:left w:val="nil"/>
              <w:bottom w:val="nil"/>
              <w:right w:val="nil"/>
            </w:tcBorders>
            <w:shd w:val="clear" w:color="auto" w:fill="auto"/>
            <w:noWrap/>
            <w:vAlign w:val="center"/>
            <w:hideMark/>
          </w:tcPr>
          <w:p w14:paraId="775B9CD3"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24,44</w:t>
            </w:r>
          </w:p>
        </w:tc>
        <w:tc>
          <w:tcPr>
            <w:tcW w:w="0" w:type="auto"/>
            <w:tcBorders>
              <w:top w:val="nil"/>
              <w:left w:val="nil"/>
              <w:bottom w:val="nil"/>
              <w:right w:val="nil"/>
            </w:tcBorders>
            <w:shd w:val="clear" w:color="auto" w:fill="auto"/>
            <w:noWrap/>
            <w:vAlign w:val="center"/>
            <w:hideMark/>
          </w:tcPr>
          <w:p w14:paraId="109C4BE8"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24,46</w:t>
            </w:r>
          </w:p>
        </w:tc>
        <w:tc>
          <w:tcPr>
            <w:tcW w:w="0" w:type="auto"/>
            <w:tcBorders>
              <w:top w:val="nil"/>
              <w:left w:val="nil"/>
              <w:bottom w:val="nil"/>
              <w:right w:val="single" w:sz="8" w:space="0" w:color="95B3D7"/>
            </w:tcBorders>
            <w:shd w:val="clear" w:color="auto" w:fill="auto"/>
            <w:noWrap/>
            <w:vAlign w:val="center"/>
            <w:hideMark/>
          </w:tcPr>
          <w:p w14:paraId="5718C37E"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24,61</w:t>
            </w:r>
          </w:p>
        </w:tc>
      </w:tr>
      <w:tr w:rsidR="00123EA5" w:rsidRPr="00BF51BB" w14:paraId="7A98AADB" w14:textId="77777777" w:rsidTr="00BF51BB">
        <w:trPr>
          <w:trHeight w:val="300"/>
        </w:trPr>
        <w:tc>
          <w:tcPr>
            <w:tcW w:w="0" w:type="auto"/>
            <w:gridSpan w:val="2"/>
            <w:tcBorders>
              <w:top w:val="nil"/>
              <w:left w:val="single" w:sz="8" w:space="0" w:color="95B3D7"/>
              <w:bottom w:val="nil"/>
              <w:right w:val="nil"/>
            </w:tcBorders>
            <w:shd w:val="clear" w:color="auto" w:fill="auto"/>
            <w:noWrap/>
            <w:vAlign w:val="center"/>
            <w:hideMark/>
          </w:tcPr>
          <w:p w14:paraId="56A9969B"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Sadašnja vrijednost duga u % BDP</w:t>
            </w:r>
          </w:p>
        </w:tc>
        <w:tc>
          <w:tcPr>
            <w:tcW w:w="0" w:type="auto"/>
            <w:tcBorders>
              <w:top w:val="nil"/>
              <w:left w:val="nil"/>
              <w:bottom w:val="nil"/>
              <w:right w:val="nil"/>
            </w:tcBorders>
            <w:shd w:val="clear" w:color="auto" w:fill="auto"/>
            <w:noWrap/>
            <w:vAlign w:val="center"/>
            <w:hideMark/>
          </w:tcPr>
          <w:p w14:paraId="43039FEF"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22,35</w:t>
            </w:r>
          </w:p>
        </w:tc>
        <w:tc>
          <w:tcPr>
            <w:tcW w:w="0" w:type="auto"/>
            <w:tcBorders>
              <w:top w:val="nil"/>
              <w:left w:val="nil"/>
              <w:bottom w:val="nil"/>
              <w:right w:val="nil"/>
            </w:tcBorders>
            <w:shd w:val="clear" w:color="auto" w:fill="auto"/>
            <w:noWrap/>
            <w:vAlign w:val="center"/>
            <w:hideMark/>
          </w:tcPr>
          <w:p w14:paraId="7D1B75AD"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20,35</w:t>
            </w:r>
          </w:p>
        </w:tc>
        <w:tc>
          <w:tcPr>
            <w:tcW w:w="0" w:type="auto"/>
            <w:tcBorders>
              <w:top w:val="nil"/>
              <w:left w:val="nil"/>
              <w:bottom w:val="nil"/>
              <w:right w:val="nil"/>
            </w:tcBorders>
            <w:shd w:val="clear" w:color="auto" w:fill="auto"/>
            <w:noWrap/>
            <w:vAlign w:val="center"/>
            <w:hideMark/>
          </w:tcPr>
          <w:p w14:paraId="217E7698"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20,29</w:t>
            </w:r>
          </w:p>
        </w:tc>
        <w:tc>
          <w:tcPr>
            <w:tcW w:w="0" w:type="auto"/>
            <w:tcBorders>
              <w:top w:val="nil"/>
              <w:left w:val="nil"/>
              <w:bottom w:val="nil"/>
              <w:right w:val="nil"/>
            </w:tcBorders>
            <w:shd w:val="clear" w:color="auto" w:fill="auto"/>
            <w:noWrap/>
            <w:vAlign w:val="center"/>
            <w:hideMark/>
          </w:tcPr>
          <w:p w14:paraId="0B986BBB"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20,47</w:t>
            </w:r>
          </w:p>
        </w:tc>
        <w:tc>
          <w:tcPr>
            <w:tcW w:w="0" w:type="auto"/>
            <w:tcBorders>
              <w:top w:val="nil"/>
              <w:left w:val="nil"/>
              <w:bottom w:val="nil"/>
              <w:right w:val="single" w:sz="8" w:space="0" w:color="95B3D7"/>
            </w:tcBorders>
            <w:shd w:val="clear" w:color="auto" w:fill="auto"/>
            <w:noWrap/>
            <w:vAlign w:val="center"/>
            <w:hideMark/>
          </w:tcPr>
          <w:p w14:paraId="7169957C"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20,72</w:t>
            </w:r>
          </w:p>
        </w:tc>
      </w:tr>
      <w:tr w:rsidR="00123EA5" w:rsidRPr="00BF51BB" w14:paraId="1AE13768" w14:textId="77777777" w:rsidTr="00BF51BB">
        <w:trPr>
          <w:trHeight w:val="300"/>
        </w:trPr>
        <w:tc>
          <w:tcPr>
            <w:tcW w:w="0" w:type="auto"/>
            <w:gridSpan w:val="2"/>
            <w:tcBorders>
              <w:top w:val="nil"/>
              <w:left w:val="single" w:sz="8" w:space="0" w:color="95B3D7"/>
              <w:bottom w:val="nil"/>
              <w:right w:val="nil"/>
            </w:tcBorders>
            <w:shd w:val="clear" w:color="auto" w:fill="auto"/>
            <w:noWrap/>
            <w:vAlign w:val="center"/>
            <w:hideMark/>
          </w:tcPr>
          <w:p w14:paraId="4DDF9AA7"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Troškovi kamata u % BDP</w:t>
            </w:r>
          </w:p>
        </w:tc>
        <w:tc>
          <w:tcPr>
            <w:tcW w:w="0" w:type="auto"/>
            <w:tcBorders>
              <w:top w:val="nil"/>
              <w:left w:val="nil"/>
              <w:bottom w:val="nil"/>
              <w:right w:val="nil"/>
            </w:tcBorders>
            <w:shd w:val="clear" w:color="auto" w:fill="auto"/>
            <w:noWrap/>
            <w:vAlign w:val="center"/>
            <w:hideMark/>
          </w:tcPr>
          <w:p w14:paraId="163CE5B1"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0,33</w:t>
            </w:r>
          </w:p>
        </w:tc>
        <w:tc>
          <w:tcPr>
            <w:tcW w:w="0" w:type="auto"/>
            <w:tcBorders>
              <w:top w:val="nil"/>
              <w:left w:val="nil"/>
              <w:bottom w:val="nil"/>
              <w:right w:val="nil"/>
            </w:tcBorders>
            <w:shd w:val="clear" w:color="auto" w:fill="auto"/>
            <w:noWrap/>
            <w:vAlign w:val="center"/>
            <w:hideMark/>
          </w:tcPr>
          <w:p w14:paraId="394475CB"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0,31</w:t>
            </w:r>
          </w:p>
        </w:tc>
        <w:tc>
          <w:tcPr>
            <w:tcW w:w="0" w:type="auto"/>
            <w:tcBorders>
              <w:top w:val="nil"/>
              <w:left w:val="nil"/>
              <w:bottom w:val="nil"/>
              <w:right w:val="nil"/>
            </w:tcBorders>
            <w:shd w:val="clear" w:color="auto" w:fill="auto"/>
            <w:noWrap/>
            <w:vAlign w:val="center"/>
            <w:hideMark/>
          </w:tcPr>
          <w:p w14:paraId="1267B2F5"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0,30</w:t>
            </w:r>
          </w:p>
        </w:tc>
        <w:tc>
          <w:tcPr>
            <w:tcW w:w="0" w:type="auto"/>
            <w:tcBorders>
              <w:top w:val="nil"/>
              <w:left w:val="nil"/>
              <w:bottom w:val="nil"/>
              <w:right w:val="nil"/>
            </w:tcBorders>
            <w:shd w:val="clear" w:color="auto" w:fill="auto"/>
            <w:noWrap/>
            <w:vAlign w:val="center"/>
            <w:hideMark/>
          </w:tcPr>
          <w:p w14:paraId="2F491C0C"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0,32</w:t>
            </w:r>
          </w:p>
        </w:tc>
        <w:tc>
          <w:tcPr>
            <w:tcW w:w="0" w:type="auto"/>
            <w:tcBorders>
              <w:top w:val="nil"/>
              <w:left w:val="nil"/>
              <w:bottom w:val="nil"/>
              <w:right w:val="single" w:sz="8" w:space="0" w:color="95B3D7"/>
            </w:tcBorders>
            <w:shd w:val="clear" w:color="auto" w:fill="auto"/>
            <w:noWrap/>
            <w:vAlign w:val="center"/>
            <w:hideMark/>
          </w:tcPr>
          <w:p w14:paraId="22C5D74C"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0,42</w:t>
            </w:r>
          </w:p>
        </w:tc>
      </w:tr>
      <w:tr w:rsidR="00123EA5" w:rsidRPr="00BF51BB" w14:paraId="6F3708C0" w14:textId="77777777" w:rsidTr="00BF51BB">
        <w:trPr>
          <w:trHeight w:val="315"/>
        </w:trPr>
        <w:tc>
          <w:tcPr>
            <w:tcW w:w="0" w:type="auto"/>
            <w:gridSpan w:val="2"/>
            <w:tcBorders>
              <w:top w:val="nil"/>
              <w:left w:val="single" w:sz="8" w:space="0" w:color="95B3D7"/>
              <w:bottom w:val="single" w:sz="8" w:space="0" w:color="95B3D7"/>
              <w:right w:val="nil"/>
            </w:tcBorders>
            <w:shd w:val="clear" w:color="auto" w:fill="auto"/>
            <w:noWrap/>
            <w:vAlign w:val="center"/>
            <w:hideMark/>
          </w:tcPr>
          <w:p w14:paraId="4D175E7B"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Implicitna kamatna stopa (%)</w:t>
            </w:r>
          </w:p>
        </w:tc>
        <w:tc>
          <w:tcPr>
            <w:tcW w:w="0" w:type="auto"/>
            <w:tcBorders>
              <w:top w:val="nil"/>
              <w:left w:val="nil"/>
              <w:bottom w:val="single" w:sz="8" w:space="0" w:color="95B3D7"/>
              <w:right w:val="nil"/>
            </w:tcBorders>
            <w:shd w:val="clear" w:color="auto" w:fill="auto"/>
            <w:noWrap/>
            <w:vAlign w:val="center"/>
            <w:hideMark/>
          </w:tcPr>
          <w:p w14:paraId="14907C63"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1,25</w:t>
            </w:r>
          </w:p>
        </w:tc>
        <w:tc>
          <w:tcPr>
            <w:tcW w:w="0" w:type="auto"/>
            <w:tcBorders>
              <w:top w:val="nil"/>
              <w:left w:val="nil"/>
              <w:bottom w:val="single" w:sz="8" w:space="0" w:color="95B3D7"/>
              <w:right w:val="nil"/>
            </w:tcBorders>
            <w:shd w:val="clear" w:color="auto" w:fill="auto"/>
            <w:noWrap/>
            <w:vAlign w:val="center"/>
            <w:hideMark/>
          </w:tcPr>
          <w:p w14:paraId="0600A46E"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1,47</w:t>
            </w:r>
          </w:p>
        </w:tc>
        <w:tc>
          <w:tcPr>
            <w:tcW w:w="0" w:type="auto"/>
            <w:tcBorders>
              <w:top w:val="nil"/>
              <w:left w:val="nil"/>
              <w:bottom w:val="single" w:sz="8" w:space="0" w:color="95B3D7"/>
              <w:right w:val="nil"/>
            </w:tcBorders>
            <w:shd w:val="clear" w:color="auto" w:fill="auto"/>
            <w:noWrap/>
            <w:vAlign w:val="center"/>
            <w:hideMark/>
          </w:tcPr>
          <w:p w14:paraId="61B0C7DB"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1,40</w:t>
            </w:r>
          </w:p>
        </w:tc>
        <w:tc>
          <w:tcPr>
            <w:tcW w:w="0" w:type="auto"/>
            <w:tcBorders>
              <w:top w:val="nil"/>
              <w:left w:val="nil"/>
              <w:bottom w:val="single" w:sz="8" w:space="0" w:color="95B3D7"/>
              <w:right w:val="nil"/>
            </w:tcBorders>
            <w:shd w:val="clear" w:color="auto" w:fill="auto"/>
            <w:noWrap/>
            <w:vAlign w:val="center"/>
            <w:hideMark/>
          </w:tcPr>
          <w:p w14:paraId="55F009BA"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1,57</w:t>
            </w:r>
          </w:p>
        </w:tc>
        <w:tc>
          <w:tcPr>
            <w:tcW w:w="0" w:type="auto"/>
            <w:tcBorders>
              <w:top w:val="nil"/>
              <w:left w:val="nil"/>
              <w:bottom w:val="single" w:sz="8" w:space="0" w:color="95B3D7"/>
              <w:right w:val="single" w:sz="8" w:space="0" w:color="95B3D7"/>
            </w:tcBorders>
            <w:shd w:val="clear" w:color="auto" w:fill="auto"/>
            <w:noWrap/>
            <w:vAlign w:val="center"/>
            <w:hideMark/>
          </w:tcPr>
          <w:p w14:paraId="74B2175C"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2,07</w:t>
            </w:r>
          </w:p>
        </w:tc>
      </w:tr>
      <w:tr w:rsidR="00123EA5" w:rsidRPr="00BF51BB" w14:paraId="61664D55" w14:textId="77777777" w:rsidTr="00BF51BB">
        <w:trPr>
          <w:trHeight w:val="315"/>
        </w:trPr>
        <w:tc>
          <w:tcPr>
            <w:tcW w:w="0" w:type="auto"/>
            <w:vMerge w:val="restart"/>
            <w:tcBorders>
              <w:top w:val="nil"/>
              <w:left w:val="single" w:sz="8" w:space="0" w:color="95B3D7"/>
              <w:bottom w:val="single" w:sz="8" w:space="0" w:color="95B3D7"/>
              <w:right w:val="nil"/>
            </w:tcBorders>
            <w:shd w:val="clear" w:color="auto" w:fill="auto"/>
            <w:noWrap/>
            <w:vAlign w:val="center"/>
            <w:hideMark/>
          </w:tcPr>
          <w:p w14:paraId="2D578FFC" w14:textId="77777777" w:rsidR="00123EA5" w:rsidRPr="00BF51BB" w:rsidRDefault="00123EA5" w:rsidP="00123EA5">
            <w:pPr>
              <w:spacing w:after="0" w:line="240" w:lineRule="auto"/>
              <w:jc w:val="center"/>
              <w:rPr>
                <w:rFonts w:ascii="Arial" w:eastAsia="Times New Roman" w:hAnsi="Arial" w:cs="Arial"/>
                <w:color w:val="000000"/>
                <w:sz w:val="18"/>
                <w:szCs w:val="18"/>
              </w:rPr>
            </w:pPr>
            <w:r w:rsidRPr="00BF51BB">
              <w:rPr>
                <w:rFonts w:ascii="Arial" w:eastAsia="Times New Roman" w:hAnsi="Arial" w:cs="Arial"/>
                <w:color w:val="000000"/>
                <w:sz w:val="18"/>
                <w:szCs w:val="18"/>
              </w:rPr>
              <w:t>Rizik refinansiranja</w:t>
            </w:r>
          </w:p>
        </w:tc>
        <w:tc>
          <w:tcPr>
            <w:tcW w:w="0" w:type="auto"/>
            <w:tcBorders>
              <w:top w:val="nil"/>
              <w:left w:val="nil"/>
              <w:bottom w:val="nil"/>
              <w:right w:val="nil"/>
            </w:tcBorders>
            <w:shd w:val="clear" w:color="auto" w:fill="auto"/>
            <w:noWrap/>
            <w:vAlign w:val="center"/>
            <w:hideMark/>
          </w:tcPr>
          <w:p w14:paraId="133B6F1F"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Dug koji dospijeva u 1. godini (% ukupnog)</w:t>
            </w:r>
          </w:p>
        </w:tc>
        <w:tc>
          <w:tcPr>
            <w:tcW w:w="0" w:type="auto"/>
            <w:tcBorders>
              <w:top w:val="nil"/>
              <w:left w:val="nil"/>
              <w:bottom w:val="nil"/>
              <w:right w:val="nil"/>
            </w:tcBorders>
            <w:shd w:val="clear" w:color="auto" w:fill="auto"/>
            <w:noWrap/>
            <w:vAlign w:val="center"/>
            <w:hideMark/>
          </w:tcPr>
          <w:p w14:paraId="6A22B10E"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11,46</w:t>
            </w:r>
          </w:p>
        </w:tc>
        <w:tc>
          <w:tcPr>
            <w:tcW w:w="0" w:type="auto"/>
            <w:tcBorders>
              <w:top w:val="nil"/>
              <w:left w:val="nil"/>
              <w:bottom w:val="nil"/>
              <w:right w:val="nil"/>
            </w:tcBorders>
            <w:shd w:val="clear" w:color="auto" w:fill="auto"/>
            <w:noWrap/>
            <w:vAlign w:val="center"/>
            <w:hideMark/>
          </w:tcPr>
          <w:p w14:paraId="4FEF5A26"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13,63</w:t>
            </w:r>
          </w:p>
        </w:tc>
        <w:tc>
          <w:tcPr>
            <w:tcW w:w="0" w:type="auto"/>
            <w:tcBorders>
              <w:top w:val="nil"/>
              <w:left w:val="nil"/>
              <w:bottom w:val="nil"/>
              <w:right w:val="nil"/>
            </w:tcBorders>
            <w:shd w:val="clear" w:color="auto" w:fill="auto"/>
            <w:noWrap/>
            <w:vAlign w:val="center"/>
            <w:hideMark/>
          </w:tcPr>
          <w:p w14:paraId="2C624B82"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12,58</w:t>
            </w:r>
          </w:p>
        </w:tc>
        <w:tc>
          <w:tcPr>
            <w:tcW w:w="0" w:type="auto"/>
            <w:tcBorders>
              <w:top w:val="nil"/>
              <w:left w:val="nil"/>
              <w:bottom w:val="nil"/>
              <w:right w:val="nil"/>
            </w:tcBorders>
            <w:shd w:val="clear" w:color="auto" w:fill="auto"/>
            <w:noWrap/>
            <w:vAlign w:val="center"/>
            <w:hideMark/>
          </w:tcPr>
          <w:p w14:paraId="51F77CB0"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12,91</w:t>
            </w:r>
          </w:p>
        </w:tc>
        <w:tc>
          <w:tcPr>
            <w:tcW w:w="0" w:type="auto"/>
            <w:tcBorders>
              <w:top w:val="nil"/>
              <w:left w:val="nil"/>
              <w:bottom w:val="nil"/>
              <w:right w:val="single" w:sz="8" w:space="0" w:color="95B3D7"/>
            </w:tcBorders>
            <w:shd w:val="clear" w:color="auto" w:fill="auto"/>
            <w:noWrap/>
            <w:vAlign w:val="center"/>
            <w:hideMark/>
          </w:tcPr>
          <w:p w14:paraId="1E774A33"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8,84</w:t>
            </w:r>
          </w:p>
        </w:tc>
      </w:tr>
      <w:tr w:rsidR="00123EA5" w:rsidRPr="00BF51BB" w14:paraId="473EAEE5" w14:textId="77777777" w:rsidTr="00BF51BB">
        <w:trPr>
          <w:trHeight w:val="300"/>
        </w:trPr>
        <w:tc>
          <w:tcPr>
            <w:tcW w:w="0" w:type="auto"/>
            <w:vMerge/>
            <w:tcBorders>
              <w:top w:val="nil"/>
              <w:left w:val="single" w:sz="8" w:space="0" w:color="95B3D7"/>
              <w:bottom w:val="single" w:sz="8" w:space="0" w:color="95B3D7"/>
              <w:right w:val="nil"/>
            </w:tcBorders>
            <w:vAlign w:val="center"/>
            <w:hideMark/>
          </w:tcPr>
          <w:p w14:paraId="2CB1A8AC" w14:textId="77777777" w:rsidR="00123EA5" w:rsidRPr="00BF51BB" w:rsidRDefault="00123EA5" w:rsidP="00123EA5">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center"/>
            <w:hideMark/>
          </w:tcPr>
          <w:p w14:paraId="36A08C73"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Dug koji dospijeva u 1. godini (% BDP)</w:t>
            </w:r>
          </w:p>
        </w:tc>
        <w:tc>
          <w:tcPr>
            <w:tcW w:w="0" w:type="auto"/>
            <w:tcBorders>
              <w:top w:val="nil"/>
              <w:left w:val="nil"/>
              <w:bottom w:val="nil"/>
              <w:right w:val="nil"/>
            </w:tcBorders>
            <w:shd w:val="clear" w:color="auto" w:fill="auto"/>
            <w:noWrap/>
            <w:vAlign w:val="center"/>
            <w:hideMark/>
          </w:tcPr>
          <w:p w14:paraId="4838F9EF"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2,99</w:t>
            </w:r>
          </w:p>
        </w:tc>
        <w:tc>
          <w:tcPr>
            <w:tcW w:w="0" w:type="auto"/>
            <w:tcBorders>
              <w:top w:val="nil"/>
              <w:left w:val="nil"/>
              <w:bottom w:val="nil"/>
              <w:right w:val="nil"/>
            </w:tcBorders>
            <w:shd w:val="clear" w:color="auto" w:fill="auto"/>
            <w:noWrap/>
            <w:vAlign w:val="center"/>
            <w:hideMark/>
          </w:tcPr>
          <w:p w14:paraId="4CD91DB7"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3,33</w:t>
            </w:r>
          </w:p>
        </w:tc>
        <w:tc>
          <w:tcPr>
            <w:tcW w:w="0" w:type="auto"/>
            <w:tcBorders>
              <w:top w:val="nil"/>
              <w:left w:val="nil"/>
              <w:bottom w:val="nil"/>
              <w:right w:val="nil"/>
            </w:tcBorders>
            <w:shd w:val="clear" w:color="auto" w:fill="auto"/>
            <w:noWrap/>
            <w:vAlign w:val="center"/>
            <w:hideMark/>
          </w:tcPr>
          <w:p w14:paraId="4055D1CB"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3,07</w:t>
            </w:r>
          </w:p>
        </w:tc>
        <w:tc>
          <w:tcPr>
            <w:tcW w:w="0" w:type="auto"/>
            <w:tcBorders>
              <w:top w:val="nil"/>
              <w:left w:val="nil"/>
              <w:bottom w:val="nil"/>
              <w:right w:val="nil"/>
            </w:tcBorders>
            <w:shd w:val="clear" w:color="auto" w:fill="auto"/>
            <w:noWrap/>
            <w:vAlign w:val="center"/>
            <w:hideMark/>
          </w:tcPr>
          <w:p w14:paraId="375E2A32"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3,16</w:t>
            </w:r>
          </w:p>
        </w:tc>
        <w:tc>
          <w:tcPr>
            <w:tcW w:w="0" w:type="auto"/>
            <w:tcBorders>
              <w:top w:val="nil"/>
              <w:left w:val="nil"/>
              <w:bottom w:val="nil"/>
              <w:right w:val="single" w:sz="8" w:space="0" w:color="95B3D7"/>
            </w:tcBorders>
            <w:shd w:val="clear" w:color="auto" w:fill="auto"/>
            <w:noWrap/>
            <w:vAlign w:val="center"/>
            <w:hideMark/>
          </w:tcPr>
          <w:p w14:paraId="328584A6"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2,18</w:t>
            </w:r>
          </w:p>
        </w:tc>
      </w:tr>
      <w:tr w:rsidR="00123EA5" w:rsidRPr="00BF51BB" w14:paraId="0D6D69AB" w14:textId="77777777" w:rsidTr="00BF51BB">
        <w:trPr>
          <w:trHeight w:val="300"/>
        </w:trPr>
        <w:tc>
          <w:tcPr>
            <w:tcW w:w="0" w:type="auto"/>
            <w:vMerge/>
            <w:tcBorders>
              <w:top w:val="nil"/>
              <w:left w:val="single" w:sz="8" w:space="0" w:color="95B3D7"/>
              <w:bottom w:val="single" w:sz="8" w:space="0" w:color="95B3D7"/>
              <w:right w:val="nil"/>
            </w:tcBorders>
            <w:vAlign w:val="center"/>
            <w:hideMark/>
          </w:tcPr>
          <w:p w14:paraId="4AC851D2" w14:textId="77777777" w:rsidR="00123EA5" w:rsidRPr="00BF51BB" w:rsidRDefault="00123EA5" w:rsidP="00123EA5">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center"/>
            <w:hideMark/>
          </w:tcPr>
          <w:p w14:paraId="01F7BBD6"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Prosječno dospijeće portfolija (godine)</w:t>
            </w:r>
          </w:p>
        </w:tc>
        <w:tc>
          <w:tcPr>
            <w:tcW w:w="0" w:type="auto"/>
            <w:tcBorders>
              <w:top w:val="nil"/>
              <w:left w:val="nil"/>
              <w:bottom w:val="nil"/>
              <w:right w:val="nil"/>
            </w:tcBorders>
            <w:shd w:val="clear" w:color="auto" w:fill="auto"/>
            <w:noWrap/>
            <w:vAlign w:val="center"/>
            <w:hideMark/>
          </w:tcPr>
          <w:p w14:paraId="17EDAC5A"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6,21</w:t>
            </w:r>
          </w:p>
        </w:tc>
        <w:tc>
          <w:tcPr>
            <w:tcW w:w="0" w:type="auto"/>
            <w:tcBorders>
              <w:top w:val="nil"/>
              <w:left w:val="nil"/>
              <w:bottom w:val="nil"/>
              <w:right w:val="nil"/>
            </w:tcBorders>
            <w:shd w:val="clear" w:color="auto" w:fill="auto"/>
            <w:noWrap/>
            <w:vAlign w:val="center"/>
            <w:hideMark/>
          </w:tcPr>
          <w:p w14:paraId="13F9C79A"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6,69</w:t>
            </w:r>
          </w:p>
        </w:tc>
        <w:tc>
          <w:tcPr>
            <w:tcW w:w="0" w:type="auto"/>
            <w:tcBorders>
              <w:top w:val="nil"/>
              <w:left w:val="nil"/>
              <w:bottom w:val="nil"/>
              <w:right w:val="nil"/>
            </w:tcBorders>
            <w:shd w:val="clear" w:color="auto" w:fill="auto"/>
            <w:noWrap/>
            <w:vAlign w:val="center"/>
            <w:hideMark/>
          </w:tcPr>
          <w:p w14:paraId="706B0D53"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6,65</w:t>
            </w:r>
          </w:p>
        </w:tc>
        <w:tc>
          <w:tcPr>
            <w:tcW w:w="0" w:type="auto"/>
            <w:tcBorders>
              <w:top w:val="nil"/>
              <w:left w:val="nil"/>
              <w:bottom w:val="nil"/>
              <w:right w:val="nil"/>
            </w:tcBorders>
            <w:shd w:val="clear" w:color="auto" w:fill="auto"/>
            <w:noWrap/>
            <w:vAlign w:val="center"/>
            <w:hideMark/>
          </w:tcPr>
          <w:p w14:paraId="55EB13B3"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6,72</w:t>
            </w:r>
          </w:p>
        </w:tc>
        <w:tc>
          <w:tcPr>
            <w:tcW w:w="0" w:type="auto"/>
            <w:tcBorders>
              <w:top w:val="nil"/>
              <w:left w:val="nil"/>
              <w:bottom w:val="nil"/>
              <w:right w:val="single" w:sz="8" w:space="0" w:color="95B3D7"/>
            </w:tcBorders>
            <w:shd w:val="clear" w:color="auto" w:fill="auto"/>
            <w:noWrap/>
            <w:vAlign w:val="center"/>
            <w:hideMark/>
          </w:tcPr>
          <w:p w14:paraId="365F9F42"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7,79</w:t>
            </w:r>
          </w:p>
        </w:tc>
      </w:tr>
      <w:tr w:rsidR="00123EA5" w:rsidRPr="00BF51BB" w14:paraId="7420C055" w14:textId="77777777" w:rsidTr="00BF51BB">
        <w:trPr>
          <w:trHeight w:val="300"/>
        </w:trPr>
        <w:tc>
          <w:tcPr>
            <w:tcW w:w="0" w:type="auto"/>
            <w:vMerge/>
            <w:tcBorders>
              <w:top w:val="nil"/>
              <w:left w:val="single" w:sz="8" w:space="0" w:color="95B3D7"/>
              <w:bottom w:val="single" w:sz="8" w:space="0" w:color="95B3D7"/>
              <w:right w:val="nil"/>
            </w:tcBorders>
            <w:vAlign w:val="center"/>
            <w:hideMark/>
          </w:tcPr>
          <w:p w14:paraId="397B6B8F" w14:textId="77777777" w:rsidR="00123EA5" w:rsidRPr="00BF51BB" w:rsidRDefault="00123EA5" w:rsidP="00123EA5">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center"/>
            <w:hideMark/>
          </w:tcPr>
          <w:p w14:paraId="4EDA2DC2"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Prosječno dospijeće domaći dug (godine)</w:t>
            </w:r>
          </w:p>
        </w:tc>
        <w:tc>
          <w:tcPr>
            <w:tcW w:w="0" w:type="auto"/>
            <w:tcBorders>
              <w:top w:val="nil"/>
              <w:left w:val="nil"/>
              <w:bottom w:val="nil"/>
              <w:right w:val="nil"/>
            </w:tcBorders>
            <w:shd w:val="clear" w:color="auto" w:fill="auto"/>
            <w:noWrap/>
            <w:vAlign w:val="center"/>
            <w:hideMark/>
          </w:tcPr>
          <w:p w14:paraId="231A3908"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3,64</w:t>
            </w:r>
          </w:p>
        </w:tc>
        <w:tc>
          <w:tcPr>
            <w:tcW w:w="0" w:type="auto"/>
            <w:tcBorders>
              <w:top w:val="nil"/>
              <w:left w:val="nil"/>
              <w:bottom w:val="nil"/>
              <w:right w:val="nil"/>
            </w:tcBorders>
            <w:shd w:val="clear" w:color="auto" w:fill="auto"/>
            <w:noWrap/>
            <w:vAlign w:val="center"/>
            <w:hideMark/>
          </w:tcPr>
          <w:p w14:paraId="400A9B4F"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2,73</w:t>
            </w:r>
          </w:p>
        </w:tc>
        <w:tc>
          <w:tcPr>
            <w:tcW w:w="0" w:type="auto"/>
            <w:tcBorders>
              <w:top w:val="nil"/>
              <w:left w:val="nil"/>
              <w:bottom w:val="nil"/>
              <w:right w:val="nil"/>
            </w:tcBorders>
            <w:shd w:val="clear" w:color="auto" w:fill="auto"/>
            <w:noWrap/>
            <w:vAlign w:val="center"/>
            <w:hideMark/>
          </w:tcPr>
          <w:p w14:paraId="71F4F066"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2,94</w:t>
            </w:r>
          </w:p>
        </w:tc>
        <w:tc>
          <w:tcPr>
            <w:tcW w:w="0" w:type="auto"/>
            <w:tcBorders>
              <w:top w:val="nil"/>
              <w:left w:val="nil"/>
              <w:bottom w:val="nil"/>
              <w:right w:val="nil"/>
            </w:tcBorders>
            <w:shd w:val="clear" w:color="auto" w:fill="auto"/>
            <w:noWrap/>
            <w:vAlign w:val="center"/>
            <w:hideMark/>
          </w:tcPr>
          <w:p w14:paraId="5CB77CED"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2,97</w:t>
            </w:r>
          </w:p>
        </w:tc>
        <w:tc>
          <w:tcPr>
            <w:tcW w:w="0" w:type="auto"/>
            <w:tcBorders>
              <w:top w:val="nil"/>
              <w:left w:val="nil"/>
              <w:bottom w:val="nil"/>
              <w:right w:val="single" w:sz="8" w:space="0" w:color="95B3D7"/>
            </w:tcBorders>
            <w:shd w:val="clear" w:color="auto" w:fill="auto"/>
            <w:noWrap/>
            <w:vAlign w:val="center"/>
            <w:hideMark/>
          </w:tcPr>
          <w:p w14:paraId="06408451"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2,95</w:t>
            </w:r>
          </w:p>
        </w:tc>
      </w:tr>
      <w:tr w:rsidR="00123EA5" w:rsidRPr="00BF51BB" w14:paraId="3862C691" w14:textId="77777777" w:rsidTr="00BF51BB">
        <w:trPr>
          <w:trHeight w:val="315"/>
        </w:trPr>
        <w:tc>
          <w:tcPr>
            <w:tcW w:w="0" w:type="auto"/>
            <w:vMerge/>
            <w:tcBorders>
              <w:top w:val="nil"/>
              <w:left w:val="single" w:sz="8" w:space="0" w:color="95B3D7"/>
              <w:bottom w:val="single" w:sz="8" w:space="0" w:color="95B3D7"/>
              <w:right w:val="nil"/>
            </w:tcBorders>
            <w:vAlign w:val="center"/>
            <w:hideMark/>
          </w:tcPr>
          <w:p w14:paraId="277F83D4" w14:textId="77777777" w:rsidR="00123EA5" w:rsidRPr="00BF51BB" w:rsidRDefault="00123EA5" w:rsidP="00123EA5">
            <w:pPr>
              <w:spacing w:after="0" w:line="240" w:lineRule="auto"/>
              <w:rPr>
                <w:rFonts w:ascii="Arial" w:eastAsia="Times New Roman" w:hAnsi="Arial" w:cs="Arial"/>
                <w:color w:val="000000"/>
                <w:sz w:val="18"/>
                <w:szCs w:val="18"/>
              </w:rPr>
            </w:pPr>
          </w:p>
        </w:tc>
        <w:tc>
          <w:tcPr>
            <w:tcW w:w="0" w:type="auto"/>
            <w:tcBorders>
              <w:top w:val="nil"/>
              <w:left w:val="nil"/>
              <w:bottom w:val="single" w:sz="8" w:space="0" w:color="95B3D7"/>
              <w:right w:val="nil"/>
            </w:tcBorders>
            <w:shd w:val="clear" w:color="auto" w:fill="auto"/>
            <w:noWrap/>
            <w:vAlign w:val="center"/>
            <w:hideMark/>
          </w:tcPr>
          <w:p w14:paraId="61F114BC"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Prosječno dospijeće vanjski dug (godine)</w:t>
            </w:r>
          </w:p>
        </w:tc>
        <w:tc>
          <w:tcPr>
            <w:tcW w:w="0" w:type="auto"/>
            <w:tcBorders>
              <w:top w:val="nil"/>
              <w:left w:val="nil"/>
              <w:bottom w:val="single" w:sz="8" w:space="0" w:color="95B3D7"/>
              <w:right w:val="nil"/>
            </w:tcBorders>
            <w:shd w:val="clear" w:color="auto" w:fill="auto"/>
            <w:noWrap/>
            <w:vAlign w:val="center"/>
            <w:hideMark/>
          </w:tcPr>
          <w:p w14:paraId="78B55D64"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6,59</w:t>
            </w:r>
          </w:p>
        </w:tc>
        <w:tc>
          <w:tcPr>
            <w:tcW w:w="0" w:type="auto"/>
            <w:tcBorders>
              <w:top w:val="nil"/>
              <w:left w:val="nil"/>
              <w:bottom w:val="single" w:sz="8" w:space="0" w:color="95B3D7"/>
              <w:right w:val="nil"/>
            </w:tcBorders>
            <w:shd w:val="clear" w:color="auto" w:fill="auto"/>
            <w:noWrap/>
            <w:vAlign w:val="center"/>
            <w:hideMark/>
          </w:tcPr>
          <w:p w14:paraId="60CCB126"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7,60</w:t>
            </w:r>
          </w:p>
        </w:tc>
        <w:tc>
          <w:tcPr>
            <w:tcW w:w="0" w:type="auto"/>
            <w:tcBorders>
              <w:top w:val="nil"/>
              <w:left w:val="nil"/>
              <w:bottom w:val="single" w:sz="8" w:space="0" w:color="95B3D7"/>
              <w:right w:val="nil"/>
            </w:tcBorders>
            <w:shd w:val="clear" w:color="auto" w:fill="auto"/>
            <w:noWrap/>
            <w:vAlign w:val="center"/>
            <w:hideMark/>
          </w:tcPr>
          <w:p w14:paraId="27B4E755"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7,50</w:t>
            </w:r>
          </w:p>
        </w:tc>
        <w:tc>
          <w:tcPr>
            <w:tcW w:w="0" w:type="auto"/>
            <w:tcBorders>
              <w:top w:val="nil"/>
              <w:left w:val="nil"/>
              <w:bottom w:val="single" w:sz="8" w:space="0" w:color="95B3D7"/>
              <w:right w:val="nil"/>
            </w:tcBorders>
            <w:shd w:val="clear" w:color="auto" w:fill="auto"/>
            <w:noWrap/>
            <w:vAlign w:val="center"/>
            <w:hideMark/>
          </w:tcPr>
          <w:p w14:paraId="621B6A43"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7,67</w:t>
            </w:r>
          </w:p>
        </w:tc>
        <w:tc>
          <w:tcPr>
            <w:tcW w:w="0" w:type="auto"/>
            <w:tcBorders>
              <w:top w:val="nil"/>
              <w:left w:val="nil"/>
              <w:bottom w:val="single" w:sz="8" w:space="0" w:color="95B3D7"/>
              <w:right w:val="single" w:sz="8" w:space="0" w:color="95B3D7"/>
            </w:tcBorders>
            <w:shd w:val="clear" w:color="auto" w:fill="auto"/>
            <w:noWrap/>
            <w:vAlign w:val="center"/>
            <w:hideMark/>
          </w:tcPr>
          <w:p w14:paraId="50C889FE"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8,11</w:t>
            </w:r>
          </w:p>
        </w:tc>
      </w:tr>
      <w:tr w:rsidR="00123EA5" w:rsidRPr="00BF51BB" w14:paraId="4A0C6294" w14:textId="77777777" w:rsidTr="00BF51BB">
        <w:trPr>
          <w:trHeight w:val="315"/>
        </w:trPr>
        <w:tc>
          <w:tcPr>
            <w:tcW w:w="0" w:type="auto"/>
            <w:vMerge w:val="restart"/>
            <w:tcBorders>
              <w:top w:val="nil"/>
              <w:left w:val="single" w:sz="8" w:space="0" w:color="95B3D7"/>
              <w:bottom w:val="nil"/>
              <w:right w:val="nil"/>
            </w:tcBorders>
            <w:shd w:val="clear" w:color="auto" w:fill="auto"/>
            <w:noWrap/>
            <w:vAlign w:val="center"/>
            <w:hideMark/>
          </w:tcPr>
          <w:p w14:paraId="406874BA"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Kamatni rizik</w:t>
            </w:r>
          </w:p>
        </w:tc>
        <w:tc>
          <w:tcPr>
            <w:tcW w:w="0" w:type="auto"/>
            <w:tcBorders>
              <w:top w:val="nil"/>
              <w:left w:val="nil"/>
              <w:bottom w:val="nil"/>
              <w:right w:val="nil"/>
            </w:tcBorders>
            <w:shd w:val="clear" w:color="auto" w:fill="auto"/>
            <w:noWrap/>
            <w:vAlign w:val="center"/>
            <w:hideMark/>
          </w:tcPr>
          <w:p w14:paraId="0252EB6D"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Prosječno vrijeme refiksiranja  (godine)</w:t>
            </w:r>
          </w:p>
        </w:tc>
        <w:tc>
          <w:tcPr>
            <w:tcW w:w="0" w:type="auto"/>
            <w:tcBorders>
              <w:top w:val="nil"/>
              <w:left w:val="nil"/>
              <w:bottom w:val="nil"/>
              <w:right w:val="nil"/>
            </w:tcBorders>
            <w:shd w:val="clear" w:color="auto" w:fill="auto"/>
            <w:noWrap/>
            <w:vAlign w:val="center"/>
            <w:hideMark/>
          </w:tcPr>
          <w:p w14:paraId="421E5EA2"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4,15</w:t>
            </w:r>
          </w:p>
        </w:tc>
        <w:tc>
          <w:tcPr>
            <w:tcW w:w="0" w:type="auto"/>
            <w:tcBorders>
              <w:top w:val="nil"/>
              <w:left w:val="nil"/>
              <w:bottom w:val="nil"/>
              <w:right w:val="nil"/>
            </w:tcBorders>
            <w:shd w:val="clear" w:color="auto" w:fill="auto"/>
            <w:noWrap/>
            <w:vAlign w:val="center"/>
            <w:hideMark/>
          </w:tcPr>
          <w:p w14:paraId="222142E0"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4,28</w:t>
            </w:r>
          </w:p>
        </w:tc>
        <w:tc>
          <w:tcPr>
            <w:tcW w:w="0" w:type="auto"/>
            <w:tcBorders>
              <w:top w:val="nil"/>
              <w:left w:val="nil"/>
              <w:bottom w:val="nil"/>
              <w:right w:val="nil"/>
            </w:tcBorders>
            <w:shd w:val="clear" w:color="auto" w:fill="auto"/>
            <w:noWrap/>
            <w:vAlign w:val="center"/>
            <w:hideMark/>
          </w:tcPr>
          <w:p w14:paraId="710F4392"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3,69</w:t>
            </w:r>
          </w:p>
        </w:tc>
        <w:tc>
          <w:tcPr>
            <w:tcW w:w="0" w:type="auto"/>
            <w:tcBorders>
              <w:top w:val="nil"/>
              <w:left w:val="nil"/>
              <w:bottom w:val="nil"/>
              <w:right w:val="nil"/>
            </w:tcBorders>
            <w:shd w:val="clear" w:color="auto" w:fill="auto"/>
            <w:noWrap/>
            <w:vAlign w:val="center"/>
            <w:hideMark/>
          </w:tcPr>
          <w:p w14:paraId="71A01AB8"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5,10</w:t>
            </w:r>
          </w:p>
        </w:tc>
        <w:tc>
          <w:tcPr>
            <w:tcW w:w="0" w:type="auto"/>
            <w:tcBorders>
              <w:top w:val="nil"/>
              <w:left w:val="nil"/>
              <w:bottom w:val="nil"/>
              <w:right w:val="single" w:sz="8" w:space="0" w:color="95B3D7"/>
            </w:tcBorders>
            <w:shd w:val="clear" w:color="auto" w:fill="auto"/>
            <w:noWrap/>
            <w:vAlign w:val="center"/>
            <w:hideMark/>
          </w:tcPr>
          <w:p w14:paraId="262DE73A"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5,99</w:t>
            </w:r>
          </w:p>
        </w:tc>
      </w:tr>
      <w:tr w:rsidR="00123EA5" w:rsidRPr="00BF51BB" w14:paraId="2ABEEC1F" w14:textId="77777777" w:rsidTr="00BF51BB">
        <w:trPr>
          <w:trHeight w:val="300"/>
        </w:trPr>
        <w:tc>
          <w:tcPr>
            <w:tcW w:w="0" w:type="auto"/>
            <w:vMerge/>
            <w:tcBorders>
              <w:top w:val="nil"/>
              <w:left w:val="single" w:sz="8" w:space="0" w:color="95B3D7"/>
              <w:bottom w:val="nil"/>
              <w:right w:val="nil"/>
            </w:tcBorders>
            <w:vAlign w:val="center"/>
            <w:hideMark/>
          </w:tcPr>
          <w:p w14:paraId="582E9EAE" w14:textId="77777777" w:rsidR="00123EA5" w:rsidRPr="00BF51BB" w:rsidRDefault="00123EA5" w:rsidP="00123EA5">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center"/>
            <w:hideMark/>
          </w:tcPr>
          <w:p w14:paraId="0F8A6E07"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Refiksiranje duga u 1. godini  (godine)</w:t>
            </w:r>
          </w:p>
        </w:tc>
        <w:tc>
          <w:tcPr>
            <w:tcW w:w="0" w:type="auto"/>
            <w:tcBorders>
              <w:top w:val="nil"/>
              <w:left w:val="nil"/>
              <w:bottom w:val="nil"/>
              <w:right w:val="nil"/>
            </w:tcBorders>
            <w:shd w:val="clear" w:color="auto" w:fill="auto"/>
            <w:noWrap/>
            <w:vAlign w:val="center"/>
            <w:hideMark/>
          </w:tcPr>
          <w:p w14:paraId="4CABBCD6"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45,79</w:t>
            </w:r>
          </w:p>
        </w:tc>
        <w:tc>
          <w:tcPr>
            <w:tcW w:w="0" w:type="auto"/>
            <w:tcBorders>
              <w:top w:val="nil"/>
              <w:left w:val="nil"/>
              <w:bottom w:val="nil"/>
              <w:right w:val="nil"/>
            </w:tcBorders>
            <w:shd w:val="clear" w:color="auto" w:fill="auto"/>
            <w:noWrap/>
            <w:vAlign w:val="center"/>
            <w:hideMark/>
          </w:tcPr>
          <w:p w14:paraId="737843B7"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44,20</w:t>
            </w:r>
          </w:p>
        </w:tc>
        <w:tc>
          <w:tcPr>
            <w:tcW w:w="0" w:type="auto"/>
            <w:tcBorders>
              <w:top w:val="nil"/>
              <w:left w:val="nil"/>
              <w:bottom w:val="nil"/>
              <w:right w:val="nil"/>
            </w:tcBorders>
            <w:shd w:val="clear" w:color="auto" w:fill="auto"/>
            <w:noWrap/>
            <w:vAlign w:val="center"/>
            <w:hideMark/>
          </w:tcPr>
          <w:p w14:paraId="67CACBD9"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48,65</w:t>
            </w:r>
          </w:p>
        </w:tc>
        <w:tc>
          <w:tcPr>
            <w:tcW w:w="0" w:type="auto"/>
            <w:tcBorders>
              <w:top w:val="nil"/>
              <w:left w:val="nil"/>
              <w:bottom w:val="nil"/>
              <w:right w:val="nil"/>
            </w:tcBorders>
            <w:shd w:val="clear" w:color="auto" w:fill="auto"/>
            <w:noWrap/>
            <w:vAlign w:val="center"/>
            <w:hideMark/>
          </w:tcPr>
          <w:p w14:paraId="69FB3426"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35,37</w:t>
            </w:r>
          </w:p>
        </w:tc>
        <w:tc>
          <w:tcPr>
            <w:tcW w:w="0" w:type="auto"/>
            <w:tcBorders>
              <w:top w:val="nil"/>
              <w:left w:val="nil"/>
              <w:bottom w:val="nil"/>
              <w:right w:val="single" w:sz="8" w:space="0" w:color="95B3D7"/>
            </w:tcBorders>
            <w:shd w:val="clear" w:color="auto" w:fill="auto"/>
            <w:noWrap/>
            <w:vAlign w:val="center"/>
            <w:hideMark/>
          </w:tcPr>
          <w:p w14:paraId="650C7A5B"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33,20</w:t>
            </w:r>
          </w:p>
        </w:tc>
      </w:tr>
      <w:tr w:rsidR="00123EA5" w:rsidRPr="00BF51BB" w14:paraId="7C7F4B21" w14:textId="77777777" w:rsidTr="00BF51BB">
        <w:trPr>
          <w:trHeight w:val="300"/>
        </w:trPr>
        <w:tc>
          <w:tcPr>
            <w:tcW w:w="0" w:type="auto"/>
            <w:vMerge/>
            <w:tcBorders>
              <w:top w:val="nil"/>
              <w:left w:val="single" w:sz="8" w:space="0" w:color="95B3D7"/>
              <w:bottom w:val="nil"/>
              <w:right w:val="nil"/>
            </w:tcBorders>
            <w:vAlign w:val="center"/>
            <w:hideMark/>
          </w:tcPr>
          <w:p w14:paraId="79752CC9" w14:textId="77777777" w:rsidR="00123EA5" w:rsidRPr="00BF51BB" w:rsidRDefault="00123EA5" w:rsidP="00123EA5">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center"/>
            <w:hideMark/>
          </w:tcPr>
          <w:p w14:paraId="1F441ED2"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Dug sa fiksnom kamatom (% ukupnog duga)</w:t>
            </w:r>
          </w:p>
        </w:tc>
        <w:tc>
          <w:tcPr>
            <w:tcW w:w="0" w:type="auto"/>
            <w:tcBorders>
              <w:top w:val="nil"/>
              <w:left w:val="nil"/>
              <w:bottom w:val="nil"/>
              <w:right w:val="nil"/>
            </w:tcBorders>
            <w:shd w:val="clear" w:color="auto" w:fill="auto"/>
            <w:noWrap/>
            <w:vAlign w:val="center"/>
            <w:hideMark/>
          </w:tcPr>
          <w:p w14:paraId="135F2540"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62,47</w:t>
            </w:r>
          </w:p>
        </w:tc>
        <w:tc>
          <w:tcPr>
            <w:tcW w:w="0" w:type="auto"/>
            <w:tcBorders>
              <w:top w:val="nil"/>
              <w:left w:val="nil"/>
              <w:bottom w:val="nil"/>
              <w:right w:val="nil"/>
            </w:tcBorders>
            <w:shd w:val="clear" w:color="auto" w:fill="auto"/>
            <w:noWrap/>
            <w:vAlign w:val="center"/>
            <w:hideMark/>
          </w:tcPr>
          <w:p w14:paraId="4424BC40"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65,42</w:t>
            </w:r>
          </w:p>
        </w:tc>
        <w:tc>
          <w:tcPr>
            <w:tcW w:w="0" w:type="auto"/>
            <w:tcBorders>
              <w:top w:val="nil"/>
              <w:left w:val="nil"/>
              <w:bottom w:val="nil"/>
              <w:right w:val="nil"/>
            </w:tcBorders>
            <w:shd w:val="clear" w:color="auto" w:fill="auto"/>
            <w:noWrap/>
            <w:vAlign w:val="center"/>
            <w:hideMark/>
          </w:tcPr>
          <w:p w14:paraId="5056BF56"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59,92</w:t>
            </w:r>
          </w:p>
        </w:tc>
        <w:tc>
          <w:tcPr>
            <w:tcW w:w="0" w:type="auto"/>
            <w:tcBorders>
              <w:top w:val="nil"/>
              <w:left w:val="nil"/>
              <w:bottom w:val="nil"/>
              <w:right w:val="nil"/>
            </w:tcBorders>
            <w:shd w:val="clear" w:color="auto" w:fill="auto"/>
            <w:noWrap/>
            <w:vAlign w:val="center"/>
            <w:hideMark/>
          </w:tcPr>
          <w:p w14:paraId="2AF72926"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73,54</w:t>
            </w:r>
          </w:p>
        </w:tc>
        <w:tc>
          <w:tcPr>
            <w:tcW w:w="0" w:type="auto"/>
            <w:tcBorders>
              <w:top w:val="nil"/>
              <w:left w:val="nil"/>
              <w:bottom w:val="nil"/>
              <w:right w:val="single" w:sz="8" w:space="0" w:color="95B3D7"/>
            </w:tcBorders>
            <w:shd w:val="clear" w:color="auto" w:fill="auto"/>
            <w:noWrap/>
            <w:vAlign w:val="center"/>
            <w:hideMark/>
          </w:tcPr>
          <w:p w14:paraId="66F267A6"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71,67</w:t>
            </w:r>
          </w:p>
        </w:tc>
      </w:tr>
      <w:tr w:rsidR="00123EA5" w:rsidRPr="00BF51BB" w14:paraId="2491848D" w14:textId="77777777" w:rsidTr="00BF51BB">
        <w:trPr>
          <w:trHeight w:val="315"/>
        </w:trPr>
        <w:tc>
          <w:tcPr>
            <w:tcW w:w="0" w:type="auto"/>
            <w:tcBorders>
              <w:top w:val="nil"/>
              <w:left w:val="single" w:sz="8" w:space="0" w:color="95B3D7"/>
              <w:bottom w:val="single" w:sz="8" w:space="0" w:color="95B3D7"/>
              <w:right w:val="nil"/>
            </w:tcBorders>
            <w:shd w:val="clear" w:color="auto" w:fill="auto"/>
            <w:noWrap/>
            <w:vAlign w:val="center"/>
            <w:hideMark/>
          </w:tcPr>
          <w:p w14:paraId="3A722C8C"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 </w:t>
            </w:r>
          </w:p>
        </w:tc>
        <w:tc>
          <w:tcPr>
            <w:tcW w:w="0" w:type="auto"/>
            <w:tcBorders>
              <w:top w:val="nil"/>
              <w:left w:val="nil"/>
              <w:bottom w:val="single" w:sz="8" w:space="0" w:color="95B3D7"/>
              <w:right w:val="nil"/>
            </w:tcBorders>
            <w:shd w:val="clear" w:color="auto" w:fill="auto"/>
            <w:noWrap/>
            <w:vAlign w:val="center"/>
            <w:hideMark/>
          </w:tcPr>
          <w:p w14:paraId="4923BE91"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Trezorski zapisi (% ukupnog duga)</w:t>
            </w:r>
          </w:p>
        </w:tc>
        <w:tc>
          <w:tcPr>
            <w:tcW w:w="0" w:type="auto"/>
            <w:tcBorders>
              <w:top w:val="nil"/>
              <w:left w:val="nil"/>
              <w:bottom w:val="single" w:sz="8" w:space="0" w:color="95B3D7"/>
              <w:right w:val="nil"/>
            </w:tcBorders>
            <w:shd w:val="clear" w:color="auto" w:fill="auto"/>
            <w:noWrap/>
            <w:vAlign w:val="center"/>
            <w:hideMark/>
          </w:tcPr>
          <w:p w14:paraId="7B5293FE"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0,83</w:t>
            </w:r>
          </w:p>
        </w:tc>
        <w:tc>
          <w:tcPr>
            <w:tcW w:w="0" w:type="auto"/>
            <w:tcBorders>
              <w:top w:val="nil"/>
              <w:left w:val="nil"/>
              <w:bottom w:val="single" w:sz="8" w:space="0" w:color="95B3D7"/>
              <w:right w:val="nil"/>
            </w:tcBorders>
            <w:shd w:val="clear" w:color="auto" w:fill="auto"/>
            <w:noWrap/>
            <w:vAlign w:val="center"/>
            <w:hideMark/>
          </w:tcPr>
          <w:p w14:paraId="2A0476E1"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2,64</w:t>
            </w:r>
          </w:p>
        </w:tc>
        <w:tc>
          <w:tcPr>
            <w:tcW w:w="0" w:type="auto"/>
            <w:tcBorders>
              <w:top w:val="nil"/>
              <w:left w:val="nil"/>
              <w:bottom w:val="single" w:sz="8" w:space="0" w:color="95B3D7"/>
              <w:right w:val="nil"/>
            </w:tcBorders>
            <w:shd w:val="clear" w:color="auto" w:fill="auto"/>
            <w:noWrap/>
            <w:vAlign w:val="center"/>
            <w:hideMark/>
          </w:tcPr>
          <w:p w14:paraId="0851561B"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1,59</w:t>
            </w:r>
          </w:p>
        </w:tc>
        <w:tc>
          <w:tcPr>
            <w:tcW w:w="0" w:type="auto"/>
            <w:tcBorders>
              <w:top w:val="nil"/>
              <w:left w:val="nil"/>
              <w:bottom w:val="single" w:sz="8" w:space="0" w:color="95B3D7"/>
              <w:right w:val="nil"/>
            </w:tcBorders>
            <w:shd w:val="clear" w:color="auto" w:fill="auto"/>
            <w:noWrap/>
            <w:vAlign w:val="center"/>
            <w:hideMark/>
          </w:tcPr>
          <w:p w14:paraId="3360FE69"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1,94</w:t>
            </w:r>
          </w:p>
        </w:tc>
        <w:tc>
          <w:tcPr>
            <w:tcW w:w="0" w:type="auto"/>
            <w:tcBorders>
              <w:top w:val="nil"/>
              <w:left w:val="nil"/>
              <w:bottom w:val="single" w:sz="8" w:space="0" w:color="95B3D7"/>
              <w:right w:val="single" w:sz="8" w:space="0" w:color="95B3D7"/>
            </w:tcBorders>
            <w:shd w:val="clear" w:color="auto" w:fill="auto"/>
            <w:noWrap/>
            <w:vAlign w:val="center"/>
            <w:hideMark/>
          </w:tcPr>
          <w:p w14:paraId="2B0CC941"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0,00</w:t>
            </w:r>
          </w:p>
        </w:tc>
      </w:tr>
      <w:tr w:rsidR="00123EA5" w:rsidRPr="00BF51BB" w14:paraId="5D449F92" w14:textId="77777777" w:rsidTr="00BF51BB">
        <w:trPr>
          <w:trHeight w:val="315"/>
        </w:trPr>
        <w:tc>
          <w:tcPr>
            <w:tcW w:w="0" w:type="auto"/>
            <w:vMerge w:val="restart"/>
            <w:tcBorders>
              <w:top w:val="nil"/>
              <w:left w:val="single" w:sz="8" w:space="0" w:color="95B3D7"/>
              <w:bottom w:val="single" w:sz="8" w:space="0" w:color="95B3D7"/>
              <w:right w:val="nil"/>
            </w:tcBorders>
            <w:shd w:val="clear" w:color="auto" w:fill="auto"/>
            <w:noWrap/>
            <w:vAlign w:val="center"/>
            <w:hideMark/>
          </w:tcPr>
          <w:p w14:paraId="7D96E910"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Devizni rizik</w:t>
            </w:r>
          </w:p>
        </w:tc>
        <w:tc>
          <w:tcPr>
            <w:tcW w:w="0" w:type="auto"/>
            <w:tcBorders>
              <w:top w:val="nil"/>
              <w:left w:val="nil"/>
              <w:bottom w:val="nil"/>
              <w:right w:val="nil"/>
            </w:tcBorders>
            <w:shd w:val="clear" w:color="auto" w:fill="auto"/>
            <w:noWrap/>
            <w:vAlign w:val="center"/>
            <w:hideMark/>
          </w:tcPr>
          <w:p w14:paraId="217814D5"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Devizni dug u % ukupnog duga</w:t>
            </w:r>
          </w:p>
        </w:tc>
        <w:tc>
          <w:tcPr>
            <w:tcW w:w="0" w:type="auto"/>
            <w:tcBorders>
              <w:top w:val="nil"/>
              <w:left w:val="nil"/>
              <w:bottom w:val="nil"/>
              <w:right w:val="nil"/>
            </w:tcBorders>
            <w:shd w:val="clear" w:color="auto" w:fill="auto"/>
            <w:noWrap/>
            <w:vAlign w:val="center"/>
            <w:hideMark/>
          </w:tcPr>
          <w:p w14:paraId="16C3F956"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87,76</w:t>
            </w:r>
          </w:p>
        </w:tc>
        <w:tc>
          <w:tcPr>
            <w:tcW w:w="0" w:type="auto"/>
            <w:tcBorders>
              <w:top w:val="nil"/>
              <w:left w:val="nil"/>
              <w:bottom w:val="nil"/>
              <w:right w:val="nil"/>
            </w:tcBorders>
            <w:shd w:val="clear" w:color="auto" w:fill="auto"/>
            <w:noWrap/>
            <w:vAlign w:val="center"/>
            <w:hideMark/>
          </w:tcPr>
          <w:p w14:paraId="7741166E"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81,28</w:t>
            </w:r>
          </w:p>
        </w:tc>
        <w:tc>
          <w:tcPr>
            <w:tcW w:w="0" w:type="auto"/>
            <w:tcBorders>
              <w:top w:val="nil"/>
              <w:left w:val="nil"/>
              <w:bottom w:val="nil"/>
              <w:right w:val="nil"/>
            </w:tcBorders>
            <w:shd w:val="clear" w:color="auto" w:fill="auto"/>
            <w:noWrap/>
            <w:vAlign w:val="center"/>
            <w:hideMark/>
          </w:tcPr>
          <w:p w14:paraId="17067106"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81,32</w:t>
            </w:r>
          </w:p>
        </w:tc>
        <w:tc>
          <w:tcPr>
            <w:tcW w:w="0" w:type="auto"/>
            <w:tcBorders>
              <w:top w:val="nil"/>
              <w:left w:val="nil"/>
              <w:bottom w:val="nil"/>
              <w:right w:val="nil"/>
            </w:tcBorders>
            <w:shd w:val="clear" w:color="auto" w:fill="auto"/>
            <w:noWrap/>
            <w:vAlign w:val="center"/>
            <w:hideMark/>
          </w:tcPr>
          <w:p w14:paraId="6D2ABEC8"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79,77</w:t>
            </w:r>
          </w:p>
        </w:tc>
        <w:tc>
          <w:tcPr>
            <w:tcW w:w="0" w:type="auto"/>
            <w:tcBorders>
              <w:top w:val="nil"/>
              <w:left w:val="nil"/>
              <w:bottom w:val="nil"/>
              <w:right w:val="single" w:sz="8" w:space="0" w:color="95B3D7"/>
            </w:tcBorders>
            <w:shd w:val="clear" w:color="auto" w:fill="auto"/>
            <w:noWrap/>
            <w:vAlign w:val="center"/>
            <w:hideMark/>
          </w:tcPr>
          <w:p w14:paraId="1BE5E310"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93,71</w:t>
            </w:r>
          </w:p>
        </w:tc>
      </w:tr>
      <w:tr w:rsidR="00123EA5" w:rsidRPr="00BF51BB" w14:paraId="79A911B8" w14:textId="77777777" w:rsidTr="00BF51BB">
        <w:trPr>
          <w:trHeight w:val="315"/>
        </w:trPr>
        <w:tc>
          <w:tcPr>
            <w:tcW w:w="0" w:type="auto"/>
            <w:vMerge/>
            <w:tcBorders>
              <w:top w:val="nil"/>
              <w:left w:val="single" w:sz="8" w:space="0" w:color="95B3D7"/>
              <w:bottom w:val="single" w:sz="8" w:space="0" w:color="95B3D7"/>
              <w:right w:val="nil"/>
            </w:tcBorders>
            <w:vAlign w:val="center"/>
            <w:hideMark/>
          </w:tcPr>
          <w:p w14:paraId="2CAA9E2C" w14:textId="77777777" w:rsidR="00123EA5" w:rsidRPr="00BF51BB" w:rsidRDefault="00123EA5" w:rsidP="00123EA5">
            <w:pPr>
              <w:spacing w:after="0" w:line="240" w:lineRule="auto"/>
              <w:rPr>
                <w:rFonts w:ascii="Arial" w:eastAsia="Times New Roman" w:hAnsi="Arial" w:cs="Arial"/>
                <w:color w:val="000000"/>
                <w:sz w:val="18"/>
                <w:szCs w:val="18"/>
              </w:rPr>
            </w:pPr>
          </w:p>
        </w:tc>
        <w:tc>
          <w:tcPr>
            <w:tcW w:w="0" w:type="auto"/>
            <w:tcBorders>
              <w:top w:val="nil"/>
              <w:left w:val="nil"/>
              <w:bottom w:val="single" w:sz="8" w:space="0" w:color="95B3D7"/>
              <w:right w:val="nil"/>
            </w:tcBorders>
            <w:shd w:val="clear" w:color="auto" w:fill="auto"/>
            <w:noWrap/>
            <w:vAlign w:val="center"/>
            <w:hideMark/>
          </w:tcPr>
          <w:p w14:paraId="2882DAAC" w14:textId="77777777" w:rsidR="00123EA5" w:rsidRPr="00BF51BB" w:rsidRDefault="00123EA5" w:rsidP="00123EA5">
            <w:pPr>
              <w:spacing w:after="0" w:line="240" w:lineRule="auto"/>
              <w:rPr>
                <w:rFonts w:ascii="Arial" w:eastAsia="Times New Roman" w:hAnsi="Arial" w:cs="Arial"/>
                <w:color w:val="000000"/>
                <w:sz w:val="18"/>
                <w:szCs w:val="18"/>
              </w:rPr>
            </w:pPr>
            <w:r w:rsidRPr="00BF51BB">
              <w:rPr>
                <w:rFonts w:ascii="Arial" w:eastAsia="Times New Roman" w:hAnsi="Arial" w:cs="Arial"/>
                <w:color w:val="000000"/>
                <w:sz w:val="18"/>
                <w:szCs w:val="18"/>
              </w:rPr>
              <w:t>Kratkoročni devizni dug u % rezervi</w:t>
            </w:r>
          </w:p>
        </w:tc>
        <w:tc>
          <w:tcPr>
            <w:tcW w:w="0" w:type="auto"/>
            <w:tcBorders>
              <w:top w:val="nil"/>
              <w:left w:val="nil"/>
              <w:bottom w:val="single" w:sz="8" w:space="0" w:color="95B3D7"/>
              <w:right w:val="nil"/>
            </w:tcBorders>
            <w:shd w:val="clear" w:color="auto" w:fill="auto"/>
            <w:noWrap/>
            <w:vAlign w:val="center"/>
            <w:hideMark/>
          </w:tcPr>
          <w:p w14:paraId="3F0BC669"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3,03</w:t>
            </w:r>
          </w:p>
        </w:tc>
        <w:tc>
          <w:tcPr>
            <w:tcW w:w="0" w:type="auto"/>
            <w:tcBorders>
              <w:top w:val="nil"/>
              <w:left w:val="nil"/>
              <w:bottom w:val="single" w:sz="8" w:space="0" w:color="95B3D7"/>
              <w:right w:val="nil"/>
            </w:tcBorders>
            <w:shd w:val="clear" w:color="auto" w:fill="auto"/>
            <w:noWrap/>
            <w:vAlign w:val="center"/>
            <w:hideMark/>
          </w:tcPr>
          <w:p w14:paraId="41C78063" w14:textId="77777777" w:rsidR="00123EA5" w:rsidRPr="00BF51BB" w:rsidRDefault="00123EA5" w:rsidP="00123EA5">
            <w:pPr>
              <w:spacing w:after="0" w:line="240" w:lineRule="auto"/>
              <w:jc w:val="center"/>
              <w:rPr>
                <w:rFonts w:ascii="Arial Narrow" w:eastAsia="Times New Roman" w:hAnsi="Arial Narrow" w:cs="Calibri"/>
                <w:b/>
                <w:bCs/>
                <w:i/>
                <w:iCs/>
                <w:color w:val="000000"/>
                <w:sz w:val="18"/>
                <w:szCs w:val="18"/>
              </w:rPr>
            </w:pPr>
            <w:r w:rsidRPr="00BF51BB">
              <w:rPr>
                <w:rFonts w:ascii="Arial Narrow" w:eastAsia="Times New Roman" w:hAnsi="Arial Narrow" w:cs="Calibri"/>
                <w:b/>
                <w:bCs/>
                <w:i/>
                <w:iCs/>
                <w:color w:val="000000"/>
                <w:sz w:val="18"/>
                <w:szCs w:val="18"/>
              </w:rPr>
              <w:t>3,26</w:t>
            </w:r>
          </w:p>
        </w:tc>
        <w:tc>
          <w:tcPr>
            <w:tcW w:w="0" w:type="auto"/>
            <w:tcBorders>
              <w:top w:val="nil"/>
              <w:left w:val="nil"/>
              <w:bottom w:val="single" w:sz="8" w:space="0" w:color="95B3D7"/>
              <w:right w:val="nil"/>
            </w:tcBorders>
            <w:shd w:val="clear" w:color="auto" w:fill="auto"/>
            <w:noWrap/>
            <w:vAlign w:val="center"/>
            <w:hideMark/>
          </w:tcPr>
          <w:p w14:paraId="1D95326E"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3,26</w:t>
            </w:r>
          </w:p>
        </w:tc>
        <w:tc>
          <w:tcPr>
            <w:tcW w:w="0" w:type="auto"/>
            <w:tcBorders>
              <w:top w:val="nil"/>
              <w:left w:val="nil"/>
              <w:bottom w:val="single" w:sz="8" w:space="0" w:color="95B3D7"/>
              <w:right w:val="nil"/>
            </w:tcBorders>
            <w:shd w:val="clear" w:color="auto" w:fill="auto"/>
            <w:noWrap/>
            <w:vAlign w:val="center"/>
            <w:hideMark/>
          </w:tcPr>
          <w:p w14:paraId="7FBC5EFA"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3,26</w:t>
            </w:r>
          </w:p>
        </w:tc>
        <w:tc>
          <w:tcPr>
            <w:tcW w:w="0" w:type="auto"/>
            <w:tcBorders>
              <w:top w:val="nil"/>
              <w:left w:val="nil"/>
              <w:bottom w:val="single" w:sz="8" w:space="0" w:color="95B3D7"/>
              <w:right w:val="single" w:sz="8" w:space="0" w:color="95B3D7"/>
            </w:tcBorders>
            <w:shd w:val="clear" w:color="auto" w:fill="auto"/>
            <w:noWrap/>
            <w:vAlign w:val="center"/>
            <w:hideMark/>
          </w:tcPr>
          <w:p w14:paraId="7894A5C9" w14:textId="77777777" w:rsidR="00123EA5" w:rsidRPr="00BF51BB" w:rsidRDefault="00123EA5" w:rsidP="00123EA5">
            <w:pPr>
              <w:spacing w:after="0" w:line="240" w:lineRule="auto"/>
              <w:jc w:val="center"/>
              <w:rPr>
                <w:rFonts w:ascii="Arial Narrow" w:eastAsia="Times New Roman" w:hAnsi="Arial Narrow" w:cs="Calibri"/>
                <w:color w:val="000000"/>
                <w:sz w:val="18"/>
                <w:szCs w:val="18"/>
              </w:rPr>
            </w:pPr>
            <w:r w:rsidRPr="00BF51BB">
              <w:rPr>
                <w:rFonts w:ascii="Arial Narrow" w:eastAsia="Times New Roman" w:hAnsi="Arial Narrow" w:cs="Calibri"/>
                <w:color w:val="000000"/>
                <w:sz w:val="18"/>
                <w:szCs w:val="18"/>
              </w:rPr>
              <w:t>3,26</w:t>
            </w:r>
          </w:p>
        </w:tc>
      </w:tr>
    </w:tbl>
    <w:p w14:paraId="38F542AF" w14:textId="77777777" w:rsidR="00123EA5" w:rsidRPr="00BF51BB" w:rsidRDefault="00123EA5" w:rsidP="00AF3981">
      <w:pPr>
        <w:spacing w:after="0" w:line="240" w:lineRule="auto"/>
        <w:jc w:val="both"/>
        <w:rPr>
          <w:rFonts w:ascii="Arial" w:hAnsi="Arial" w:cs="Arial"/>
          <w:color w:val="FF0000"/>
        </w:rPr>
      </w:pPr>
    </w:p>
    <w:p w14:paraId="32E767B5" w14:textId="77777777" w:rsidR="00123EA5" w:rsidRPr="00BF51BB" w:rsidRDefault="00123EA5" w:rsidP="00AF3981">
      <w:pPr>
        <w:spacing w:after="0" w:line="240" w:lineRule="auto"/>
        <w:jc w:val="both"/>
        <w:rPr>
          <w:rFonts w:ascii="Arial" w:hAnsi="Arial" w:cs="Arial"/>
        </w:rPr>
      </w:pPr>
    </w:p>
    <w:p w14:paraId="55A8E843" w14:textId="77777777" w:rsidR="004B35EC" w:rsidRPr="00BF51BB" w:rsidRDefault="004B35EC" w:rsidP="00AF3981">
      <w:pPr>
        <w:spacing w:after="0" w:line="240" w:lineRule="auto"/>
        <w:jc w:val="both"/>
        <w:rPr>
          <w:rFonts w:ascii="Arial" w:hAnsi="Arial" w:cs="Arial"/>
        </w:rPr>
      </w:pPr>
    </w:p>
    <w:p w14:paraId="514AC5BB" w14:textId="77777777" w:rsidR="00CA710D" w:rsidRPr="00BF51BB" w:rsidRDefault="00CA710D" w:rsidP="00AF3981">
      <w:pPr>
        <w:spacing w:after="0" w:line="240" w:lineRule="auto"/>
        <w:jc w:val="both"/>
        <w:rPr>
          <w:rFonts w:ascii="Arial" w:hAnsi="Arial" w:cs="Arial"/>
          <w:sz w:val="18"/>
          <w:szCs w:val="24"/>
        </w:rPr>
      </w:pPr>
    </w:p>
    <w:p w14:paraId="6116669E" w14:textId="77777777" w:rsidR="00CA710D" w:rsidRPr="00BF51BB" w:rsidRDefault="00CA710D" w:rsidP="00773274">
      <w:pPr>
        <w:spacing w:after="0"/>
        <w:ind w:firstLine="426"/>
        <w:jc w:val="both"/>
        <w:rPr>
          <w:rFonts w:ascii="Arial" w:hAnsi="Arial" w:cs="Arial"/>
          <w:szCs w:val="24"/>
        </w:rPr>
      </w:pPr>
    </w:p>
    <w:p w14:paraId="25EFA560" w14:textId="6B2A6FB8" w:rsidR="00C237B0" w:rsidRPr="00BF51BB" w:rsidRDefault="00ED768D" w:rsidP="00773274">
      <w:pPr>
        <w:spacing w:after="0"/>
        <w:ind w:firstLine="426"/>
        <w:jc w:val="both"/>
        <w:rPr>
          <w:rFonts w:ascii="Arial" w:hAnsi="Arial" w:cs="Arial"/>
          <w:szCs w:val="24"/>
        </w:rPr>
      </w:pPr>
      <w:r w:rsidRPr="00BF51BB">
        <w:rPr>
          <w:rFonts w:ascii="Arial" w:hAnsi="Arial" w:cs="Arial"/>
          <w:szCs w:val="24"/>
        </w:rPr>
        <w:lastRenderedPageBreak/>
        <w:t xml:space="preserve">Poredeći indikatore rizika predloženih strategija sa rizicima trenutnog portfolija duga, </w:t>
      </w:r>
      <w:r w:rsidR="009B1246" w:rsidRPr="00BF51BB">
        <w:rPr>
          <w:rFonts w:ascii="Arial" w:hAnsi="Arial" w:cs="Arial"/>
          <w:szCs w:val="24"/>
        </w:rPr>
        <w:t>možemo zaključiti sl</w:t>
      </w:r>
      <w:r w:rsidR="00C237B0" w:rsidRPr="00BF51BB">
        <w:rPr>
          <w:rFonts w:ascii="Arial" w:hAnsi="Arial" w:cs="Arial"/>
          <w:szCs w:val="24"/>
        </w:rPr>
        <w:t>jedeće:</w:t>
      </w:r>
    </w:p>
    <w:p w14:paraId="2076B0ED" w14:textId="77777777" w:rsidR="004457DE" w:rsidRPr="00BF51BB" w:rsidRDefault="004457DE" w:rsidP="00773274">
      <w:pPr>
        <w:spacing w:after="0"/>
        <w:ind w:firstLine="426"/>
        <w:jc w:val="both"/>
        <w:rPr>
          <w:rFonts w:ascii="Arial" w:hAnsi="Arial" w:cs="Arial"/>
          <w:sz w:val="24"/>
          <w:szCs w:val="24"/>
        </w:rPr>
      </w:pPr>
    </w:p>
    <w:p w14:paraId="4B00AFED" w14:textId="2BBD6BF6" w:rsidR="00C237B0" w:rsidRPr="00BF51BB" w:rsidRDefault="008C05C4" w:rsidP="00773274">
      <w:pPr>
        <w:spacing w:after="0"/>
        <w:ind w:firstLine="426"/>
        <w:jc w:val="both"/>
        <w:rPr>
          <w:rFonts w:ascii="Arial" w:hAnsi="Arial" w:cs="Arial"/>
        </w:rPr>
      </w:pPr>
      <w:r w:rsidRPr="00BF51BB">
        <w:rPr>
          <w:rFonts w:ascii="Arial" w:hAnsi="Arial" w:cs="Arial"/>
          <w:b/>
          <w:i/>
        </w:rPr>
        <w:t>Troškovi duga</w:t>
      </w:r>
      <w:r w:rsidRPr="00BF51BB">
        <w:rPr>
          <w:rFonts w:ascii="Arial" w:hAnsi="Arial" w:cs="Arial"/>
        </w:rPr>
        <w:t xml:space="preserve"> – </w:t>
      </w:r>
      <w:r w:rsidR="00130799" w:rsidRPr="00BF51BB">
        <w:rPr>
          <w:rFonts w:ascii="Arial" w:hAnsi="Arial" w:cs="Arial"/>
        </w:rPr>
        <w:t xml:space="preserve">Prosječna implicitna ponderisana kamatna stopa, imajući u vidu visinu finansijskih potreba i dostupne izvore finansiranja u svim analiziranim strategijama se povećava i kreće se u rasponu od 1,25% - 2,07%, s tim da kod preferirane strategije S1 na kraju 2024. godine iznosi 1,47%. </w:t>
      </w:r>
    </w:p>
    <w:p w14:paraId="56134480" w14:textId="77777777" w:rsidR="002A2B25" w:rsidRPr="00BF51BB" w:rsidRDefault="002A2B25" w:rsidP="00773274">
      <w:pPr>
        <w:spacing w:after="0"/>
        <w:ind w:firstLine="426"/>
        <w:jc w:val="both"/>
        <w:rPr>
          <w:rFonts w:ascii="Arial" w:hAnsi="Arial" w:cs="Arial"/>
          <w:highlight w:val="yellow"/>
        </w:rPr>
      </w:pPr>
    </w:p>
    <w:p w14:paraId="7899E85E" w14:textId="38D614E3" w:rsidR="00130799" w:rsidRPr="00BF51BB" w:rsidRDefault="008C05C4" w:rsidP="00D912D1">
      <w:pPr>
        <w:spacing w:after="0"/>
        <w:ind w:firstLine="426"/>
        <w:jc w:val="both"/>
        <w:rPr>
          <w:rFonts w:ascii="Arial" w:hAnsi="Arial" w:cs="Arial"/>
        </w:rPr>
      </w:pPr>
      <w:r w:rsidRPr="00BF51BB">
        <w:rPr>
          <w:rFonts w:ascii="Arial" w:hAnsi="Arial" w:cs="Arial"/>
          <w:b/>
          <w:i/>
        </w:rPr>
        <w:t>Rizik refinansiranja</w:t>
      </w:r>
      <w:r w:rsidRPr="00BF51BB">
        <w:rPr>
          <w:rFonts w:ascii="Arial" w:hAnsi="Arial" w:cs="Arial"/>
        </w:rPr>
        <w:t xml:space="preserve"> – </w:t>
      </w:r>
      <w:r w:rsidR="00130799" w:rsidRPr="00BF51BB">
        <w:rPr>
          <w:rFonts w:ascii="Arial" w:hAnsi="Arial" w:cs="Arial"/>
        </w:rPr>
        <w:t>Iznos  duga koji dospijeva u 2024. godini (13,63%) je veći u relativnom iznosu, u odnosu početni portfolio duga iz 202</w:t>
      </w:r>
      <w:r w:rsidR="00F677D2" w:rsidRPr="00BF51BB">
        <w:rPr>
          <w:rFonts w:ascii="Arial" w:hAnsi="Arial" w:cs="Arial"/>
        </w:rPr>
        <w:t>1</w:t>
      </w:r>
      <w:r w:rsidR="00130799" w:rsidRPr="00BF51BB">
        <w:rPr>
          <w:rFonts w:ascii="Arial" w:hAnsi="Arial" w:cs="Arial"/>
        </w:rPr>
        <w:t>. godine kada je iznosio 11,</w:t>
      </w:r>
      <w:r w:rsidR="00F677D2" w:rsidRPr="00BF51BB">
        <w:rPr>
          <w:rFonts w:ascii="Arial" w:hAnsi="Arial" w:cs="Arial"/>
        </w:rPr>
        <w:t>46</w:t>
      </w:r>
      <w:r w:rsidR="00130799" w:rsidRPr="00BF51BB">
        <w:rPr>
          <w:rFonts w:ascii="Arial" w:hAnsi="Arial" w:cs="Arial"/>
        </w:rPr>
        <w:t>%,</w:t>
      </w:r>
      <w:r w:rsidR="00F677D2" w:rsidRPr="00BF51BB">
        <w:rPr>
          <w:rFonts w:ascii="Arial" w:hAnsi="Arial" w:cs="Arial"/>
        </w:rPr>
        <w:t xml:space="preserve"> s tim da se</w:t>
      </w:r>
      <w:r w:rsidR="00130799" w:rsidRPr="00BF51BB">
        <w:rPr>
          <w:rFonts w:ascii="Arial" w:hAnsi="Arial" w:cs="Arial"/>
        </w:rPr>
        <w:t xml:space="preserve"> zadržao ispod iznosa koji je u </w:t>
      </w:r>
      <w:r w:rsidR="008D6379" w:rsidRPr="00BF51BB">
        <w:rPr>
          <w:rFonts w:ascii="Arial" w:hAnsi="Arial" w:cs="Arial"/>
        </w:rPr>
        <w:t>smjernicama</w:t>
      </w:r>
      <w:r w:rsidR="00130799" w:rsidRPr="00BF51BB">
        <w:rPr>
          <w:rFonts w:ascii="Arial" w:hAnsi="Arial" w:cs="Arial"/>
        </w:rPr>
        <w:t xml:space="preserve"> o zaduživanju u cilju dostizanja poželjnog izgleda portfolija duga Federacije BiH, naveden kao gornja granica (15% ukupnog portfolija duga). </w:t>
      </w:r>
    </w:p>
    <w:p w14:paraId="437452ED" w14:textId="6D6D5A57" w:rsidR="00130799" w:rsidRPr="00BF51BB" w:rsidRDefault="00130799" w:rsidP="00130799">
      <w:pPr>
        <w:spacing w:after="0"/>
        <w:ind w:firstLine="426"/>
        <w:jc w:val="both"/>
        <w:rPr>
          <w:rFonts w:ascii="Arial" w:hAnsi="Arial" w:cs="Arial"/>
        </w:rPr>
      </w:pPr>
      <w:r w:rsidRPr="00BF51BB">
        <w:rPr>
          <w:rFonts w:ascii="Arial" w:hAnsi="Arial" w:cs="Arial"/>
        </w:rPr>
        <w:t xml:space="preserve">  Prosječno vrijeme do dospijeća (ATM) bi se povećalo u svim analiziranim strategijama i bilo bi u skladu sa definiranim strateškim ciljevima. Najduže prosječno vrijeme do dospijeća bi bilo u strategiji S</w:t>
      </w:r>
      <w:r w:rsidR="00F677D2" w:rsidRPr="00BF51BB">
        <w:rPr>
          <w:rFonts w:ascii="Arial" w:hAnsi="Arial" w:cs="Arial"/>
        </w:rPr>
        <w:t>3</w:t>
      </w:r>
      <w:r w:rsidRPr="00BF51BB">
        <w:rPr>
          <w:rFonts w:ascii="Arial" w:hAnsi="Arial" w:cs="Arial"/>
        </w:rPr>
        <w:t xml:space="preserve"> i S</w:t>
      </w:r>
      <w:r w:rsidR="00F677D2" w:rsidRPr="00BF51BB">
        <w:rPr>
          <w:rFonts w:ascii="Arial" w:hAnsi="Arial" w:cs="Arial"/>
        </w:rPr>
        <w:t>4</w:t>
      </w:r>
      <w:r w:rsidRPr="00BF51BB">
        <w:rPr>
          <w:rFonts w:ascii="Arial" w:hAnsi="Arial" w:cs="Arial"/>
        </w:rPr>
        <w:t xml:space="preserve"> imajući u vidu strukturu otplate korištenih instrumenata duga. Implementacijom strategije S1 prosječno vrijeme dospijeća portfoli</w:t>
      </w:r>
      <w:r w:rsidR="009A2717">
        <w:rPr>
          <w:rFonts w:ascii="Arial" w:hAnsi="Arial" w:cs="Arial"/>
        </w:rPr>
        <w:t>j</w:t>
      </w:r>
      <w:r w:rsidRPr="00BF51BB">
        <w:rPr>
          <w:rFonts w:ascii="Arial" w:hAnsi="Arial" w:cs="Arial"/>
        </w:rPr>
        <w:t xml:space="preserve">a duga na kraju 2023. godine bi iznosilo 6,7 godina. </w:t>
      </w:r>
    </w:p>
    <w:p w14:paraId="609E1833" w14:textId="77777777" w:rsidR="00130799" w:rsidRPr="00BF51BB" w:rsidRDefault="00130799" w:rsidP="00130799">
      <w:pPr>
        <w:spacing w:after="0"/>
        <w:ind w:firstLine="426"/>
        <w:jc w:val="both"/>
        <w:rPr>
          <w:rFonts w:ascii="Arial" w:hAnsi="Arial" w:cs="Arial"/>
          <w:highlight w:val="yellow"/>
        </w:rPr>
      </w:pPr>
    </w:p>
    <w:p w14:paraId="3EADB8B5" w14:textId="4A58E643" w:rsidR="00130799" w:rsidRPr="00BF51BB" w:rsidRDefault="00130799" w:rsidP="00BF51BB">
      <w:pPr>
        <w:spacing w:after="0"/>
        <w:ind w:firstLine="426"/>
        <w:jc w:val="both"/>
        <w:rPr>
          <w:rFonts w:ascii="Arial" w:hAnsi="Arial" w:cs="Arial"/>
        </w:rPr>
      </w:pPr>
      <w:r w:rsidRPr="00BF51BB">
        <w:rPr>
          <w:rFonts w:ascii="Arial" w:hAnsi="Arial" w:cs="Arial"/>
          <w:b/>
          <w:i/>
        </w:rPr>
        <w:t>Kamatni rizik</w:t>
      </w:r>
      <w:r w:rsidRPr="00BF51BB">
        <w:rPr>
          <w:rFonts w:ascii="Arial" w:hAnsi="Arial" w:cs="Arial"/>
        </w:rPr>
        <w:t xml:space="preserve"> – Prosječno vrijeme refiksiranja se </w:t>
      </w:r>
      <w:r w:rsidR="00622ED7" w:rsidRPr="00BF51BB">
        <w:rPr>
          <w:rFonts w:ascii="Arial" w:hAnsi="Arial" w:cs="Arial"/>
        </w:rPr>
        <w:t>povećava</w:t>
      </w:r>
      <w:r w:rsidRPr="00BF51BB">
        <w:rPr>
          <w:rFonts w:ascii="Arial" w:hAnsi="Arial" w:cs="Arial"/>
        </w:rPr>
        <w:t xml:space="preserve"> u preferiranoj strategiji</w:t>
      </w:r>
      <w:r w:rsidR="00622ED7" w:rsidRPr="00BF51BB">
        <w:rPr>
          <w:rFonts w:ascii="Arial" w:hAnsi="Arial" w:cs="Arial"/>
        </w:rPr>
        <w:t xml:space="preserve"> i iznosi 4,28 godina, u odnosu na početno potrebno vrijeme od 4,15 godina.</w:t>
      </w:r>
      <w:r w:rsidR="004457DE" w:rsidRPr="00BF51BB">
        <w:rPr>
          <w:rFonts w:ascii="Arial" w:hAnsi="Arial" w:cs="Arial"/>
        </w:rPr>
        <w:t xml:space="preserve"> </w:t>
      </w:r>
      <w:r w:rsidRPr="00BF51BB">
        <w:rPr>
          <w:rFonts w:ascii="Arial" w:hAnsi="Arial" w:cs="Arial"/>
        </w:rPr>
        <w:t>U</w:t>
      </w:r>
      <w:r w:rsidR="0000223F">
        <w:rPr>
          <w:rFonts w:ascii="Arial" w:hAnsi="Arial" w:cs="Arial"/>
        </w:rPr>
        <w:t>češće</w:t>
      </w:r>
      <w:r w:rsidRPr="00BF51BB">
        <w:rPr>
          <w:rFonts w:ascii="Arial" w:hAnsi="Arial" w:cs="Arial"/>
        </w:rPr>
        <w:t xml:space="preserve"> duga sa fiksnim kamatnim stopama uključujući i trezorske zapise, u preferiranoj strategiji bi se </w:t>
      </w:r>
      <w:r w:rsidR="00622ED7" w:rsidRPr="00BF51BB">
        <w:rPr>
          <w:rFonts w:ascii="Arial" w:hAnsi="Arial" w:cs="Arial"/>
        </w:rPr>
        <w:t>poveća</w:t>
      </w:r>
      <w:r w:rsidR="0000223F">
        <w:rPr>
          <w:rFonts w:ascii="Arial" w:hAnsi="Arial" w:cs="Arial"/>
        </w:rPr>
        <w:t>l</w:t>
      </w:r>
      <w:r w:rsidR="00622ED7" w:rsidRPr="00BF51BB">
        <w:rPr>
          <w:rFonts w:ascii="Arial" w:hAnsi="Arial" w:cs="Arial"/>
        </w:rPr>
        <w:t>o</w:t>
      </w:r>
      <w:r w:rsidRPr="00BF51BB">
        <w:rPr>
          <w:rFonts w:ascii="Arial" w:hAnsi="Arial" w:cs="Arial"/>
        </w:rPr>
        <w:t xml:space="preserve"> u odnosu na početni portfolio duga i iznosi</w:t>
      </w:r>
      <w:r w:rsidR="0000223F">
        <w:rPr>
          <w:rFonts w:ascii="Arial" w:hAnsi="Arial" w:cs="Arial"/>
        </w:rPr>
        <w:t>lo bi</w:t>
      </w:r>
      <w:r w:rsidRPr="00BF51BB">
        <w:rPr>
          <w:rFonts w:ascii="Arial" w:hAnsi="Arial" w:cs="Arial"/>
        </w:rPr>
        <w:t xml:space="preserve"> </w:t>
      </w:r>
      <w:r w:rsidR="00622ED7" w:rsidRPr="00BF51BB">
        <w:rPr>
          <w:rFonts w:ascii="Arial" w:hAnsi="Arial" w:cs="Arial"/>
        </w:rPr>
        <w:t>65,42</w:t>
      </w:r>
      <w:r w:rsidRPr="00BF51BB">
        <w:rPr>
          <w:rFonts w:ascii="Arial" w:hAnsi="Arial" w:cs="Arial"/>
        </w:rPr>
        <w:t>%.</w:t>
      </w:r>
      <w:r w:rsidR="00622ED7" w:rsidRPr="00BF51BB">
        <w:rPr>
          <w:rFonts w:ascii="Arial" w:hAnsi="Arial" w:cs="Arial"/>
        </w:rPr>
        <w:t xml:space="preserve"> Strategij</w:t>
      </w:r>
      <w:r w:rsidR="004A5649" w:rsidRPr="00BF51BB">
        <w:rPr>
          <w:rFonts w:ascii="Arial" w:hAnsi="Arial" w:cs="Arial"/>
        </w:rPr>
        <w:t>a</w:t>
      </w:r>
      <w:r w:rsidR="00622ED7" w:rsidRPr="00BF51BB">
        <w:rPr>
          <w:rFonts w:ascii="Arial" w:hAnsi="Arial" w:cs="Arial"/>
        </w:rPr>
        <w:t xml:space="preserve"> </w:t>
      </w:r>
      <w:r w:rsidRPr="00BF51BB">
        <w:rPr>
          <w:rFonts w:ascii="Arial" w:hAnsi="Arial" w:cs="Arial"/>
        </w:rPr>
        <w:t>S4 koj</w:t>
      </w:r>
      <w:r w:rsidR="00622ED7" w:rsidRPr="00BF51BB">
        <w:rPr>
          <w:rFonts w:ascii="Arial" w:hAnsi="Arial" w:cs="Arial"/>
        </w:rPr>
        <w:t>a uzima</w:t>
      </w:r>
      <w:r w:rsidRPr="00BF51BB">
        <w:rPr>
          <w:rFonts w:ascii="Arial" w:hAnsi="Arial" w:cs="Arial"/>
        </w:rPr>
        <w:t xml:space="preserve"> u obzir zaduživanje emisijama euroobveznica po fiksnim kamatnim stopama imaju znatno povoljniji ATR koji iznosi </w:t>
      </w:r>
      <w:r w:rsidR="004A5649" w:rsidRPr="00BF51BB">
        <w:rPr>
          <w:rFonts w:ascii="Arial" w:hAnsi="Arial" w:cs="Arial"/>
        </w:rPr>
        <w:t>5,99 godina</w:t>
      </w:r>
      <w:r w:rsidRPr="00BF51BB">
        <w:rPr>
          <w:rFonts w:ascii="Arial" w:hAnsi="Arial" w:cs="Arial"/>
        </w:rPr>
        <w:t>.</w:t>
      </w:r>
    </w:p>
    <w:p w14:paraId="2993CE4C" w14:textId="77777777" w:rsidR="00130799" w:rsidRPr="00BF51BB" w:rsidRDefault="00130799" w:rsidP="00130799">
      <w:pPr>
        <w:spacing w:after="0"/>
        <w:ind w:firstLine="425"/>
        <w:jc w:val="both"/>
        <w:rPr>
          <w:rFonts w:ascii="Arial" w:hAnsi="Arial" w:cs="Arial"/>
          <w:highlight w:val="yellow"/>
        </w:rPr>
      </w:pPr>
    </w:p>
    <w:p w14:paraId="265E0B95" w14:textId="540FB475" w:rsidR="00130799" w:rsidRPr="00BF51BB" w:rsidRDefault="00130799" w:rsidP="00130799">
      <w:pPr>
        <w:spacing w:after="0"/>
        <w:ind w:firstLine="425"/>
        <w:jc w:val="both"/>
        <w:rPr>
          <w:rFonts w:ascii="Arial" w:hAnsi="Arial" w:cs="Arial"/>
          <w:i/>
        </w:rPr>
      </w:pPr>
      <w:r w:rsidRPr="00BF51BB">
        <w:rPr>
          <w:rFonts w:ascii="Arial" w:hAnsi="Arial" w:cs="Arial"/>
        </w:rPr>
        <w:t xml:space="preserve"> </w:t>
      </w:r>
      <w:r w:rsidRPr="00BF51BB">
        <w:rPr>
          <w:rFonts w:ascii="Arial" w:hAnsi="Arial" w:cs="Arial"/>
          <w:i/>
        </w:rPr>
        <w:t>Vlada Federacije BiH je izabrala</w:t>
      </w:r>
      <w:r w:rsidRPr="00BF51BB">
        <w:rPr>
          <w:rFonts w:ascii="Arial" w:hAnsi="Arial" w:cs="Arial"/>
          <w:b/>
          <w:i/>
        </w:rPr>
        <w:t xml:space="preserve"> Strategiju S1</w:t>
      </w:r>
      <w:r w:rsidRPr="00BF51BB">
        <w:rPr>
          <w:rFonts w:ascii="Arial" w:hAnsi="Arial" w:cs="Arial"/>
          <w:i/>
        </w:rPr>
        <w:t xml:space="preserve"> koju će provoditi u periodu 202</w:t>
      </w:r>
      <w:r w:rsidR="004A5649" w:rsidRPr="00BF51BB">
        <w:rPr>
          <w:rFonts w:ascii="Arial" w:hAnsi="Arial" w:cs="Arial"/>
          <w:i/>
        </w:rPr>
        <w:t>2</w:t>
      </w:r>
      <w:r w:rsidR="009645F1" w:rsidRPr="00BF51BB">
        <w:rPr>
          <w:rFonts w:ascii="Arial" w:hAnsi="Arial" w:cs="Arial"/>
          <w:i/>
        </w:rPr>
        <w:t>.</w:t>
      </w:r>
      <w:r w:rsidRPr="00BF51BB">
        <w:rPr>
          <w:rFonts w:ascii="Arial" w:hAnsi="Arial" w:cs="Arial"/>
          <w:i/>
        </w:rPr>
        <w:t>-202</w:t>
      </w:r>
      <w:r w:rsidR="004A5649" w:rsidRPr="00BF51BB">
        <w:rPr>
          <w:rFonts w:ascii="Arial" w:hAnsi="Arial" w:cs="Arial"/>
          <w:i/>
        </w:rPr>
        <w:t>4</w:t>
      </w:r>
      <w:r w:rsidRPr="00BF51BB">
        <w:rPr>
          <w:rFonts w:ascii="Arial" w:hAnsi="Arial" w:cs="Arial"/>
          <w:i/>
        </w:rPr>
        <w:t>. Izabrana strategija, odnosno indikatori rizika izabrane strategije S1 na kraju 202</w:t>
      </w:r>
      <w:r w:rsidR="004A5649" w:rsidRPr="00BF51BB">
        <w:rPr>
          <w:rFonts w:ascii="Arial" w:hAnsi="Arial" w:cs="Arial"/>
          <w:i/>
        </w:rPr>
        <w:t>4</w:t>
      </w:r>
      <w:r w:rsidRPr="00BF51BB">
        <w:rPr>
          <w:rFonts w:ascii="Arial" w:hAnsi="Arial" w:cs="Arial"/>
          <w:i/>
        </w:rPr>
        <w:t>. godine uglavnom su u skladu sa smjernicama za upravljanje dugom. Strategija S1 podrazumijeva implementaciju PJI 202</w:t>
      </w:r>
      <w:r w:rsidR="004A5649" w:rsidRPr="00BF51BB">
        <w:rPr>
          <w:rFonts w:ascii="Arial" w:hAnsi="Arial" w:cs="Arial"/>
          <w:i/>
        </w:rPr>
        <w:t>2</w:t>
      </w:r>
      <w:r w:rsidR="009645F1" w:rsidRPr="00BF51BB">
        <w:rPr>
          <w:rFonts w:ascii="Arial" w:hAnsi="Arial" w:cs="Arial"/>
          <w:i/>
        </w:rPr>
        <w:t>.</w:t>
      </w:r>
      <w:r w:rsidRPr="00BF51BB">
        <w:rPr>
          <w:rFonts w:ascii="Arial" w:hAnsi="Arial" w:cs="Arial"/>
          <w:i/>
        </w:rPr>
        <w:t>-202</w:t>
      </w:r>
      <w:r w:rsidR="004A5649" w:rsidRPr="00BF51BB">
        <w:rPr>
          <w:rFonts w:ascii="Arial" w:hAnsi="Arial" w:cs="Arial"/>
          <w:i/>
        </w:rPr>
        <w:t>4</w:t>
      </w:r>
      <w:r w:rsidRPr="00BF51BB">
        <w:rPr>
          <w:rFonts w:ascii="Arial" w:hAnsi="Arial" w:cs="Arial"/>
          <w:i/>
        </w:rPr>
        <w:t xml:space="preserve"> u sklad</w:t>
      </w:r>
      <w:r w:rsidR="008D6379">
        <w:rPr>
          <w:rFonts w:ascii="Arial" w:hAnsi="Arial" w:cs="Arial"/>
          <w:i/>
        </w:rPr>
        <w:t>u sa preporukama iz Strategije,</w:t>
      </w:r>
      <w:r w:rsidRPr="00BF51BB">
        <w:rPr>
          <w:rFonts w:ascii="Arial" w:hAnsi="Arial" w:cs="Arial"/>
          <w:i/>
        </w:rPr>
        <w:t xml:space="preserve"> makrofinansijsku pomoć E</w:t>
      </w:r>
      <w:r w:rsidR="008D6379">
        <w:rPr>
          <w:rFonts w:ascii="Arial" w:hAnsi="Arial" w:cs="Arial"/>
          <w:i/>
        </w:rPr>
        <w:t>v</w:t>
      </w:r>
      <w:r w:rsidRPr="00BF51BB">
        <w:rPr>
          <w:rFonts w:ascii="Arial" w:hAnsi="Arial" w:cs="Arial"/>
          <w:i/>
        </w:rPr>
        <w:t>ropske unije te emitovanje vrijednosnih papira na domaćem tržištu u cilju budžetske podrške i refinansiranja postojećeg duga.</w:t>
      </w:r>
    </w:p>
    <w:p w14:paraId="3D96BE84" w14:textId="77777777" w:rsidR="002A2B25" w:rsidRPr="00BF51BB" w:rsidRDefault="002A2B25" w:rsidP="00130799">
      <w:pPr>
        <w:spacing w:after="0"/>
        <w:ind w:firstLine="426"/>
        <w:jc w:val="both"/>
        <w:rPr>
          <w:rFonts w:ascii="Arial" w:hAnsi="Arial" w:cs="Arial"/>
        </w:rPr>
      </w:pPr>
    </w:p>
    <w:p w14:paraId="0D23844F" w14:textId="77777777" w:rsidR="006E7207" w:rsidRPr="00BF51BB" w:rsidRDefault="006E7207" w:rsidP="00ED768D">
      <w:pPr>
        <w:spacing w:after="0"/>
        <w:rPr>
          <w:rFonts w:ascii="Arial" w:eastAsia="Times New Roman" w:hAnsi="Arial" w:cs="Arial"/>
          <w:lang w:eastAsia="bs-Latn-BA"/>
        </w:rPr>
      </w:pPr>
    </w:p>
    <w:p w14:paraId="269787D8" w14:textId="77777777" w:rsidR="00ED768D" w:rsidRPr="00BF51BB" w:rsidRDefault="00ED768D" w:rsidP="00627D74">
      <w:pPr>
        <w:pStyle w:val="Heading1"/>
        <w:numPr>
          <w:ilvl w:val="0"/>
          <w:numId w:val="5"/>
        </w:numPr>
        <w:spacing w:before="0"/>
        <w:ind w:left="397" w:hanging="397"/>
        <w:rPr>
          <w:rFonts w:ascii="Arial" w:hAnsi="Arial" w:cs="Arial"/>
          <w:b w:val="0"/>
          <w:color w:val="auto"/>
          <w:sz w:val="22"/>
          <w:szCs w:val="22"/>
        </w:rPr>
      </w:pPr>
      <w:bookmarkStart w:id="151" w:name="_Toc101781051"/>
      <w:r w:rsidRPr="00BF51BB">
        <w:rPr>
          <w:rFonts w:ascii="Arial" w:hAnsi="Arial" w:cs="Arial"/>
          <w:b w:val="0"/>
          <w:color w:val="auto"/>
          <w:sz w:val="22"/>
          <w:szCs w:val="22"/>
        </w:rPr>
        <w:t>SMJERNICE ZA UPRAVLJANJE DUGOM</w:t>
      </w:r>
      <w:bookmarkEnd w:id="151"/>
    </w:p>
    <w:p w14:paraId="1E432557" w14:textId="77777777" w:rsidR="00C242B6" w:rsidRPr="00BF51BB" w:rsidRDefault="00C242B6" w:rsidP="000251A2">
      <w:pPr>
        <w:pStyle w:val="NoSpacing"/>
        <w:spacing w:line="276" w:lineRule="auto"/>
        <w:ind w:firstLine="284"/>
        <w:jc w:val="both"/>
        <w:rPr>
          <w:rFonts w:ascii="Arial" w:hAnsi="Arial" w:cs="Arial"/>
          <w:lang w:val="hr-HR"/>
        </w:rPr>
      </w:pPr>
    </w:p>
    <w:p w14:paraId="10FC331B" w14:textId="77777777" w:rsidR="000251A2" w:rsidRPr="00BF51BB" w:rsidRDefault="000251A2" w:rsidP="005002B3">
      <w:pPr>
        <w:pStyle w:val="NoSpacing"/>
        <w:spacing w:line="276" w:lineRule="auto"/>
        <w:ind w:firstLine="284"/>
        <w:jc w:val="both"/>
        <w:rPr>
          <w:rFonts w:ascii="Arial" w:hAnsi="Arial" w:cs="Arial"/>
          <w:lang w:val="hr-HR"/>
        </w:rPr>
      </w:pPr>
      <w:r w:rsidRPr="00BF51BB">
        <w:rPr>
          <w:rFonts w:ascii="Arial" w:hAnsi="Arial" w:cs="Arial"/>
          <w:lang w:val="hr-HR"/>
        </w:rPr>
        <w:t>U namjeri da se osiguraju sredstva za likvidnost budžeta, zadovolji tražnja i poveća likvidnost vladinih vrijednosnih papira, u narednom periodu Vlada F</w:t>
      </w:r>
      <w:r w:rsidR="006F76BC" w:rsidRPr="00BF51BB">
        <w:rPr>
          <w:rFonts w:ascii="Arial" w:hAnsi="Arial" w:cs="Arial"/>
          <w:lang w:val="hr-HR"/>
        </w:rPr>
        <w:t xml:space="preserve">ederacije </w:t>
      </w:r>
      <w:r w:rsidRPr="00BF51BB">
        <w:rPr>
          <w:rFonts w:ascii="Arial" w:hAnsi="Arial" w:cs="Arial"/>
          <w:lang w:val="hr-HR"/>
        </w:rPr>
        <w:t xml:space="preserve">BiH će nastaviti sa izdavanjem trezorskih zapisa i obveznica u obimu i dinamici koji će biti konzistentni sa ovom srednjoročnom Strategijom. </w:t>
      </w:r>
    </w:p>
    <w:p w14:paraId="00F2F30A" w14:textId="5379193F" w:rsidR="000251A2" w:rsidRPr="00BF51BB" w:rsidRDefault="000251A2" w:rsidP="000251A2">
      <w:pPr>
        <w:pStyle w:val="Heading2"/>
        <w:ind w:left="993" w:hanging="709"/>
        <w:rPr>
          <w:rFonts w:ascii="Arial" w:hAnsi="Arial" w:cs="Arial"/>
          <w:b w:val="0"/>
          <w:color w:val="auto"/>
          <w:sz w:val="22"/>
          <w:szCs w:val="22"/>
        </w:rPr>
      </w:pPr>
      <w:bookmarkStart w:id="152" w:name="_Toc475345526"/>
      <w:bookmarkStart w:id="153" w:name="_Toc101781052"/>
      <w:r w:rsidRPr="00BF51BB">
        <w:rPr>
          <w:rFonts w:ascii="Arial" w:hAnsi="Arial" w:cs="Arial"/>
          <w:b w:val="0"/>
          <w:color w:val="auto"/>
          <w:sz w:val="22"/>
          <w:szCs w:val="22"/>
        </w:rPr>
        <w:t>8.1</w:t>
      </w:r>
      <w:r w:rsidR="004457DE" w:rsidRPr="00BF51BB">
        <w:rPr>
          <w:rFonts w:ascii="Arial" w:hAnsi="Arial" w:cs="Arial"/>
          <w:b w:val="0"/>
          <w:color w:val="auto"/>
          <w:sz w:val="22"/>
          <w:szCs w:val="22"/>
        </w:rPr>
        <w:t>.</w:t>
      </w:r>
      <w:r w:rsidRPr="00BF51BB">
        <w:rPr>
          <w:rFonts w:ascii="Arial" w:hAnsi="Arial" w:cs="Arial"/>
          <w:b w:val="0"/>
          <w:color w:val="auto"/>
          <w:sz w:val="22"/>
          <w:szCs w:val="22"/>
        </w:rPr>
        <w:tab/>
        <w:t>Sveukupna struktura portfolija duga</w:t>
      </w:r>
      <w:bookmarkEnd w:id="152"/>
      <w:bookmarkEnd w:id="153"/>
    </w:p>
    <w:p w14:paraId="0362879A" w14:textId="77777777" w:rsidR="000251A2" w:rsidRPr="00BF51BB" w:rsidRDefault="000251A2" w:rsidP="000251A2">
      <w:pPr>
        <w:pStyle w:val="NoSpacing"/>
        <w:rPr>
          <w:rFonts w:ascii="Arial" w:hAnsi="Arial" w:cs="Arial"/>
          <w:lang w:val="hr-HR"/>
        </w:rPr>
      </w:pPr>
    </w:p>
    <w:p w14:paraId="75F8BE90" w14:textId="77777777" w:rsidR="000251A2" w:rsidRPr="00BF51BB" w:rsidRDefault="000251A2" w:rsidP="00894C30">
      <w:pPr>
        <w:pStyle w:val="NoSpacing"/>
        <w:spacing w:line="276" w:lineRule="auto"/>
        <w:ind w:firstLine="284"/>
        <w:jc w:val="both"/>
        <w:rPr>
          <w:rFonts w:ascii="Arial" w:hAnsi="Arial" w:cs="Arial"/>
          <w:lang w:val="hr-HR"/>
        </w:rPr>
      </w:pPr>
      <w:r w:rsidRPr="00BF51BB">
        <w:rPr>
          <w:rFonts w:ascii="Arial" w:hAnsi="Arial" w:cs="Arial"/>
          <w:lang w:val="hr-HR"/>
        </w:rPr>
        <w:t xml:space="preserve">Strukturom portfolija duga nastojat će se </w:t>
      </w:r>
      <w:r w:rsidR="00D945EA" w:rsidRPr="00BF51BB">
        <w:rPr>
          <w:rFonts w:ascii="Arial" w:hAnsi="Arial" w:cs="Arial"/>
          <w:lang w:val="hr-HR"/>
        </w:rPr>
        <w:t>minimizirati</w:t>
      </w:r>
      <w:r w:rsidRPr="00BF51BB">
        <w:rPr>
          <w:rFonts w:ascii="Arial" w:hAnsi="Arial" w:cs="Arial"/>
          <w:lang w:val="hr-HR"/>
        </w:rPr>
        <w:t xml:space="preserve"> sveukupni rizici i nastaviti sa razvojem domaćeg tržišta </w:t>
      </w:r>
      <w:r w:rsidR="00DA1E1E" w:rsidRPr="00BF51BB">
        <w:rPr>
          <w:rFonts w:ascii="Arial" w:hAnsi="Arial" w:cs="Arial"/>
          <w:lang w:val="hr-HR"/>
        </w:rPr>
        <w:t>vrijednosnih papira</w:t>
      </w:r>
      <w:r w:rsidRPr="00BF51BB">
        <w:rPr>
          <w:rFonts w:ascii="Arial" w:hAnsi="Arial" w:cs="Arial"/>
          <w:lang w:val="hr-HR"/>
        </w:rPr>
        <w:t xml:space="preserve">. </w:t>
      </w:r>
    </w:p>
    <w:p w14:paraId="62B398AC" w14:textId="77777777" w:rsidR="000251A2" w:rsidRPr="00BF51BB" w:rsidRDefault="000251A2" w:rsidP="00894C30">
      <w:pPr>
        <w:pStyle w:val="NoSpacing"/>
        <w:spacing w:line="276" w:lineRule="auto"/>
        <w:jc w:val="both"/>
        <w:rPr>
          <w:rFonts w:ascii="Arial" w:hAnsi="Arial" w:cs="Arial"/>
          <w:lang w:val="hr-HR"/>
        </w:rPr>
      </w:pPr>
      <w:r w:rsidRPr="00BF51BB">
        <w:rPr>
          <w:rFonts w:ascii="Arial" w:hAnsi="Arial" w:cs="Arial"/>
          <w:lang w:val="hr-HR"/>
        </w:rPr>
        <w:t xml:space="preserve">Smjernice za </w:t>
      </w:r>
      <w:r w:rsidR="00DA1E1E" w:rsidRPr="00BF51BB">
        <w:rPr>
          <w:rFonts w:ascii="Arial" w:hAnsi="Arial" w:cs="Arial"/>
          <w:lang w:val="hr-HR"/>
        </w:rPr>
        <w:t xml:space="preserve">poželjnu </w:t>
      </w:r>
      <w:r w:rsidRPr="00BF51BB">
        <w:rPr>
          <w:rFonts w:ascii="Arial" w:hAnsi="Arial" w:cs="Arial"/>
          <w:lang w:val="hr-HR"/>
        </w:rPr>
        <w:t>strukturu portfolija duga su sljedeće:</w:t>
      </w:r>
    </w:p>
    <w:p w14:paraId="1EF4F0E7" w14:textId="3511577D" w:rsidR="000251A2" w:rsidRPr="00BF51BB" w:rsidRDefault="000251A2" w:rsidP="00894C30">
      <w:pPr>
        <w:pStyle w:val="NoSpacing"/>
        <w:numPr>
          <w:ilvl w:val="0"/>
          <w:numId w:val="4"/>
        </w:numPr>
        <w:spacing w:line="276" w:lineRule="auto"/>
        <w:jc w:val="both"/>
        <w:rPr>
          <w:rFonts w:ascii="Arial" w:hAnsi="Arial" w:cs="Arial"/>
          <w:lang w:val="hr-HR"/>
        </w:rPr>
      </w:pPr>
      <w:r w:rsidRPr="00BF51BB">
        <w:rPr>
          <w:rFonts w:ascii="Arial" w:hAnsi="Arial" w:cs="Arial"/>
          <w:lang w:val="hr-HR"/>
        </w:rPr>
        <w:t xml:space="preserve">Održavanje </w:t>
      </w:r>
      <w:r w:rsidR="00AF7CAC" w:rsidRPr="00BF51BB">
        <w:rPr>
          <w:rFonts w:ascii="Arial" w:hAnsi="Arial" w:cs="Arial"/>
          <w:lang w:val="hr-HR"/>
        </w:rPr>
        <w:t>u</w:t>
      </w:r>
      <w:r w:rsidR="008D6379">
        <w:rPr>
          <w:rFonts w:ascii="Arial" w:hAnsi="Arial" w:cs="Arial"/>
          <w:lang w:val="hr-HR"/>
        </w:rPr>
        <w:t>češća</w:t>
      </w:r>
      <w:r w:rsidR="00DA1E1E" w:rsidRPr="00BF51BB">
        <w:rPr>
          <w:rFonts w:ascii="Arial" w:hAnsi="Arial" w:cs="Arial"/>
          <w:lang w:val="hr-HR"/>
        </w:rPr>
        <w:t xml:space="preserve"> </w:t>
      </w:r>
      <w:r w:rsidRPr="00BF51BB">
        <w:rPr>
          <w:rFonts w:ascii="Arial" w:hAnsi="Arial" w:cs="Arial"/>
          <w:lang w:val="hr-HR"/>
        </w:rPr>
        <w:t xml:space="preserve">duga u </w:t>
      </w:r>
      <w:r w:rsidR="00E672EB" w:rsidRPr="00BF51BB">
        <w:rPr>
          <w:rFonts w:ascii="Arial" w:hAnsi="Arial" w:cs="Arial"/>
          <w:lang w:val="hr-HR"/>
        </w:rPr>
        <w:t>KM</w:t>
      </w:r>
      <w:r w:rsidRPr="00BF51BB">
        <w:rPr>
          <w:rFonts w:ascii="Arial" w:hAnsi="Arial" w:cs="Arial"/>
          <w:lang w:val="hr-HR"/>
        </w:rPr>
        <w:t xml:space="preserve"> i EUR valuti iznad 60% ukupnog portfolija duga</w:t>
      </w:r>
      <w:r w:rsidR="001446EC" w:rsidRPr="00BF51BB">
        <w:rPr>
          <w:rFonts w:ascii="Arial" w:hAnsi="Arial" w:cs="Arial"/>
          <w:lang w:val="hr-HR"/>
        </w:rPr>
        <w:t>;</w:t>
      </w:r>
    </w:p>
    <w:p w14:paraId="35CA8F68" w14:textId="11F00288" w:rsidR="000251A2" w:rsidRPr="00BF51BB" w:rsidRDefault="000251A2" w:rsidP="00894C30">
      <w:pPr>
        <w:pStyle w:val="NoSpacing"/>
        <w:numPr>
          <w:ilvl w:val="0"/>
          <w:numId w:val="4"/>
        </w:numPr>
        <w:spacing w:line="276" w:lineRule="auto"/>
        <w:jc w:val="both"/>
        <w:rPr>
          <w:rFonts w:ascii="Arial" w:hAnsi="Arial" w:cs="Arial"/>
          <w:lang w:val="hr-HR"/>
        </w:rPr>
      </w:pPr>
      <w:r w:rsidRPr="00BF51BB">
        <w:rPr>
          <w:rFonts w:ascii="Arial" w:hAnsi="Arial" w:cs="Arial"/>
          <w:lang w:val="hr-HR"/>
        </w:rPr>
        <w:t xml:space="preserve">Održanje </w:t>
      </w:r>
      <w:r w:rsidR="008D6379" w:rsidRPr="00BF51BB">
        <w:rPr>
          <w:rFonts w:ascii="Arial" w:hAnsi="Arial" w:cs="Arial"/>
          <w:lang w:val="hr-HR"/>
        </w:rPr>
        <w:t>u</w:t>
      </w:r>
      <w:r w:rsidR="008D6379">
        <w:rPr>
          <w:rFonts w:ascii="Arial" w:hAnsi="Arial" w:cs="Arial"/>
          <w:lang w:val="hr-HR"/>
        </w:rPr>
        <w:t>češća</w:t>
      </w:r>
      <w:r w:rsidRPr="00BF51BB">
        <w:rPr>
          <w:rFonts w:ascii="Arial" w:hAnsi="Arial" w:cs="Arial"/>
          <w:lang w:val="hr-HR"/>
        </w:rPr>
        <w:t xml:space="preserve"> duga s fiksnom kamatnom stopom preko 50% ukupnog por</w:t>
      </w:r>
      <w:r w:rsidR="008D6379">
        <w:rPr>
          <w:rFonts w:ascii="Arial" w:hAnsi="Arial" w:cs="Arial"/>
          <w:lang w:val="hr-HR"/>
        </w:rPr>
        <w:t>t</w:t>
      </w:r>
      <w:r w:rsidRPr="00BF51BB">
        <w:rPr>
          <w:rFonts w:ascii="Arial" w:hAnsi="Arial" w:cs="Arial"/>
          <w:lang w:val="hr-HR"/>
        </w:rPr>
        <w:t>folija duga</w:t>
      </w:r>
      <w:r w:rsidR="001446EC" w:rsidRPr="00BF51BB">
        <w:rPr>
          <w:rFonts w:ascii="Arial" w:hAnsi="Arial" w:cs="Arial"/>
          <w:lang w:val="hr-HR"/>
        </w:rPr>
        <w:t>;</w:t>
      </w:r>
    </w:p>
    <w:p w14:paraId="36EC592E" w14:textId="77777777" w:rsidR="00DA1E1E" w:rsidRPr="00BF51BB" w:rsidRDefault="000251A2" w:rsidP="00DA1E1E">
      <w:pPr>
        <w:pStyle w:val="NoSpacing"/>
        <w:numPr>
          <w:ilvl w:val="0"/>
          <w:numId w:val="4"/>
        </w:numPr>
        <w:spacing w:line="276" w:lineRule="auto"/>
        <w:jc w:val="both"/>
        <w:rPr>
          <w:rFonts w:ascii="Arial" w:hAnsi="Arial" w:cs="Arial"/>
          <w:lang w:val="hr-HR"/>
        </w:rPr>
      </w:pPr>
      <w:r w:rsidRPr="00BF51BB">
        <w:rPr>
          <w:rFonts w:ascii="Arial" w:hAnsi="Arial" w:cs="Arial"/>
          <w:lang w:val="hr-HR"/>
        </w:rPr>
        <w:t xml:space="preserve">Vrijeme prosječnog dospijeća ukupnog </w:t>
      </w:r>
      <w:r w:rsidR="00DA1E1E" w:rsidRPr="00BF51BB">
        <w:rPr>
          <w:rFonts w:ascii="Arial" w:hAnsi="Arial" w:cs="Arial"/>
          <w:lang w:val="hr-HR"/>
        </w:rPr>
        <w:t xml:space="preserve">portfolija </w:t>
      </w:r>
      <w:r w:rsidRPr="00BF51BB">
        <w:rPr>
          <w:rFonts w:ascii="Arial" w:hAnsi="Arial" w:cs="Arial"/>
          <w:lang w:val="hr-HR"/>
        </w:rPr>
        <w:t>duga produžiti na 6,5 godina</w:t>
      </w:r>
      <w:r w:rsidR="001446EC" w:rsidRPr="00BF51BB">
        <w:rPr>
          <w:rFonts w:ascii="Arial" w:hAnsi="Arial" w:cs="Arial"/>
          <w:lang w:val="hr-HR"/>
        </w:rPr>
        <w:t>.</w:t>
      </w:r>
    </w:p>
    <w:p w14:paraId="6336407D" w14:textId="4861B542" w:rsidR="00ED768D" w:rsidRPr="00BF51BB" w:rsidRDefault="00ED768D" w:rsidP="00D41896">
      <w:pPr>
        <w:pStyle w:val="Heading2"/>
        <w:ind w:left="993" w:hanging="709"/>
        <w:rPr>
          <w:rFonts w:ascii="Arial" w:hAnsi="Arial" w:cs="Arial"/>
          <w:b w:val="0"/>
          <w:sz w:val="22"/>
          <w:szCs w:val="22"/>
        </w:rPr>
      </w:pPr>
      <w:bookmarkStart w:id="154" w:name="_Toc424728955"/>
      <w:bookmarkStart w:id="155" w:name="_Toc101781053"/>
      <w:r w:rsidRPr="00BF51BB">
        <w:rPr>
          <w:rFonts w:ascii="Arial" w:hAnsi="Arial" w:cs="Arial"/>
          <w:b w:val="0"/>
          <w:color w:val="auto"/>
          <w:sz w:val="22"/>
          <w:szCs w:val="22"/>
        </w:rPr>
        <w:lastRenderedPageBreak/>
        <w:t>8.2</w:t>
      </w:r>
      <w:r w:rsidR="004457DE" w:rsidRPr="00BF51BB">
        <w:rPr>
          <w:rFonts w:ascii="Arial" w:hAnsi="Arial" w:cs="Arial"/>
          <w:b w:val="0"/>
          <w:color w:val="auto"/>
          <w:sz w:val="22"/>
          <w:szCs w:val="22"/>
        </w:rPr>
        <w:t>.</w:t>
      </w:r>
      <w:r w:rsidRPr="00BF51BB">
        <w:rPr>
          <w:rFonts w:ascii="Arial" w:hAnsi="Arial" w:cs="Arial"/>
          <w:b w:val="0"/>
          <w:color w:val="auto"/>
          <w:sz w:val="22"/>
          <w:szCs w:val="22"/>
        </w:rPr>
        <w:tab/>
        <w:t>Smjernice za zaduživanje</w:t>
      </w:r>
      <w:bookmarkEnd w:id="154"/>
      <w:bookmarkEnd w:id="155"/>
    </w:p>
    <w:p w14:paraId="3354E728" w14:textId="77777777" w:rsidR="00ED768D" w:rsidRPr="00BF51BB" w:rsidRDefault="00ED768D" w:rsidP="00894C30">
      <w:pPr>
        <w:pStyle w:val="NoSpacing"/>
        <w:spacing w:line="276" w:lineRule="auto"/>
        <w:rPr>
          <w:rFonts w:ascii="Arial" w:hAnsi="Arial" w:cs="Arial"/>
          <w:lang w:val="hr-HR"/>
        </w:rPr>
      </w:pPr>
    </w:p>
    <w:p w14:paraId="5B34CB03" w14:textId="77777777" w:rsidR="00ED768D" w:rsidRPr="00BF51BB" w:rsidRDefault="00ED768D" w:rsidP="00BF51BB">
      <w:pPr>
        <w:pStyle w:val="NoSpacing"/>
        <w:spacing w:line="276" w:lineRule="auto"/>
        <w:ind w:firstLine="284"/>
        <w:rPr>
          <w:rFonts w:ascii="Arial" w:hAnsi="Arial" w:cs="Arial"/>
          <w:lang w:val="hr-HR"/>
        </w:rPr>
      </w:pPr>
      <w:r w:rsidRPr="00BF51BB">
        <w:rPr>
          <w:rFonts w:ascii="Arial" w:hAnsi="Arial" w:cs="Arial"/>
          <w:lang w:val="hr-HR"/>
        </w:rPr>
        <w:t xml:space="preserve">Glavne smjernice za </w:t>
      </w:r>
      <w:r w:rsidR="00F81DB7" w:rsidRPr="00BF51BB">
        <w:rPr>
          <w:rFonts w:ascii="Arial" w:hAnsi="Arial" w:cs="Arial"/>
          <w:lang w:val="hr-HR"/>
        </w:rPr>
        <w:t>zaduživanje Federacije BiH</w:t>
      </w:r>
      <w:r w:rsidRPr="00BF51BB">
        <w:rPr>
          <w:rFonts w:ascii="Arial" w:hAnsi="Arial" w:cs="Arial"/>
          <w:lang w:val="hr-HR"/>
        </w:rPr>
        <w:t xml:space="preserve"> su sljedeće:</w:t>
      </w:r>
    </w:p>
    <w:p w14:paraId="135D17FF" w14:textId="77777777" w:rsidR="00ED768D" w:rsidRPr="00BF51BB" w:rsidRDefault="00ED768D" w:rsidP="00894C30">
      <w:pPr>
        <w:pStyle w:val="NoSpacing"/>
        <w:numPr>
          <w:ilvl w:val="0"/>
          <w:numId w:val="4"/>
        </w:numPr>
        <w:spacing w:line="276" w:lineRule="auto"/>
        <w:jc w:val="both"/>
        <w:rPr>
          <w:rFonts w:ascii="Arial" w:hAnsi="Arial" w:cs="Arial"/>
          <w:lang w:val="hr-HR"/>
        </w:rPr>
      </w:pPr>
      <w:r w:rsidRPr="00BF51BB">
        <w:rPr>
          <w:rFonts w:ascii="Arial" w:hAnsi="Arial" w:cs="Arial"/>
          <w:lang w:val="hr-HR"/>
        </w:rPr>
        <w:t>Prilikom planiranja zaduživanja voditi računa da se održi ravnomjerna struktura otplate po godinama u cilju minimiziranja rizika refinansiranja;</w:t>
      </w:r>
    </w:p>
    <w:p w14:paraId="756E464F" w14:textId="77777777" w:rsidR="00ED768D" w:rsidRPr="00BF51BB" w:rsidRDefault="00ED768D" w:rsidP="00894C30">
      <w:pPr>
        <w:pStyle w:val="NoSpacing"/>
        <w:numPr>
          <w:ilvl w:val="0"/>
          <w:numId w:val="4"/>
        </w:numPr>
        <w:spacing w:line="276" w:lineRule="auto"/>
        <w:jc w:val="both"/>
        <w:rPr>
          <w:rFonts w:ascii="Arial" w:hAnsi="Arial" w:cs="Arial"/>
          <w:lang w:val="hr-HR"/>
        </w:rPr>
      </w:pPr>
      <w:r w:rsidRPr="00BF51BB">
        <w:rPr>
          <w:rFonts w:ascii="Arial" w:hAnsi="Arial" w:cs="Arial"/>
          <w:lang w:val="hr-HR"/>
        </w:rPr>
        <w:t xml:space="preserve">Radi smanjenja valutnog rizika maksimalno koristiti zaduživanje u EUR i </w:t>
      </w:r>
      <w:r w:rsidR="00E672EB" w:rsidRPr="00BF51BB">
        <w:rPr>
          <w:rFonts w:ascii="Arial" w:hAnsi="Arial" w:cs="Arial"/>
          <w:lang w:val="hr-HR"/>
        </w:rPr>
        <w:t>KM</w:t>
      </w:r>
      <w:r w:rsidRPr="00BF51BB">
        <w:rPr>
          <w:rFonts w:ascii="Arial" w:hAnsi="Arial" w:cs="Arial"/>
          <w:lang w:val="hr-HR"/>
        </w:rPr>
        <w:t>;</w:t>
      </w:r>
    </w:p>
    <w:p w14:paraId="228C3924" w14:textId="10F30FEB" w:rsidR="00ED768D" w:rsidRPr="00BF51BB" w:rsidRDefault="00DA1E1E" w:rsidP="00894C30">
      <w:pPr>
        <w:pStyle w:val="NoSpacing"/>
        <w:numPr>
          <w:ilvl w:val="0"/>
          <w:numId w:val="4"/>
        </w:numPr>
        <w:spacing w:line="276" w:lineRule="auto"/>
        <w:jc w:val="both"/>
        <w:rPr>
          <w:rFonts w:ascii="Arial" w:hAnsi="Arial" w:cs="Arial"/>
          <w:lang w:val="hr-HR"/>
        </w:rPr>
      </w:pPr>
      <w:r w:rsidRPr="00BF51BB">
        <w:rPr>
          <w:rFonts w:ascii="Arial" w:hAnsi="Arial" w:cs="Arial"/>
          <w:lang w:val="hr-HR"/>
        </w:rPr>
        <w:t>U cilju smanjenja rizika r</w:t>
      </w:r>
      <w:r w:rsidR="00ED768D" w:rsidRPr="00BF51BB">
        <w:rPr>
          <w:rFonts w:ascii="Arial" w:hAnsi="Arial" w:cs="Arial"/>
          <w:lang w:val="hr-HR"/>
        </w:rPr>
        <w:t xml:space="preserve">efinansiranja duga: </w:t>
      </w:r>
      <w:r w:rsidRPr="00BF51BB">
        <w:rPr>
          <w:rFonts w:ascii="Arial" w:hAnsi="Arial" w:cs="Arial"/>
          <w:lang w:val="hr-HR"/>
        </w:rPr>
        <w:t>u</w:t>
      </w:r>
      <w:r w:rsidR="0000223F">
        <w:rPr>
          <w:rFonts w:ascii="Arial" w:hAnsi="Arial" w:cs="Arial"/>
          <w:lang w:val="hr-HR"/>
        </w:rPr>
        <w:t>češće</w:t>
      </w:r>
      <w:r w:rsidRPr="00BF51BB">
        <w:rPr>
          <w:rFonts w:ascii="Arial" w:hAnsi="Arial" w:cs="Arial"/>
          <w:lang w:val="hr-HR"/>
        </w:rPr>
        <w:t xml:space="preserve"> portfolija </w:t>
      </w:r>
      <w:r w:rsidR="00ED768D" w:rsidRPr="00BF51BB">
        <w:rPr>
          <w:rFonts w:ascii="Arial" w:hAnsi="Arial" w:cs="Arial"/>
          <w:lang w:val="hr-HR"/>
        </w:rPr>
        <w:t>dug</w:t>
      </w:r>
      <w:r w:rsidRPr="00BF51BB">
        <w:rPr>
          <w:rFonts w:ascii="Arial" w:hAnsi="Arial" w:cs="Arial"/>
          <w:lang w:val="hr-HR"/>
        </w:rPr>
        <w:t>a</w:t>
      </w:r>
      <w:r w:rsidR="00ED768D" w:rsidRPr="00BF51BB">
        <w:rPr>
          <w:rFonts w:ascii="Arial" w:hAnsi="Arial" w:cs="Arial"/>
          <w:lang w:val="hr-HR"/>
        </w:rPr>
        <w:t xml:space="preserve"> koji dospijeva unutar 12 mjeseci/jedne godine će iznositi ma</w:t>
      </w:r>
      <w:r w:rsidR="00D945EA" w:rsidRPr="00BF51BB">
        <w:rPr>
          <w:rFonts w:ascii="Arial" w:hAnsi="Arial" w:cs="Arial"/>
          <w:lang w:val="hr-HR"/>
        </w:rPr>
        <w:t>ks</w:t>
      </w:r>
      <w:r w:rsidR="00ED768D" w:rsidRPr="00BF51BB">
        <w:rPr>
          <w:rFonts w:ascii="Arial" w:hAnsi="Arial" w:cs="Arial"/>
          <w:lang w:val="hr-HR"/>
        </w:rPr>
        <w:t>imalno 15% ukupnog neotplaćenog duga;</w:t>
      </w:r>
    </w:p>
    <w:p w14:paraId="7878D80A" w14:textId="77777777" w:rsidR="00ED768D" w:rsidRPr="00BF51BB" w:rsidRDefault="00DA1E1E" w:rsidP="00894C30">
      <w:pPr>
        <w:pStyle w:val="NoSpacing"/>
        <w:numPr>
          <w:ilvl w:val="0"/>
          <w:numId w:val="4"/>
        </w:numPr>
        <w:spacing w:line="276" w:lineRule="auto"/>
        <w:jc w:val="both"/>
        <w:rPr>
          <w:rFonts w:ascii="Arial" w:hAnsi="Arial" w:cs="Arial"/>
          <w:lang w:val="hr-HR"/>
        </w:rPr>
      </w:pPr>
      <w:r w:rsidRPr="00BF51BB">
        <w:rPr>
          <w:rFonts w:ascii="Arial" w:hAnsi="Arial" w:cs="Arial"/>
          <w:lang w:val="hr-HR"/>
        </w:rPr>
        <w:t>Kako bi produžili prosje</w:t>
      </w:r>
      <w:r w:rsidR="00E560F4" w:rsidRPr="00BF51BB">
        <w:rPr>
          <w:rFonts w:ascii="Arial" w:hAnsi="Arial" w:cs="Arial"/>
          <w:lang w:val="hr-HR"/>
        </w:rPr>
        <w:t>č</w:t>
      </w:r>
      <w:r w:rsidRPr="00BF51BB">
        <w:rPr>
          <w:rFonts w:ascii="Arial" w:hAnsi="Arial" w:cs="Arial"/>
          <w:lang w:val="hr-HR"/>
        </w:rPr>
        <w:t xml:space="preserve">no dospijeće portfolija duga iznad 6,5 godina, buduća zaduženja ugovarati sa dužim grace periodom i </w:t>
      </w:r>
      <w:r w:rsidR="00E560F4" w:rsidRPr="00BF51BB">
        <w:rPr>
          <w:rFonts w:ascii="Arial" w:hAnsi="Arial" w:cs="Arial"/>
          <w:lang w:val="hr-HR"/>
        </w:rPr>
        <w:t xml:space="preserve">dužim </w:t>
      </w:r>
      <w:r w:rsidRPr="00BF51BB">
        <w:rPr>
          <w:rFonts w:ascii="Arial" w:hAnsi="Arial" w:cs="Arial"/>
          <w:lang w:val="hr-HR"/>
        </w:rPr>
        <w:t>rokom otplate.</w:t>
      </w:r>
      <w:r w:rsidR="00E560F4" w:rsidRPr="00BF51BB">
        <w:rPr>
          <w:rFonts w:ascii="Arial" w:hAnsi="Arial" w:cs="Arial"/>
          <w:lang w:val="hr-HR"/>
        </w:rPr>
        <w:t xml:space="preserve"> </w:t>
      </w:r>
      <w:r w:rsidR="00ED768D" w:rsidRPr="00BF51BB">
        <w:rPr>
          <w:rFonts w:ascii="Arial" w:hAnsi="Arial" w:cs="Arial"/>
          <w:lang w:val="hr-HR"/>
        </w:rPr>
        <w:t>Prosječno ponderisano dosp</w:t>
      </w:r>
      <w:r w:rsidR="00D945EA" w:rsidRPr="00BF51BB">
        <w:rPr>
          <w:rFonts w:ascii="Arial" w:hAnsi="Arial" w:cs="Arial"/>
          <w:lang w:val="hr-HR"/>
        </w:rPr>
        <w:t>i</w:t>
      </w:r>
      <w:r w:rsidR="00ED768D" w:rsidRPr="00BF51BB">
        <w:rPr>
          <w:rFonts w:ascii="Arial" w:hAnsi="Arial" w:cs="Arial"/>
          <w:lang w:val="hr-HR"/>
        </w:rPr>
        <w:t>jeće portfolija duga produžiti na najmanje 6,5 godina</w:t>
      </w:r>
      <w:r w:rsidR="001446EC" w:rsidRPr="00BF51BB">
        <w:rPr>
          <w:rFonts w:ascii="Arial" w:hAnsi="Arial" w:cs="Arial"/>
          <w:lang w:val="hr-HR"/>
        </w:rPr>
        <w:t>.</w:t>
      </w:r>
    </w:p>
    <w:p w14:paraId="4F050027" w14:textId="77777777" w:rsidR="00936B3D" w:rsidRPr="00BF51BB" w:rsidRDefault="00936B3D" w:rsidP="00936B3D">
      <w:pPr>
        <w:pStyle w:val="NoSpacing"/>
        <w:spacing w:line="276" w:lineRule="auto"/>
        <w:ind w:left="720"/>
        <w:jc w:val="both"/>
        <w:rPr>
          <w:rFonts w:ascii="Arial" w:hAnsi="Arial" w:cs="Arial"/>
          <w:lang w:val="hr-HR"/>
        </w:rPr>
      </w:pPr>
    </w:p>
    <w:p w14:paraId="0DE3B036" w14:textId="677375BF" w:rsidR="00ED768D" w:rsidRPr="00BF51BB" w:rsidRDefault="00ED768D" w:rsidP="00894C30">
      <w:pPr>
        <w:pStyle w:val="Heading2"/>
        <w:ind w:left="993" w:hanging="709"/>
        <w:rPr>
          <w:rFonts w:ascii="Arial" w:hAnsi="Arial" w:cs="Arial"/>
          <w:b w:val="0"/>
          <w:color w:val="auto"/>
          <w:sz w:val="22"/>
          <w:szCs w:val="22"/>
        </w:rPr>
      </w:pPr>
      <w:bookmarkStart w:id="156" w:name="_Toc101781054"/>
      <w:r w:rsidRPr="00BF51BB">
        <w:rPr>
          <w:rFonts w:ascii="Arial" w:hAnsi="Arial" w:cs="Arial"/>
          <w:b w:val="0"/>
          <w:color w:val="auto"/>
          <w:sz w:val="22"/>
          <w:szCs w:val="22"/>
        </w:rPr>
        <w:t>8.3</w:t>
      </w:r>
      <w:r w:rsidR="004457DE" w:rsidRPr="00BF51BB">
        <w:rPr>
          <w:rFonts w:ascii="Arial" w:hAnsi="Arial" w:cs="Arial"/>
          <w:b w:val="0"/>
          <w:color w:val="auto"/>
          <w:sz w:val="22"/>
          <w:szCs w:val="22"/>
        </w:rPr>
        <w:t>.</w:t>
      </w:r>
      <w:r w:rsidRPr="00BF51BB">
        <w:rPr>
          <w:rFonts w:ascii="Arial" w:hAnsi="Arial" w:cs="Arial"/>
          <w:b w:val="0"/>
          <w:color w:val="auto"/>
          <w:sz w:val="22"/>
          <w:szCs w:val="22"/>
        </w:rPr>
        <w:tab/>
        <w:t>Kvantitativne strateške mete</w:t>
      </w:r>
      <w:bookmarkEnd w:id="156"/>
    </w:p>
    <w:p w14:paraId="72EBCB80" w14:textId="77777777" w:rsidR="00ED768D" w:rsidRPr="00BF51BB" w:rsidRDefault="00ED768D" w:rsidP="00894C30">
      <w:pPr>
        <w:pStyle w:val="NoSpacing"/>
        <w:spacing w:line="276" w:lineRule="auto"/>
        <w:jc w:val="both"/>
        <w:rPr>
          <w:rFonts w:ascii="Arial" w:hAnsi="Arial" w:cs="Arial"/>
          <w:lang w:val="hr-HR"/>
        </w:rPr>
      </w:pPr>
    </w:p>
    <w:p w14:paraId="5AEADD11" w14:textId="4D0D10BB" w:rsidR="00ED768D" w:rsidRPr="00BF51BB" w:rsidRDefault="00ED768D" w:rsidP="00894C30">
      <w:pPr>
        <w:pStyle w:val="NoSpacing"/>
        <w:spacing w:line="276" w:lineRule="auto"/>
        <w:ind w:firstLine="284"/>
        <w:jc w:val="both"/>
        <w:rPr>
          <w:rFonts w:ascii="Arial" w:hAnsi="Arial" w:cs="Arial"/>
          <w:lang w:val="hr-HR"/>
        </w:rPr>
      </w:pPr>
      <w:r w:rsidRPr="00BF51BB">
        <w:rPr>
          <w:rFonts w:ascii="Arial" w:hAnsi="Arial" w:cs="Arial"/>
          <w:lang w:val="hr-HR"/>
        </w:rPr>
        <w:t xml:space="preserve">Na osnovu </w:t>
      </w:r>
      <w:r w:rsidR="00F81DB7" w:rsidRPr="00BF51BB">
        <w:rPr>
          <w:rFonts w:ascii="Arial" w:hAnsi="Arial" w:cs="Arial"/>
          <w:lang w:val="hr-HR"/>
        </w:rPr>
        <w:t>trenutnog</w:t>
      </w:r>
      <w:r w:rsidRPr="00BF51BB">
        <w:rPr>
          <w:rFonts w:ascii="Arial" w:hAnsi="Arial" w:cs="Arial"/>
          <w:lang w:val="hr-HR"/>
        </w:rPr>
        <w:t xml:space="preserve"> makroekonomskog okvira (</w:t>
      </w:r>
      <w:r w:rsidR="00D41896" w:rsidRPr="00BF51BB">
        <w:rPr>
          <w:rFonts w:ascii="Arial" w:hAnsi="Arial" w:cs="Arial"/>
          <w:lang w:val="hr-HR"/>
        </w:rPr>
        <w:t>Dokument okvirnog budžeta</w:t>
      </w:r>
      <w:r w:rsidR="00B754E6" w:rsidRPr="00BF51BB">
        <w:rPr>
          <w:rFonts w:ascii="Arial" w:hAnsi="Arial" w:cs="Arial"/>
          <w:lang w:val="hr-HR"/>
        </w:rPr>
        <w:t xml:space="preserve"> Federacije BiH </w:t>
      </w:r>
      <w:r w:rsidR="006835D7" w:rsidRPr="00BF51BB">
        <w:rPr>
          <w:rFonts w:ascii="Arial" w:hAnsi="Arial" w:cs="Arial"/>
          <w:lang w:val="hr-HR"/>
        </w:rPr>
        <w:t>2022</w:t>
      </w:r>
      <w:r w:rsidR="009645F1" w:rsidRPr="00BF51BB">
        <w:rPr>
          <w:rFonts w:ascii="Arial" w:hAnsi="Arial" w:cs="Arial"/>
          <w:lang w:val="hr-HR"/>
        </w:rPr>
        <w:t>.</w:t>
      </w:r>
      <w:r w:rsidR="00B754E6" w:rsidRPr="00BF51BB">
        <w:rPr>
          <w:rFonts w:ascii="Arial" w:hAnsi="Arial" w:cs="Arial"/>
          <w:lang w:val="hr-HR"/>
        </w:rPr>
        <w:t>-</w:t>
      </w:r>
      <w:r w:rsidR="006835D7" w:rsidRPr="00BF51BB">
        <w:rPr>
          <w:rFonts w:ascii="Arial" w:hAnsi="Arial" w:cs="Arial"/>
          <w:lang w:val="hr-HR"/>
        </w:rPr>
        <w:t>2024</w:t>
      </w:r>
      <w:r w:rsidR="00B754E6" w:rsidRPr="00BF51BB">
        <w:rPr>
          <w:rFonts w:ascii="Arial" w:hAnsi="Arial" w:cs="Arial"/>
          <w:lang w:val="hr-HR"/>
        </w:rPr>
        <w:t>. godine</w:t>
      </w:r>
      <w:r w:rsidRPr="00BF51BB">
        <w:rPr>
          <w:rFonts w:ascii="Arial" w:hAnsi="Arial" w:cs="Arial"/>
          <w:lang w:val="hr-HR"/>
        </w:rPr>
        <w:t xml:space="preserve">) praćenjem </w:t>
      </w:r>
      <w:r w:rsidR="00B754E6" w:rsidRPr="00BF51BB">
        <w:rPr>
          <w:rFonts w:ascii="Arial" w:hAnsi="Arial" w:cs="Arial"/>
          <w:lang w:val="hr-HR"/>
        </w:rPr>
        <w:t>preferirane</w:t>
      </w:r>
      <w:r w:rsidRPr="00BF51BB">
        <w:rPr>
          <w:rFonts w:ascii="Arial" w:hAnsi="Arial" w:cs="Arial"/>
          <w:lang w:val="hr-HR"/>
        </w:rPr>
        <w:t xml:space="preserve"> strategije zaduživanja na kraju </w:t>
      </w:r>
      <w:r w:rsidR="006835D7" w:rsidRPr="00BF51BB">
        <w:rPr>
          <w:rFonts w:ascii="Arial" w:hAnsi="Arial" w:cs="Arial"/>
          <w:lang w:val="hr-HR"/>
        </w:rPr>
        <w:t>2024</w:t>
      </w:r>
      <w:r w:rsidRPr="00BF51BB">
        <w:rPr>
          <w:rFonts w:ascii="Arial" w:hAnsi="Arial" w:cs="Arial"/>
          <w:lang w:val="hr-HR"/>
        </w:rPr>
        <w:t xml:space="preserve">. godine </w:t>
      </w:r>
      <w:r w:rsidR="00B754E6" w:rsidRPr="00BF51BB">
        <w:rPr>
          <w:rFonts w:ascii="Arial" w:hAnsi="Arial" w:cs="Arial"/>
          <w:lang w:val="hr-HR"/>
        </w:rPr>
        <w:t>očekivani</w:t>
      </w:r>
      <w:r w:rsidR="00382E3D" w:rsidRPr="00BF51BB">
        <w:rPr>
          <w:rFonts w:ascii="Arial" w:hAnsi="Arial" w:cs="Arial"/>
          <w:lang w:val="hr-HR"/>
        </w:rPr>
        <w:t xml:space="preserve"> </w:t>
      </w:r>
      <w:r w:rsidRPr="00BF51BB">
        <w:rPr>
          <w:rFonts w:ascii="Arial" w:hAnsi="Arial" w:cs="Arial"/>
          <w:lang w:val="hr-HR"/>
        </w:rPr>
        <w:t>indikator</w:t>
      </w:r>
      <w:r w:rsidR="00B754E6" w:rsidRPr="00BF51BB">
        <w:rPr>
          <w:rFonts w:ascii="Arial" w:hAnsi="Arial" w:cs="Arial"/>
          <w:lang w:val="hr-HR"/>
        </w:rPr>
        <w:t>i</w:t>
      </w:r>
      <w:r w:rsidRPr="00BF51BB">
        <w:rPr>
          <w:rFonts w:ascii="Arial" w:hAnsi="Arial" w:cs="Arial"/>
          <w:lang w:val="hr-HR"/>
        </w:rPr>
        <w:t xml:space="preserve"> rizika</w:t>
      </w:r>
      <w:r w:rsidR="00B754E6" w:rsidRPr="00BF51BB">
        <w:rPr>
          <w:rFonts w:ascii="Arial" w:hAnsi="Arial" w:cs="Arial"/>
          <w:lang w:val="hr-HR"/>
        </w:rPr>
        <w:t xml:space="preserve"> portfolija duga bili bi sljedeći</w:t>
      </w:r>
      <w:r w:rsidR="009B1246" w:rsidRPr="00BF51BB">
        <w:rPr>
          <w:rFonts w:ascii="Arial" w:hAnsi="Arial" w:cs="Arial"/>
          <w:lang w:val="hr-HR"/>
        </w:rPr>
        <w:t>:</w:t>
      </w:r>
    </w:p>
    <w:p w14:paraId="18451817" w14:textId="77777777" w:rsidR="009B1246" w:rsidRPr="00BF51BB" w:rsidRDefault="009B1246" w:rsidP="00894C30">
      <w:pPr>
        <w:pStyle w:val="NoSpacing"/>
        <w:spacing w:line="276" w:lineRule="auto"/>
        <w:ind w:firstLine="284"/>
        <w:jc w:val="both"/>
        <w:rPr>
          <w:rFonts w:ascii="Arial" w:hAnsi="Arial" w:cs="Arial"/>
          <w:lang w:val="hr-HR"/>
        </w:rPr>
      </w:pPr>
    </w:p>
    <w:p w14:paraId="7F2FC0D8" w14:textId="0947C6C7" w:rsidR="00ED768D" w:rsidRPr="00BF51BB" w:rsidRDefault="00ED768D" w:rsidP="00894C30">
      <w:pPr>
        <w:pStyle w:val="NoSpacing"/>
        <w:numPr>
          <w:ilvl w:val="0"/>
          <w:numId w:val="4"/>
        </w:numPr>
        <w:spacing w:line="276" w:lineRule="auto"/>
        <w:jc w:val="both"/>
        <w:rPr>
          <w:rFonts w:ascii="Arial" w:hAnsi="Arial" w:cs="Arial"/>
          <w:lang w:val="hr-HR"/>
        </w:rPr>
      </w:pPr>
      <w:r w:rsidRPr="00BF51BB">
        <w:rPr>
          <w:rFonts w:ascii="Arial" w:hAnsi="Arial" w:cs="Arial"/>
          <w:lang w:val="hr-HR"/>
        </w:rPr>
        <w:t xml:space="preserve">prosječno vrijeme dospijeća kredita (ATM) ne bi trebalo biti manje od </w:t>
      </w:r>
      <w:r w:rsidR="008332A9" w:rsidRPr="00BF51BB">
        <w:rPr>
          <w:rFonts w:ascii="Arial" w:hAnsi="Arial" w:cs="Arial"/>
          <w:lang w:val="hr-HR"/>
        </w:rPr>
        <w:t>5</w:t>
      </w:r>
      <w:r w:rsidR="00C66C9A" w:rsidRPr="00BF51BB">
        <w:rPr>
          <w:rFonts w:ascii="Arial" w:hAnsi="Arial" w:cs="Arial"/>
          <w:lang w:val="hr-HR"/>
        </w:rPr>
        <w:t>,7</w:t>
      </w:r>
      <w:r w:rsidRPr="00BF51BB">
        <w:rPr>
          <w:rFonts w:ascii="Arial" w:hAnsi="Arial" w:cs="Arial"/>
          <w:lang w:val="hr-HR"/>
        </w:rPr>
        <w:t xml:space="preserve"> godina</w:t>
      </w:r>
      <w:r w:rsidR="001446EC" w:rsidRPr="00BF51BB">
        <w:rPr>
          <w:rFonts w:ascii="Arial" w:hAnsi="Arial" w:cs="Arial"/>
          <w:lang w:val="hr-HR"/>
        </w:rPr>
        <w:t>;</w:t>
      </w:r>
    </w:p>
    <w:p w14:paraId="66061F58" w14:textId="229C88B8" w:rsidR="00ED768D" w:rsidRPr="00BF51BB" w:rsidRDefault="00ED768D" w:rsidP="00894C30">
      <w:pPr>
        <w:pStyle w:val="NoSpacing"/>
        <w:numPr>
          <w:ilvl w:val="0"/>
          <w:numId w:val="4"/>
        </w:numPr>
        <w:spacing w:line="276" w:lineRule="auto"/>
        <w:jc w:val="both"/>
        <w:rPr>
          <w:rFonts w:ascii="Arial" w:hAnsi="Arial" w:cs="Arial"/>
          <w:lang w:val="hr-HR"/>
        </w:rPr>
      </w:pPr>
      <w:r w:rsidRPr="00BF51BB">
        <w:rPr>
          <w:rFonts w:ascii="Arial" w:hAnsi="Arial" w:cs="Arial"/>
          <w:lang w:val="hr-HR"/>
        </w:rPr>
        <w:t xml:space="preserve">prosječno vrijeme refiksiranja kredita (ATR) </w:t>
      </w:r>
      <w:r w:rsidR="001D035E" w:rsidRPr="00BF51BB">
        <w:rPr>
          <w:rFonts w:ascii="Arial" w:hAnsi="Arial" w:cs="Arial"/>
          <w:lang w:val="hr-HR"/>
        </w:rPr>
        <w:t xml:space="preserve">će iznositi </w:t>
      </w:r>
      <w:r w:rsidR="001B6D08" w:rsidRPr="00BF51BB">
        <w:rPr>
          <w:rFonts w:ascii="Arial" w:hAnsi="Arial" w:cs="Arial"/>
          <w:lang w:val="hr-HR"/>
        </w:rPr>
        <w:t>4,28</w:t>
      </w:r>
      <w:r w:rsidR="001D035E" w:rsidRPr="00BF51BB">
        <w:rPr>
          <w:rFonts w:ascii="Arial" w:hAnsi="Arial" w:cs="Arial"/>
          <w:lang w:val="hr-HR"/>
        </w:rPr>
        <w:t xml:space="preserve"> godinu</w:t>
      </w:r>
      <w:r w:rsidR="001446EC" w:rsidRPr="00BF51BB">
        <w:rPr>
          <w:rFonts w:ascii="Arial" w:hAnsi="Arial" w:cs="Arial"/>
          <w:lang w:val="hr-HR"/>
        </w:rPr>
        <w:t>;</w:t>
      </w:r>
    </w:p>
    <w:p w14:paraId="13ED5CFF" w14:textId="09D94DB4" w:rsidR="00ED768D" w:rsidRPr="00BF51BB" w:rsidRDefault="00ED768D" w:rsidP="00894C30">
      <w:pPr>
        <w:pStyle w:val="NoSpacing"/>
        <w:numPr>
          <w:ilvl w:val="0"/>
          <w:numId w:val="4"/>
        </w:numPr>
        <w:spacing w:line="276" w:lineRule="auto"/>
        <w:jc w:val="both"/>
        <w:rPr>
          <w:rFonts w:ascii="Arial" w:hAnsi="Arial" w:cs="Arial"/>
          <w:lang w:val="hr-HR"/>
        </w:rPr>
      </w:pPr>
      <w:r w:rsidRPr="00BF51BB">
        <w:rPr>
          <w:rFonts w:ascii="Arial" w:hAnsi="Arial" w:cs="Arial"/>
          <w:lang w:val="hr-HR"/>
        </w:rPr>
        <w:t xml:space="preserve">učešće servisiranja kamata po osnovu duga u prihodima će iznositi manje od </w:t>
      </w:r>
      <w:r w:rsidR="00D95F48" w:rsidRPr="00BF51BB">
        <w:rPr>
          <w:rFonts w:ascii="Arial" w:hAnsi="Arial" w:cs="Arial"/>
          <w:lang w:val="hr-HR"/>
        </w:rPr>
        <w:t>1</w:t>
      </w:r>
      <w:r w:rsidR="002D4F94" w:rsidRPr="00BF51BB">
        <w:rPr>
          <w:rFonts w:ascii="Arial" w:hAnsi="Arial" w:cs="Arial"/>
          <w:lang w:val="hr-HR"/>
        </w:rPr>
        <w:t>5</w:t>
      </w:r>
      <w:r w:rsidRPr="00BF51BB">
        <w:rPr>
          <w:rFonts w:ascii="Arial" w:hAnsi="Arial" w:cs="Arial"/>
          <w:lang w:val="hr-HR"/>
        </w:rPr>
        <w:t>%.</w:t>
      </w:r>
    </w:p>
    <w:p w14:paraId="25A50388" w14:textId="77777777" w:rsidR="00C66C9A" w:rsidRPr="00BF51BB" w:rsidRDefault="00C66C9A" w:rsidP="00894C30">
      <w:pPr>
        <w:pStyle w:val="NoSpacing"/>
        <w:spacing w:line="276" w:lineRule="auto"/>
        <w:ind w:firstLine="360"/>
        <w:jc w:val="both"/>
        <w:rPr>
          <w:rFonts w:ascii="Arial" w:hAnsi="Arial" w:cs="Arial"/>
          <w:lang w:val="hr-HR"/>
        </w:rPr>
      </w:pPr>
    </w:p>
    <w:p w14:paraId="11B506CA" w14:textId="77777777" w:rsidR="00ED768D" w:rsidRPr="00BF51BB" w:rsidRDefault="00ED768D" w:rsidP="00894C30">
      <w:pPr>
        <w:pStyle w:val="NoSpacing"/>
        <w:spacing w:line="276" w:lineRule="auto"/>
        <w:ind w:firstLine="360"/>
        <w:jc w:val="both"/>
        <w:rPr>
          <w:rFonts w:ascii="Arial" w:hAnsi="Arial" w:cs="Arial"/>
          <w:lang w:val="hr-HR"/>
        </w:rPr>
      </w:pPr>
      <w:r w:rsidRPr="00BF51BB">
        <w:rPr>
          <w:rFonts w:ascii="Arial" w:hAnsi="Arial" w:cs="Arial"/>
          <w:lang w:val="hr-HR"/>
        </w:rPr>
        <w:t xml:space="preserve">Mete </w:t>
      </w:r>
      <w:r w:rsidR="00D945EA" w:rsidRPr="00BF51BB">
        <w:rPr>
          <w:rFonts w:ascii="Arial" w:hAnsi="Arial" w:cs="Arial"/>
          <w:lang w:val="hr-HR"/>
        </w:rPr>
        <w:t>definirane</w:t>
      </w:r>
      <w:r w:rsidRPr="00BF51BB">
        <w:rPr>
          <w:rFonts w:ascii="Arial" w:hAnsi="Arial" w:cs="Arial"/>
          <w:lang w:val="hr-HR"/>
        </w:rPr>
        <w:t xml:space="preserve"> ovom Strategijom su osjetljive na promjene pretpostavki o rastu, fiskalnom deficitu i dostupnosti predviđenih izvora finansiranja, prvenstveno koncesionalnih izvora finansiranja.</w:t>
      </w:r>
    </w:p>
    <w:p w14:paraId="6CDC4CD5" w14:textId="77777777" w:rsidR="00C66C9A" w:rsidRPr="00BF51BB" w:rsidRDefault="00C66C9A" w:rsidP="00894C30">
      <w:pPr>
        <w:pStyle w:val="NoSpacing"/>
        <w:spacing w:line="276" w:lineRule="auto"/>
        <w:ind w:firstLine="360"/>
        <w:jc w:val="both"/>
        <w:rPr>
          <w:rFonts w:ascii="Arial" w:hAnsi="Arial" w:cs="Arial"/>
          <w:lang w:val="hr-HR"/>
        </w:rPr>
      </w:pPr>
    </w:p>
    <w:p w14:paraId="5A7C72D3" w14:textId="77777777" w:rsidR="00C66C9A" w:rsidRPr="00BF51BB" w:rsidRDefault="00C66C9A" w:rsidP="00894C30">
      <w:pPr>
        <w:pStyle w:val="NoSpacing"/>
        <w:spacing w:line="276" w:lineRule="auto"/>
        <w:ind w:firstLine="360"/>
        <w:jc w:val="both"/>
        <w:rPr>
          <w:rFonts w:ascii="Arial" w:hAnsi="Arial" w:cs="Arial"/>
          <w:lang w:val="hr-HR"/>
        </w:rPr>
      </w:pPr>
    </w:p>
    <w:p w14:paraId="6E6E886E" w14:textId="77777777" w:rsidR="00ED768D" w:rsidRPr="00BF51BB" w:rsidRDefault="00ED768D" w:rsidP="00894C30">
      <w:pPr>
        <w:pStyle w:val="Heading1"/>
        <w:numPr>
          <w:ilvl w:val="0"/>
          <w:numId w:val="5"/>
        </w:numPr>
        <w:spacing w:before="0"/>
        <w:ind w:left="397" w:hanging="397"/>
        <w:rPr>
          <w:rFonts w:ascii="Arial" w:hAnsi="Arial" w:cs="Arial"/>
          <w:b w:val="0"/>
          <w:color w:val="auto"/>
          <w:sz w:val="22"/>
          <w:szCs w:val="22"/>
        </w:rPr>
      </w:pPr>
      <w:bookmarkStart w:id="157" w:name="_Toc424728957"/>
      <w:bookmarkStart w:id="158" w:name="_Toc101781055"/>
      <w:r w:rsidRPr="00BF51BB">
        <w:rPr>
          <w:rFonts w:ascii="Arial" w:hAnsi="Arial" w:cs="Arial"/>
          <w:b w:val="0"/>
          <w:color w:val="auto"/>
          <w:sz w:val="22"/>
          <w:szCs w:val="22"/>
        </w:rPr>
        <w:t>KOMUNIKACIJA SA TRŽIŠTEM</w:t>
      </w:r>
      <w:bookmarkEnd w:id="157"/>
      <w:bookmarkEnd w:id="158"/>
      <w:r w:rsidRPr="00BF51BB">
        <w:rPr>
          <w:rFonts w:ascii="Arial" w:hAnsi="Arial" w:cs="Arial"/>
          <w:b w:val="0"/>
          <w:color w:val="auto"/>
          <w:sz w:val="22"/>
          <w:szCs w:val="22"/>
        </w:rPr>
        <w:t xml:space="preserve"> </w:t>
      </w:r>
    </w:p>
    <w:p w14:paraId="2174D9D3" w14:textId="77777777" w:rsidR="00ED768D" w:rsidRPr="00BF51BB" w:rsidRDefault="00ED768D" w:rsidP="00894C30">
      <w:pPr>
        <w:pStyle w:val="NoSpacing"/>
        <w:spacing w:line="276" w:lineRule="auto"/>
        <w:rPr>
          <w:rFonts w:ascii="Arial" w:hAnsi="Arial" w:cs="Arial"/>
          <w:lang w:val="hr-HR"/>
        </w:rPr>
      </w:pPr>
    </w:p>
    <w:p w14:paraId="1AD542DB" w14:textId="77777777" w:rsidR="00936B3D" w:rsidRPr="00BF51BB" w:rsidRDefault="00936B3D" w:rsidP="00894C30">
      <w:pPr>
        <w:pStyle w:val="NoSpacing"/>
        <w:spacing w:line="276" w:lineRule="auto"/>
        <w:rPr>
          <w:rFonts w:ascii="Arial" w:hAnsi="Arial" w:cs="Arial"/>
          <w:lang w:val="hr-HR"/>
        </w:rPr>
      </w:pPr>
    </w:p>
    <w:p w14:paraId="02727ED0" w14:textId="5FC43FA4" w:rsidR="000251A2" w:rsidRPr="00BF51BB" w:rsidRDefault="00E76478" w:rsidP="00894C30">
      <w:pPr>
        <w:pStyle w:val="NoSpacing"/>
        <w:spacing w:line="276" w:lineRule="auto"/>
        <w:ind w:firstLine="396"/>
        <w:jc w:val="both"/>
        <w:rPr>
          <w:rFonts w:ascii="Arial" w:hAnsi="Arial" w:cs="Arial"/>
          <w:lang w:val="hr-HR"/>
        </w:rPr>
      </w:pPr>
      <w:r w:rsidRPr="00BF51BB">
        <w:rPr>
          <w:rFonts w:ascii="Arial" w:hAnsi="Arial" w:cs="Arial"/>
          <w:lang w:val="hr-HR"/>
        </w:rPr>
        <w:t>Ministarstvo finansija</w:t>
      </w:r>
      <w:r w:rsidR="000251A2" w:rsidRPr="00BF51BB">
        <w:rPr>
          <w:rFonts w:ascii="Arial" w:hAnsi="Arial" w:cs="Arial"/>
          <w:lang w:val="hr-HR"/>
        </w:rPr>
        <w:t xml:space="preserve"> će </w:t>
      </w:r>
      <w:r w:rsidR="00382E3D" w:rsidRPr="00BF51BB">
        <w:rPr>
          <w:rFonts w:ascii="Arial" w:hAnsi="Arial" w:cs="Arial"/>
          <w:lang w:val="hr-HR"/>
        </w:rPr>
        <w:t xml:space="preserve">održavati </w:t>
      </w:r>
      <w:r w:rsidR="000251A2" w:rsidRPr="00BF51BB">
        <w:rPr>
          <w:rFonts w:ascii="Arial" w:hAnsi="Arial" w:cs="Arial"/>
          <w:lang w:val="hr-HR"/>
        </w:rPr>
        <w:t xml:space="preserve">komunikaciju sa učesnicima na tržištu putem redovnih sastanaka i objavljivanjem ključnih informacija o dugu i vladinim politikama. </w:t>
      </w:r>
      <w:r w:rsidRPr="00BF51BB">
        <w:rPr>
          <w:rFonts w:ascii="Arial" w:hAnsi="Arial" w:cs="Arial"/>
          <w:lang w:val="hr-HR"/>
        </w:rPr>
        <w:t>Ministarstvo finansija</w:t>
      </w:r>
      <w:r w:rsidR="000251A2" w:rsidRPr="00BF51BB">
        <w:rPr>
          <w:rFonts w:ascii="Arial" w:hAnsi="Arial" w:cs="Arial"/>
          <w:lang w:val="hr-HR"/>
        </w:rPr>
        <w:t xml:space="preserve"> će nastaviti </w:t>
      </w:r>
      <w:r w:rsidRPr="00BF51BB">
        <w:rPr>
          <w:rFonts w:ascii="Arial" w:hAnsi="Arial" w:cs="Arial"/>
          <w:lang w:val="hr-HR"/>
        </w:rPr>
        <w:t xml:space="preserve">da </w:t>
      </w:r>
      <w:r w:rsidR="000251A2" w:rsidRPr="00BF51BB">
        <w:rPr>
          <w:rFonts w:ascii="Arial" w:hAnsi="Arial" w:cs="Arial"/>
          <w:lang w:val="hr-HR"/>
        </w:rPr>
        <w:t xml:space="preserve">na </w:t>
      </w:r>
      <w:r w:rsidR="00CE6FD4" w:rsidRPr="00BF51BB">
        <w:rPr>
          <w:rFonts w:ascii="Arial" w:hAnsi="Arial" w:cs="Arial"/>
          <w:lang w:val="hr-HR"/>
        </w:rPr>
        <w:t xml:space="preserve">svojoj internet </w:t>
      </w:r>
      <w:r w:rsidR="000251A2" w:rsidRPr="00BF51BB">
        <w:rPr>
          <w:rFonts w:ascii="Arial" w:hAnsi="Arial" w:cs="Arial"/>
          <w:lang w:val="hr-HR"/>
        </w:rPr>
        <w:t>stranici objavljuje indikativni kalendar aukcija vrijednosnih papira, kvartalne kalendare aukcija, godišnji plan zaduživanja, kvartalne izvještaje o dugu</w:t>
      </w:r>
      <w:r w:rsidR="00AD7A79" w:rsidRPr="00BF51BB">
        <w:rPr>
          <w:rFonts w:ascii="Arial" w:hAnsi="Arial" w:cs="Arial"/>
          <w:lang w:val="hr-HR"/>
        </w:rPr>
        <w:t xml:space="preserve"> </w:t>
      </w:r>
      <w:r w:rsidR="000251A2" w:rsidRPr="00BF51BB">
        <w:rPr>
          <w:rFonts w:ascii="Arial" w:hAnsi="Arial" w:cs="Arial"/>
          <w:lang w:val="hr-HR"/>
        </w:rPr>
        <w:t xml:space="preserve">i Strategiju upravljanja dugom </w:t>
      </w:r>
      <w:r w:rsidR="00AD7A79" w:rsidRPr="00BF51BB">
        <w:rPr>
          <w:rFonts w:ascii="Arial" w:hAnsi="Arial" w:cs="Arial"/>
          <w:lang w:val="hr-HR"/>
        </w:rPr>
        <w:t>Federacije BiH</w:t>
      </w:r>
      <w:r w:rsidR="00F313C8" w:rsidRPr="00BF51BB">
        <w:rPr>
          <w:rFonts w:ascii="Arial" w:hAnsi="Arial" w:cs="Arial"/>
          <w:lang w:val="hr-HR"/>
        </w:rPr>
        <w:t>.</w:t>
      </w:r>
    </w:p>
    <w:p w14:paraId="7D77AE53" w14:textId="77777777" w:rsidR="000251A2" w:rsidRPr="00BF51BB" w:rsidRDefault="000251A2" w:rsidP="00894C30">
      <w:pPr>
        <w:pStyle w:val="NoSpacing"/>
        <w:spacing w:line="276" w:lineRule="auto"/>
        <w:jc w:val="both"/>
        <w:rPr>
          <w:rFonts w:ascii="Arial" w:hAnsi="Arial" w:cs="Arial"/>
          <w:lang w:val="hr-HR"/>
        </w:rPr>
      </w:pPr>
    </w:p>
    <w:p w14:paraId="7367B245" w14:textId="68D466D6" w:rsidR="00ED768D" w:rsidRPr="00BF51BB" w:rsidRDefault="000251A2" w:rsidP="00894C30">
      <w:pPr>
        <w:spacing w:after="0"/>
        <w:ind w:firstLine="396"/>
        <w:jc w:val="both"/>
        <w:rPr>
          <w:rFonts w:ascii="Arial" w:eastAsia="Times New Roman" w:hAnsi="Arial" w:cs="Arial"/>
          <w:color w:val="E36C0A" w:themeColor="accent6" w:themeShade="BF"/>
        </w:rPr>
      </w:pPr>
      <w:r w:rsidRPr="00BF51BB">
        <w:rPr>
          <w:rFonts w:ascii="Arial" w:hAnsi="Arial" w:cs="Arial"/>
        </w:rPr>
        <w:t>Informacije o kreditnom rejtingu B</w:t>
      </w:r>
      <w:r w:rsidR="00E76478" w:rsidRPr="00BF51BB">
        <w:rPr>
          <w:rFonts w:ascii="Arial" w:hAnsi="Arial" w:cs="Arial"/>
        </w:rPr>
        <w:t>osne i Hercegovine</w:t>
      </w:r>
      <w:r w:rsidRPr="00BF51BB">
        <w:rPr>
          <w:rFonts w:ascii="Arial" w:hAnsi="Arial" w:cs="Arial"/>
        </w:rPr>
        <w:t xml:space="preserve"> i finansijskom sektoru u B</w:t>
      </w:r>
      <w:r w:rsidR="00E76478" w:rsidRPr="00BF51BB">
        <w:rPr>
          <w:rFonts w:ascii="Arial" w:hAnsi="Arial" w:cs="Arial"/>
        </w:rPr>
        <w:t>osni i Hercegovini</w:t>
      </w:r>
      <w:r w:rsidRPr="00BF51BB">
        <w:rPr>
          <w:rFonts w:ascii="Arial" w:hAnsi="Arial" w:cs="Arial"/>
        </w:rPr>
        <w:t xml:space="preserve"> mogu se naći na </w:t>
      </w:r>
      <w:r w:rsidR="00C76413" w:rsidRPr="00BF51BB">
        <w:rPr>
          <w:rFonts w:ascii="Arial" w:hAnsi="Arial" w:cs="Arial"/>
        </w:rPr>
        <w:t>web</w:t>
      </w:r>
      <w:r w:rsidRPr="00BF51BB">
        <w:rPr>
          <w:rFonts w:ascii="Arial" w:hAnsi="Arial" w:cs="Arial"/>
        </w:rPr>
        <w:t xml:space="preserve"> stranici Centralne banke Bosne i Hercegovin</w:t>
      </w:r>
      <w:r w:rsidR="00D945EA" w:rsidRPr="00BF51BB">
        <w:rPr>
          <w:rFonts w:ascii="Arial" w:hAnsi="Arial" w:cs="Arial"/>
        </w:rPr>
        <w:t>e http://www.cbbh.ba, a dodatne</w:t>
      </w:r>
      <w:r w:rsidRPr="00BF51BB">
        <w:rPr>
          <w:rFonts w:ascii="Arial" w:hAnsi="Arial" w:cs="Arial"/>
        </w:rPr>
        <w:t xml:space="preserve"> informacije i podaci o javnom dugu u </w:t>
      </w:r>
      <w:r w:rsidR="00E76478" w:rsidRPr="00BF51BB">
        <w:rPr>
          <w:rFonts w:ascii="Arial" w:hAnsi="Arial" w:cs="Arial"/>
        </w:rPr>
        <w:t>Bosn</w:t>
      </w:r>
      <w:r w:rsidR="00D864A3" w:rsidRPr="00BF51BB">
        <w:rPr>
          <w:rFonts w:ascii="Arial" w:hAnsi="Arial" w:cs="Arial"/>
        </w:rPr>
        <w:t>e i Hercegovine</w:t>
      </w:r>
      <w:r w:rsidRPr="00BF51BB">
        <w:rPr>
          <w:rFonts w:ascii="Arial" w:hAnsi="Arial" w:cs="Arial"/>
        </w:rPr>
        <w:t xml:space="preserve"> na </w:t>
      </w:r>
      <w:r w:rsidR="00C242B6" w:rsidRPr="00BF51BB">
        <w:rPr>
          <w:rFonts w:ascii="Arial" w:hAnsi="Arial" w:cs="Arial"/>
        </w:rPr>
        <w:t>web</w:t>
      </w:r>
      <w:r w:rsidR="00CE6FD4" w:rsidRPr="00BF51BB">
        <w:rPr>
          <w:rFonts w:ascii="Arial" w:hAnsi="Arial" w:cs="Arial"/>
        </w:rPr>
        <w:t xml:space="preserve"> </w:t>
      </w:r>
      <w:r w:rsidRPr="00BF51BB">
        <w:rPr>
          <w:rFonts w:ascii="Arial" w:hAnsi="Arial" w:cs="Arial"/>
        </w:rPr>
        <w:t>st</w:t>
      </w:r>
      <w:r w:rsidR="00D945EA" w:rsidRPr="00BF51BB">
        <w:rPr>
          <w:rFonts w:ascii="Arial" w:hAnsi="Arial" w:cs="Arial"/>
        </w:rPr>
        <w:t>ranici Ministarstva finansija i</w:t>
      </w:r>
      <w:r w:rsidRPr="00BF51BB">
        <w:rPr>
          <w:rFonts w:ascii="Arial" w:hAnsi="Arial" w:cs="Arial"/>
        </w:rPr>
        <w:t xml:space="preserve"> trezora BiH</w:t>
      </w:r>
      <w:r w:rsidR="00F313C8" w:rsidRPr="00BF51BB">
        <w:t xml:space="preserve"> </w:t>
      </w:r>
      <w:hyperlink r:id="rId26" w:history="1">
        <w:r w:rsidR="00F313C8" w:rsidRPr="00BF51BB">
          <w:rPr>
            <w:rStyle w:val="Hyperlink"/>
            <w:rFonts w:ascii="Arial" w:hAnsi="Arial" w:cs="Arial"/>
          </w:rPr>
          <w:t>http://www.mft.gov.ba</w:t>
        </w:r>
      </w:hyperlink>
      <w:r w:rsidR="00F313C8" w:rsidRPr="00BF51BB">
        <w:rPr>
          <w:rFonts w:ascii="Arial" w:hAnsi="Arial" w:cs="Arial"/>
        </w:rPr>
        <w:t>.</w:t>
      </w:r>
    </w:p>
    <w:p w14:paraId="6C2EE53E" w14:textId="77777777" w:rsidR="00ED768D" w:rsidRPr="00BF51BB" w:rsidRDefault="00ED768D" w:rsidP="00ED768D">
      <w:pPr>
        <w:spacing w:after="0" w:line="240" w:lineRule="auto"/>
      </w:pPr>
    </w:p>
    <w:p w14:paraId="1949B3EF" w14:textId="77777777" w:rsidR="00FA2D8E" w:rsidRPr="00BF51BB" w:rsidRDefault="00FA2D8E" w:rsidP="00ED768D">
      <w:pPr>
        <w:spacing w:after="0" w:line="240" w:lineRule="auto"/>
      </w:pPr>
    </w:p>
    <w:p w14:paraId="269F0A8C" w14:textId="77777777" w:rsidR="005269DA" w:rsidRPr="00BF51BB" w:rsidRDefault="005269DA" w:rsidP="00ED768D">
      <w:pPr>
        <w:spacing w:after="0" w:line="240" w:lineRule="auto"/>
      </w:pPr>
    </w:p>
    <w:p w14:paraId="17604398" w14:textId="77777777" w:rsidR="005269DA" w:rsidRPr="00BF51BB" w:rsidRDefault="005269DA" w:rsidP="00ED768D">
      <w:pPr>
        <w:spacing w:after="0" w:line="240" w:lineRule="auto"/>
      </w:pPr>
    </w:p>
    <w:p w14:paraId="28FADDF1" w14:textId="77777777" w:rsidR="001349F9" w:rsidRPr="00BF51BB" w:rsidRDefault="001349F9" w:rsidP="00ED768D">
      <w:pPr>
        <w:spacing w:after="0" w:line="240" w:lineRule="auto"/>
      </w:pPr>
    </w:p>
    <w:p w14:paraId="630DE027" w14:textId="77777777" w:rsidR="005269DA" w:rsidRPr="00BF51BB" w:rsidRDefault="005269DA" w:rsidP="00ED768D">
      <w:pPr>
        <w:spacing w:after="0" w:line="240" w:lineRule="auto"/>
      </w:pPr>
    </w:p>
    <w:p w14:paraId="265D3261" w14:textId="77777777" w:rsidR="005269DA" w:rsidRPr="00BF51BB" w:rsidRDefault="005269DA" w:rsidP="00ED768D">
      <w:pPr>
        <w:spacing w:after="0" w:line="240" w:lineRule="auto"/>
      </w:pPr>
    </w:p>
    <w:p w14:paraId="60627087" w14:textId="77777777" w:rsidR="005269DA" w:rsidRPr="00BF51BB" w:rsidRDefault="005269DA" w:rsidP="00ED768D">
      <w:pPr>
        <w:spacing w:after="0" w:line="240" w:lineRule="auto"/>
      </w:pPr>
    </w:p>
    <w:p w14:paraId="38F489B3" w14:textId="4DAAAFC0" w:rsidR="00FA2D8E" w:rsidRPr="00BF51BB" w:rsidRDefault="00FA2D8E" w:rsidP="00FA2D8E">
      <w:pPr>
        <w:ind w:right="49" w:firstLine="284"/>
        <w:jc w:val="both"/>
        <w:rPr>
          <w:rFonts w:ascii="Arial" w:hAnsi="Arial" w:cs="Arial"/>
          <w:sz w:val="24"/>
          <w:szCs w:val="24"/>
        </w:rPr>
      </w:pPr>
      <w:r w:rsidRPr="00BF51BB">
        <w:rPr>
          <w:rFonts w:ascii="Arial" w:hAnsi="Arial" w:cs="Arial"/>
          <w:sz w:val="24"/>
          <w:szCs w:val="24"/>
        </w:rPr>
        <w:lastRenderedPageBreak/>
        <w:t xml:space="preserve">Na osnovu člana 19. </w:t>
      </w:r>
      <w:r w:rsidR="008D6379">
        <w:rPr>
          <w:rFonts w:ascii="Arial" w:hAnsi="Arial" w:cs="Arial"/>
          <w:sz w:val="24"/>
          <w:szCs w:val="24"/>
        </w:rPr>
        <w:t>s</w:t>
      </w:r>
      <w:r w:rsidRPr="00BF51BB">
        <w:rPr>
          <w:rFonts w:ascii="Arial" w:hAnsi="Arial" w:cs="Arial"/>
          <w:sz w:val="24"/>
          <w:szCs w:val="24"/>
        </w:rPr>
        <w:t>tav 4. Zakona o Vladi Federacije Bosne i Hercegovine („Službene novine Federacije BiH“, br</w:t>
      </w:r>
      <w:r w:rsidR="009A2717">
        <w:rPr>
          <w:rFonts w:ascii="Arial" w:hAnsi="Arial" w:cs="Arial"/>
          <w:sz w:val="24"/>
          <w:szCs w:val="24"/>
        </w:rPr>
        <w:t>.</w:t>
      </w:r>
      <w:r w:rsidRPr="00BF51BB">
        <w:rPr>
          <w:rFonts w:ascii="Arial" w:hAnsi="Arial" w:cs="Arial"/>
          <w:sz w:val="24"/>
          <w:szCs w:val="24"/>
        </w:rPr>
        <w:t xml:space="preserve"> 1/94, 8/95, 58/02, 19/03, 2/06 i 8/06), Vlada Federacije Bosne i Hercegovine na _______sjednici, održanoj ______________</w:t>
      </w:r>
      <w:r w:rsidR="004F7F20" w:rsidRPr="00BF51BB">
        <w:rPr>
          <w:rFonts w:ascii="Arial" w:hAnsi="Arial" w:cs="Arial"/>
          <w:sz w:val="24"/>
          <w:szCs w:val="24"/>
        </w:rPr>
        <w:t>2022</w:t>
      </w:r>
      <w:r w:rsidRPr="00BF51BB">
        <w:rPr>
          <w:rFonts w:ascii="Arial" w:hAnsi="Arial" w:cs="Arial"/>
          <w:sz w:val="24"/>
          <w:szCs w:val="24"/>
        </w:rPr>
        <w:t>. godine, donosi:</w:t>
      </w:r>
    </w:p>
    <w:p w14:paraId="18536761" w14:textId="77777777" w:rsidR="00FA2D8E" w:rsidRPr="00BF51BB" w:rsidRDefault="00FA2D8E" w:rsidP="00FA2D8E">
      <w:pPr>
        <w:ind w:right="49" w:firstLine="284"/>
        <w:jc w:val="both"/>
        <w:rPr>
          <w:rFonts w:ascii="Arial" w:hAnsi="Arial" w:cs="Arial"/>
          <w:sz w:val="24"/>
          <w:szCs w:val="24"/>
        </w:rPr>
      </w:pPr>
    </w:p>
    <w:p w14:paraId="52B1B56D" w14:textId="77777777" w:rsidR="00FA2D8E" w:rsidRPr="00BF51BB" w:rsidRDefault="00FA2D8E" w:rsidP="009C725F">
      <w:pPr>
        <w:jc w:val="center"/>
        <w:rPr>
          <w:rFonts w:ascii="Arial" w:hAnsi="Arial" w:cs="Arial"/>
          <w:b/>
          <w:sz w:val="24"/>
        </w:rPr>
      </w:pPr>
      <w:bookmarkStart w:id="159" w:name="_Toc427587426"/>
      <w:bookmarkStart w:id="160" w:name="_Toc427587498"/>
      <w:bookmarkStart w:id="161" w:name="_Toc427760800"/>
      <w:r w:rsidRPr="00BF51BB">
        <w:rPr>
          <w:rFonts w:ascii="Arial" w:hAnsi="Arial" w:cs="Arial"/>
          <w:b/>
          <w:sz w:val="32"/>
        </w:rPr>
        <w:t>Z A K LJ U Č A K</w:t>
      </w:r>
      <w:bookmarkEnd w:id="159"/>
      <w:bookmarkEnd w:id="160"/>
      <w:bookmarkEnd w:id="161"/>
    </w:p>
    <w:p w14:paraId="0689F17D" w14:textId="77777777" w:rsidR="00FA2D8E" w:rsidRPr="00BF51BB" w:rsidRDefault="00FA2D8E" w:rsidP="00FA2D8E">
      <w:pPr>
        <w:tabs>
          <w:tab w:val="num" w:pos="1260"/>
        </w:tabs>
        <w:ind w:left="709"/>
        <w:jc w:val="both"/>
        <w:rPr>
          <w:rFonts w:ascii="Arial" w:hAnsi="Arial" w:cs="Arial"/>
          <w:sz w:val="24"/>
          <w:szCs w:val="24"/>
        </w:rPr>
      </w:pPr>
    </w:p>
    <w:p w14:paraId="7502088C" w14:textId="2747D15F" w:rsidR="00FA2D8E" w:rsidRPr="00BF51BB" w:rsidRDefault="00FA2D8E" w:rsidP="00FA2D8E">
      <w:pPr>
        <w:pStyle w:val="NoSpacing"/>
        <w:numPr>
          <w:ilvl w:val="0"/>
          <w:numId w:val="26"/>
        </w:numPr>
        <w:ind w:left="0" w:firstLine="0"/>
        <w:jc w:val="both"/>
        <w:rPr>
          <w:rFonts w:ascii="Arial" w:hAnsi="Arial" w:cs="Arial"/>
          <w:sz w:val="24"/>
          <w:szCs w:val="24"/>
          <w:lang w:val="hr-HR"/>
        </w:rPr>
      </w:pPr>
      <w:r w:rsidRPr="00BF51BB">
        <w:rPr>
          <w:rFonts w:ascii="Arial" w:hAnsi="Arial" w:cs="Arial"/>
          <w:sz w:val="24"/>
          <w:szCs w:val="24"/>
          <w:lang w:val="hr-HR"/>
        </w:rPr>
        <w:t xml:space="preserve">Usvaja se Strategija upravljanja dugom </w:t>
      </w:r>
      <w:r w:rsidR="00F038BE" w:rsidRPr="00BF51BB">
        <w:rPr>
          <w:rFonts w:ascii="Arial" w:hAnsi="Arial" w:cs="Arial"/>
          <w:sz w:val="24"/>
          <w:szCs w:val="24"/>
          <w:lang w:val="hr-HR"/>
        </w:rPr>
        <w:t>2022</w:t>
      </w:r>
      <w:r w:rsidR="009645F1" w:rsidRPr="00BF51BB">
        <w:rPr>
          <w:rFonts w:ascii="Arial" w:hAnsi="Arial" w:cs="Arial"/>
          <w:sz w:val="24"/>
          <w:szCs w:val="24"/>
          <w:lang w:val="hr-HR"/>
        </w:rPr>
        <w:t>.</w:t>
      </w:r>
      <w:r w:rsidR="00F038BE" w:rsidRPr="00BF51BB">
        <w:rPr>
          <w:rFonts w:ascii="Arial" w:hAnsi="Arial" w:cs="Arial"/>
          <w:sz w:val="24"/>
          <w:szCs w:val="24"/>
          <w:lang w:val="hr-HR"/>
        </w:rPr>
        <w:t xml:space="preserve"> </w:t>
      </w:r>
      <w:r w:rsidRPr="00BF51BB">
        <w:rPr>
          <w:rFonts w:ascii="Arial" w:hAnsi="Arial" w:cs="Arial"/>
          <w:sz w:val="24"/>
          <w:szCs w:val="24"/>
          <w:lang w:val="hr-HR"/>
        </w:rPr>
        <w:t xml:space="preserve">– </w:t>
      </w:r>
      <w:r w:rsidR="00F038BE" w:rsidRPr="00BF51BB">
        <w:rPr>
          <w:rFonts w:ascii="Arial" w:hAnsi="Arial" w:cs="Arial"/>
          <w:sz w:val="24"/>
          <w:szCs w:val="24"/>
          <w:lang w:val="hr-HR"/>
        </w:rPr>
        <w:t>2024</w:t>
      </w:r>
      <w:r w:rsidRPr="00BF51BB">
        <w:rPr>
          <w:rFonts w:ascii="Arial" w:hAnsi="Arial" w:cs="Arial"/>
          <w:sz w:val="24"/>
          <w:szCs w:val="24"/>
          <w:lang w:val="hr-HR"/>
        </w:rPr>
        <w:t>.</w:t>
      </w:r>
    </w:p>
    <w:p w14:paraId="6A0ECF47" w14:textId="77777777" w:rsidR="00FA2D8E" w:rsidRPr="00BF51BB" w:rsidRDefault="00FA2D8E" w:rsidP="00FA2D8E">
      <w:pPr>
        <w:pStyle w:val="NoSpacing"/>
        <w:jc w:val="both"/>
        <w:rPr>
          <w:rFonts w:ascii="Arial" w:hAnsi="Arial" w:cs="Arial"/>
          <w:sz w:val="24"/>
          <w:szCs w:val="24"/>
          <w:lang w:val="hr-HR"/>
        </w:rPr>
      </w:pPr>
    </w:p>
    <w:p w14:paraId="5532D0B3" w14:textId="3DE75212" w:rsidR="00FA2D8E" w:rsidRPr="00BF51BB" w:rsidRDefault="00FA2D8E" w:rsidP="00FA2D8E">
      <w:pPr>
        <w:pStyle w:val="NoSpacing"/>
        <w:numPr>
          <w:ilvl w:val="0"/>
          <w:numId w:val="26"/>
        </w:numPr>
        <w:spacing w:line="276" w:lineRule="auto"/>
        <w:ind w:left="0" w:firstLine="0"/>
        <w:jc w:val="both"/>
        <w:rPr>
          <w:rFonts w:ascii="Arial" w:eastAsia="Calibri" w:hAnsi="Arial" w:cs="Arial"/>
          <w:sz w:val="24"/>
          <w:szCs w:val="24"/>
          <w:lang w:val="hr-HR"/>
        </w:rPr>
      </w:pPr>
      <w:r w:rsidRPr="00BF51BB">
        <w:rPr>
          <w:rFonts w:ascii="Arial" w:eastAsia="Calibri" w:hAnsi="Arial" w:cs="Arial"/>
          <w:sz w:val="24"/>
          <w:szCs w:val="24"/>
          <w:lang w:val="hr-HR"/>
        </w:rPr>
        <w:t xml:space="preserve">Zadužuje se Federalno ministarstvo finansija-Federalno ministarstvo financija, da </w:t>
      </w:r>
      <w:r w:rsidRPr="00BF51BB">
        <w:rPr>
          <w:rFonts w:ascii="Arial" w:hAnsi="Arial" w:cs="Arial"/>
          <w:sz w:val="24"/>
          <w:szCs w:val="24"/>
          <w:lang w:val="hr-HR"/>
        </w:rPr>
        <w:t xml:space="preserve">Strategiju upravljanja dugom </w:t>
      </w:r>
      <w:r w:rsidR="00F038BE" w:rsidRPr="00BF51BB">
        <w:rPr>
          <w:rFonts w:ascii="Arial" w:hAnsi="Arial" w:cs="Arial"/>
          <w:sz w:val="24"/>
          <w:szCs w:val="24"/>
          <w:lang w:val="hr-HR"/>
        </w:rPr>
        <w:t xml:space="preserve">2022 </w:t>
      </w:r>
      <w:r w:rsidR="005269DA" w:rsidRPr="00BF51BB">
        <w:rPr>
          <w:rFonts w:ascii="Arial" w:hAnsi="Arial" w:cs="Arial"/>
          <w:sz w:val="24"/>
          <w:szCs w:val="24"/>
          <w:lang w:val="hr-HR"/>
        </w:rPr>
        <w:t xml:space="preserve">– </w:t>
      </w:r>
      <w:r w:rsidR="00F038BE" w:rsidRPr="00BF51BB">
        <w:rPr>
          <w:rFonts w:ascii="Arial" w:hAnsi="Arial" w:cs="Arial"/>
          <w:sz w:val="24"/>
          <w:szCs w:val="24"/>
          <w:lang w:val="hr-HR"/>
        </w:rPr>
        <w:t>2024</w:t>
      </w:r>
      <w:r w:rsidR="005269DA" w:rsidRPr="00BF51BB">
        <w:rPr>
          <w:rFonts w:ascii="Arial" w:hAnsi="Arial" w:cs="Arial"/>
          <w:sz w:val="24"/>
          <w:szCs w:val="24"/>
          <w:lang w:val="hr-HR"/>
        </w:rPr>
        <w:t>.</w:t>
      </w:r>
      <w:r w:rsidRPr="00BF51BB">
        <w:rPr>
          <w:rFonts w:ascii="Arial" w:hAnsi="Arial" w:cs="Arial"/>
          <w:sz w:val="24"/>
          <w:szCs w:val="24"/>
          <w:lang w:val="hr-HR"/>
        </w:rPr>
        <w:t xml:space="preserve"> o</w:t>
      </w:r>
      <w:r w:rsidRPr="00BF51BB">
        <w:rPr>
          <w:rFonts w:ascii="Arial" w:eastAsia="Calibri" w:hAnsi="Arial" w:cs="Arial"/>
          <w:sz w:val="24"/>
          <w:szCs w:val="24"/>
          <w:lang w:val="hr-HR"/>
        </w:rPr>
        <w:t>bjavi na svojoj web stranici.</w:t>
      </w:r>
    </w:p>
    <w:p w14:paraId="197D512D" w14:textId="77777777" w:rsidR="00FA2D8E" w:rsidRPr="00BF51BB" w:rsidRDefault="00FA2D8E" w:rsidP="00FA2D8E">
      <w:pPr>
        <w:pStyle w:val="NoSpacing"/>
        <w:spacing w:line="276" w:lineRule="auto"/>
        <w:jc w:val="both"/>
        <w:rPr>
          <w:rFonts w:ascii="Arial" w:eastAsia="Calibri" w:hAnsi="Arial" w:cs="Arial"/>
          <w:sz w:val="24"/>
          <w:szCs w:val="24"/>
          <w:lang w:val="hr-HR"/>
        </w:rPr>
      </w:pPr>
    </w:p>
    <w:p w14:paraId="779FDF45" w14:textId="69E43BA8" w:rsidR="00FA2D8E" w:rsidRPr="00BF51BB" w:rsidRDefault="00FA2D8E" w:rsidP="00FA2D8E">
      <w:pPr>
        <w:pStyle w:val="NoSpacing"/>
        <w:numPr>
          <w:ilvl w:val="0"/>
          <w:numId w:val="26"/>
        </w:numPr>
        <w:spacing w:line="276" w:lineRule="auto"/>
        <w:ind w:left="0" w:firstLine="0"/>
        <w:jc w:val="both"/>
        <w:rPr>
          <w:rFonts w:ascii="Arial" w:eastAsia="Calibri" w:hAnsi="Arial" w:cs="Arial"/>
          <w:sz w:val="24"/>
          <w:szCs w:val="24"/>
          <w:lang w:val="hr-HR"/>
        </w:rPr>
      </w:pPr>
      <w:r w:rsidRPr="00BF51BB">
        <w:rPr>
          <w:rFonts w:ascii="Arial" w:eastAsia="Calibri" w:hAnsi="Arial" w:cs="Arial"/>
          <w:sz w:val="24"/>
          <w:szCs w:val="24"/>
          <w:lang w:val="hr-HR"/>
        </w:rPr>
        <w:t xml:space="preserve">Zadužuje se Generalni sekretarijat Vlade Federacije Bosne i Hercegovine da </w:t>
      </w:r>
      <w:r w:rsidRPr="00BF51BB">
        <w:rPr>
          <w:rFonts w:ascii="Arial" w:hAnsi="Arial" w:cs="Arial"/>
          <w:sz w:val="24"/>
          <w:szCs w:val="24"/>
          <w:lang w:val="hr-HR"/>
        </w:rPr>
        <w:t xml:space="preserve">Strategiju upravljanja dugom </w:t>
      </w:r>
      <w:r w:rsidR="00F038BE" w:rsidRPr="00BF51BB">
        <w:rPr>
          <w:rFonts w:ascii="Arial" w:hAnsi="Arial" w:cs="Arial"/>
          <w:sz w:val="24"/>
          <w:szCs w:val="24"/>
          <w:lang w:val="hr-HR"/>
        </w:rPr>
        <w:t xml:space="preserve">2022 </w:t>
      </w:r>
      <w:r w:rsidR="005269DA" w:rsidRPr="00BF51BB">
        <w:rPr>
          <w:rFonts w:ascii="Arial" w:hAnsi="Arial" w:cs="Arial"/>
          <w:sz w:val="24"/>
          <w:szCs w:val="24"/>
          <w:lang w:val="hr-HR"/>
        </w:rPr>
        <w:t xml:space="preserve">– </w:t>
      </w:r>
      <w:r w:rsidR="00F038BE" w:rsidRPr="00BF51BB">
        <w:rPr>
          <w:rFonts w:ascii="Arial" w:hAnsi="Arial" w:cs="Arial"/>
          <w:sz w:val="24"/>
          <w:szCs w:val="24"/>
          <w:lang w:val="hr-HR"/>
        </w:rPr>
        <w:t>2024</w:t>
      </w:r>
      <w:r w:rsidR="005269DA" w:rsidRPr="00BF51BB">
        <w:rPr>
          <w:rFonts w:ascii="Arial" w:hAnsi="Arial" w:cs="Arial"/>
          <w:sz w:val="24"/>
          <w:szCs w:val="24"/>
          <w:lang w:val="hr-HR"/>
        </w:rPr>
        <w:t xml:space="preserve">., </w:t>
      </w:r>
      <w:r w:rsidRPr="00BF51BB">
        <w:rPr>
          <w:rFonts w:ascii="Arial" w:eastAsia="Calibri" w:hAnsi="Arial" w:cs="Arial"/>
          <w:sz w:val="24"/>
          <w:szCs w:val="24"/>
          <w:lang w:val="hr-HR"/>
        </w:rPr>
        <w:t>proslijedi Parlamentu Federacije Bosne i Hercegovine radi informiranja.</w:t>
      </w:r>
    </w:p>
    <w:p w14:paraId="4B45558C" w14:textId="77777777" w:rsidR="00FA2D8E" w:rsidRPr="00BF51BB" w:rsidRDefault="00FA2D8E" w:rsidP="00FA2D8E">
      <w:pPr>
        <w:pStyle w:val="NoSpacing"/>
        <w:ind w:left="709"/>
        <w:jc w:val="both"/>
        <w:rPr>
          <w:rFonts w:ascii="Arial" w:hAnsi="Arial" w:cs="Arial"/>
          <w:sz w:val="24"/>
          <w:szCs w:val="24"/>
          <w:lang w:val="hr-HR"/>
        </w:rPr>
      </w:pPr>
    </w:p>
    <w:p w14:paraId="3DEFC2E3" w14:textId="77777777" w:rsidR="00FA2D8E" w:rsidRPr="00BF51BB" w:rsidRDefault="00FA2D8E" w:rsidP="00FA2D8E">
      <w:pPr>
        <w:pStyle w:val="NoSpacing"/>
        <w:numPr>
          <w:ilvl w:val="0"/>
          <w:numId w:val="26"/>
        </w:numPr>
        <w:ind w:left="0" w:firstLine="0"/>
        <w:jc w:val="both"/>
        <w:rPr>
          <w:rFonts w:ascii="Arial" w:hAnsi="Arial" w:cs="Arial"/>
          <w:sz w:val="24"/>
          <w:szCs w:val="24"/>
          <w:lang w:val="hr-HR"/>
        </w:rPr>
      </w:pPr>
      <w:r w:rsidRPr="00BF51BB">
        <w:rPr>
          <w:rFonts w:ascii="Arial" w:hAnsi="Arial" w:cs="Arial"/>
          <w:sz w:val="24"/>
          <w:szCs w:val="24"/>
          <w:lang w:val="hr-HR"/>
        </w:rPr>
        <w:t>Ovaj zaključak stupa na snagu danom donošenja.</w:t>
      </w:r>
    </w:p>
    <w:p w14:paraId="32144EF0" w14:textId="77777777" w:rsidR="00FA2D8E" w:rsidRPr="00BF51BB" w:rsidRDefault="00FA2D8E" w:rsidP="00FA2D8E">
      <w:pPr>
        <w:spacing w:before="240" w:line="240" w:lineRule="auto"/>
        <w:ind w:left="720"/>
        <w:contextualSpacing/>
        <w:rPr>
          <w:rFonts w:ascii="Arial" w:eastAsia="Times New Roman" w:hAnsi="Arial" w:cs="Arial"/>
          <w:color w:val="548DD4" w:themeColor="text2" w:themeTint="99"/>
          <w:sz w:val="24"/>
          <w:szCs w:val="24"/>
        </w:rPr>
      </w:pPr>
    </w:p>
    <w:p w14:paraId="50252A2C" w14:textId="77777777" w:rsidR="00FA2D8E" w:rsidRPr="00BF51BB" w:rsidRDefault="00FA2D8E" w:rsidP="00FA2D8E">
      <w:pPr>
        <w:spacing w:after="0" w:line="240" w:lineRule="auto"/>
        <w:ind w:left="284" w:right="49"/>
        <w:jc w:val="both"/>
        <w:rPr>
          <w:rFonts w:ascii="Arial" w:eastAsia="Times New Roman" w:hAnsi="Arial" w:cs="Arial"/>
          <w:color w:val="548DD4" w:themeColor="text2" w:themeTint="99"/>
          <w:sz w:val="24"/>
          <w:szCs w:val="24"/>
        </w:rPr>
      </w:pPr>
    </w:p>
    <w:p w14:paraId="3CCFC3C9" w14:textId="3A4AFCD6" w:rsidR="00FA2D8E" w:rsidRPr="00BF51BB" w:rsidRDefault="00FA2D8E" w:rsidP="00FA2D8E">
      <w:pPr>
        <w:ind w:right="49"/>
        <w:jc w:val="both"/>
        <w:rPr>
          <w:rFonts w:ascii="Arial" w:hAnsi="Arial" w:cs="Arial"/>
          <w:b/>
          <w:sz w:val="24"/>
          <w:szCs w:val="24"/>
        </w:rPr>
      </w:pPr>
      <w:r w:rsidRPr="00BF51BB">
        <w:rPr>
          <w:rFonts w:ascii="Arial" w:hAnsi="Arial" w:cs="Arial"/>
          <w:b/>
          <w:sz w:val="24"/>
          <w:szCs w:val="24"/>
        </w:rPr>
        <w:t>V</w:t>
      </w:r>
      <w:r w:rsidR="009A2717">
        <w:rPr>
          <w:rFonts w:ascii="Arial" w:hAnsi="Arial" w:cs="Arial"/>
          <w:b/>
          <w:sz w:val="24"/>
          <w:szCs w:val="24"/>
        </w:rPr>
        <w:t>.</w:t>
      </w:r>
      <w:r w:rsidRPr="00BF51BB">
        <w:rPr>
          <w:rFonts w:ascii="Arial" w:hAnsi="Arial" w:cs="Arial"/>
          <w:b/>
          <w:sz w:val="24"/>
          <w:szCs w:val="24"/>
        </w:rPr>
        <w:t xml:space="preserve"> broj</w:t>
      </w:r>
      <w:r w:rsidR="009A2717">
        <w:rPr>
          <w:rFonts w:ascii="Arial" w:hAnsi="Arial" w:cs="Arial"/>
          <w:b/>
          <w:sz w:val="24"/>
          <w:szCs w:val="24"/>
        </w:rPr>
        <w:t>:</w:t>
      </w:r>
      <w:r w:rsidRPr="00BF51BB">
        <w:rPr>
          <w:rFonts w:ascii="Arial" w:hAnsi="Arial" w:cs="Arial"/>
          <w:b/>
          <w:sz w:val="24"/>
          <w:szCs w:val="24"/>
        </w:rPr>
        <w:t>______</w:t>
      </w:r>
      <w:r w:rsidRPr="00BF51BB">
        <w:rPr>
          <w:rFonts w:ascii="Arial" w:hAnsi="Arial" w:cs="Arial"/>
          <w:b/>
          <w:sz w:val="24"/>
          <w:szCs w:val="24"/>
        </w:rPr>
        <w:tab/>
      </w:r>
      <w:r w:rsidRPr="00BF51BB">
        <w:rPr>
          <w:rFonts w:ascii="Arial" w:hAnsi="Arial" w:cs="Arial"/>
          <w:b/>
          <w:sz w:val="24"/>
          <w:szCs w:val="24"/>
        </w:rPr>
        <w:tab/>
      </w:r>
      <w:r w:rsidRPr="00BF51BB">
        <w:rPr>
          <w:rFonts w:ascii="Arial" w:hAnsi="Arial" w:cs="Arial"/>
          <w:b/>
          <w:sz w:val="24"/>
          <w:szCs w:val="24"/>
        </w:rPr>
        <w:tab/>
      </w:r>
      <w:r w:rsidRPr="00BF51BB">
        <w:rPr>
          <w:rFonts w:ascii="Arial" w:hAnsi="Arial" w:cs="Arial"/>
          <w:b/>
          <w:sz w:val="24"/>
          <w:szCs w:val="24"/>
        </w:rPr>
        <w:tab/>
      </w:r>
      <w:r w:rsidRPr="00BF51BB">
        <w:rPr>
          <w:rFonts w:ascii="Arial" w:hAnsi="Arial" w:cs="Arial"/>
          <w:b/>
          <w:sz w:val="24"/>
          <w:szCs w:val="24"/>
        </w:rPr>
        <w:tab/>
      </w:r>
      <w:r w:rsidRPr="00BF51BB">
        <w:rPr>
          <w:rFonts w:ascii="Arial" w:hAnsi="Arial" w:cs="Arial"/>
          <w:b/>
          <w:sz w:val="24"/>
          <w:szCs w:val="24"/>
        </w:rPr>
        <w:tab/>
      </w:r>
      <w:r w:rsidRPr="00BF51BB">
        <w:rPr>
          <w:rFonts w:ascii="Arial" w:hAnsi="Arial" w:cs="Arial"/>
          <w:b/>
          <w:sz w:val="24"/>
          <w:szCs w:val="24"/>
        </w:rPr>
        <w:tab/>
        <w:t xml:space="preserve">       PREMIJER</w:t>
      </w:r>
      <w:r w:rsidRPr="00BF51BB">
        <w:rPr>
          <w:rFonts w:ascii="Arial" w:hAnsi="Arial" w:cs="Arial"/>
          <w:b/>
          <w:sz w:val="24"/>
          <w:szCs w:val="24"/>
        </w:rPr>
        <w:tab/>
      </w:r>
      <w:r w:rsidRPr="00BF51BB">
        <w:rPr>
          <w:rFonts w:ascii="Arial" w:hAnsi="Arial" w:cs="Arial"/>
          <w:b/>
          <w:sz w:val="24"/>
          <w:szCs w:val="24"/>
        </w:rPr>
        <w:tab/>
        <w:t xml:space="preserve">      </w:t>
      </w:r>
    </w:p>
    <w:p w14:paraId="0996BBC8" w14:textId="01942AE0" w:rsidR="00FA2D8E" w:rsidRPr="00BF51BB" w:rsidRDefault="00FA2D8E" w:rsidP="00FA2D8E">
      <w:pPr>
        <w:ind w:right="49"/>
        <w:jc w:val="both"/>
        <w:rPr>
          <w:rFonts w:ascii="Arial" w:hAnsi="Arial" w:cs="Arial"/>
          <w:b/>
          <w:sz w:val="24"/>
          <w:szCs w:val="24"/>
        </w:rPr>
      </w:pPr>
      <w:r w:rsidRPr="00BF51BB">
        <w:rPr>
          <w:rFonts w:ascii="Arial" w:hAnsi="Arial" w:cs="Arial"/>
          <w:b/>
          <w:sz w:val="24"/>
          <w:szCs w:val="24"/>
        </w:rPr>
        <w:t>Sarajevo ______</w:t>
      </w:r>
      <w:r w:rsidR="00F038BE" w:rsidRPr="00BF51BB">
        <w:rPr>
          <w:rFonts w:ascii="Arial" w:hAnsi="Arial" w:cs="Arial"/>
          <w:b/>
          <w:sz w:val="24"/>
          <w:szCs w:val="24"/>
        </w:rPr>
        <w:t>2022</w:t>
      </w:r>
      <w:r w:rsidRPr="00BF51BB">
        <w:rPr>
          <w:rFonts w:ascii="Arial" w:hAnsi="Arial" w:cs="Arial"/>
          <w:b/>
          <w:sz w:val="24"/>
          <w:szCs w:val="24"/>
        </w:rPr>
        <w:t>. godine</w:t>
      </w:r>
      <w:r w:rsidRPr="00BF51BB">
        <w:rPr>
          <w:rFonts w:ascii="Arial" w:hAnsi="Arial" w:cs="Arial"/>
          <w:b/>
          <w:sz w:val="24"/>
          <w:szCs w:val="24"/>
        </w:rPr>
        <w:tab/>
      </w:r>
      <w:r w:rsidRPr="00BF51BB">
        <w:rPr>
          <w:rFonts w:ascii="Arial" w:hAnsi="Arial" w:cs="Arial"/>
          <w:b/>
          <w:sz w:val="24"/>
          <w:szCs w:val="24"/>
        </w:rPr>
        <w:tab/>
      </w:r>
      <w:r w:rsidRPr="00BF51BB">
        <w:rPr>
          <w:rFonts w:ascii="Arial" w:hAnsi="Arial" w:cs="Arial"/>
          <w:b/>
          <w:sz w:val="24"/>
          <w:szCs w:val="24"/>
        </w:rPr>
        <w:tab/>
        <w:t xml:space="preserve"> </w:t>
      </w:r>
      <w:r w:rsidRPr="00BF51BB">
        <w:rPr>
          <w:rFonts w:ascii="Arial" w:hAnsi="Arial" w:cs="Arial"/>
          <w:b/>
          <w:sz w:val="24"/>
          <w:szCs w:val="24"/>
        </w:rPr>
        <w:tab/>
        <w:t xml:space="preserve">              FADIL NOVALIĆ </w:t>
      </w:r>
    </w:p>
    <w:p w14:paraId="7D802ABD" w14:textId="77777777" w:rsidR="00FA2D8E" w:rsidRPr="00BF51BB" w:rsidRDefault="00FA2D8E" w:rsidP="00ED768D">
      <w:pPr>
        <w:spacing w:after="0" w:line="240" w:lineRule="auto"/>
      </w:pPr>
    </w:p>
    <w:sectPr w:rsidR="00FA2D8E" w:rsidRPr="00BF51BB" w:rsidSect="00626FD0">
      <w:footerReference w:type="default" r:id="rId27"/>
      <w:footerReference w:type="first" r:id="rId28"/>
      <w:pgSz w:w="11906" w:h="16838"/>
      <w:pgMar w:top="1135" w:right="1133" w:bottom="709"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E6FF3" w14:textId="77777777" w:rsidR="00DD5C6E" w:rsidRDefault="00DD5C6E" w:rsidP="00C50960">
      <w:pPr>
        <w:spacing w:after="0" w:line="240" w:lineRule="auto"/>
      </w:pPr>
      <w:r>
        <w:separator/>
      </w:r>
    </w:p>
  </w:endnote>
  <w:endnote w:type="continuationSeparator" w:id="0">
    <w:p w14:paraId="3F2E2649" w14:textId="77777777" w:rsidR="00DD5C6E" w:rsidRDefault="00DD5C6E" w:rsidP="00C5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76F9" w14:textId="7D11F0D4" w:rsidR="0000223F" w:rsidRDefault="0000223F">
    <w:pPr>
      <w:pStyle w:val="Footer"/>
      <w:jc w:val="center"/>
    </w:pPr>
  </w:p>
  <w:p w14:paraId="5FA2A1D3" w14:textId="77777777" w:rsidR="0000223F" w:rsidRDefault="00002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536FC" w14:textId="6CBA71BB" w:rsidR="0000223F" w:rsidRDefault="0000223F">
    <w:pPr>
      <w:pStyle w:val="Footer"/>
      <w:jc w:val="center"/>
    </w:pPr>
  </w:p>
  <w:p w14:paraId="7433AFB3" w14:textId="77777777" w:rsidR="0000223F" w:rsidRDefault="00002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95302"/>
      <w:docPartObj>
        <w:docPartGallery w:val="Page Numbers (Bottom of Page)"/>
        <w:docPartUnique/>
      </w:docPartObj>
    </w:sdtPr>
    <w:sdtEndPr>
      <w:rPr>
        <w:noProof/>
      </w:rPr>
    </w:sdtEndPr>
    <w:sdtContent>
      <w:p w14:paraId="6B5A675A" w14:textId="74D922B2" w:rsidR="0000223F" w:rsidRDefault="0000223F">
        <w:pPr>
          <w:pStyle w:val="Footer"/>
          <w:jc w:val="center"/>
        </w:pPr>
        <w:r>
          <w:fldChar w:fldCharType="begin"/>
        </w:r>
        <w:r>
          <w:instrText xml:space="preserve"> PAGE   \* MERGEFORMAT </w:instrText>
        </w:r>
        <w:r>
          <w:fldChar w:fldCharType="separate"/>
        </w:r>
        <w:r w:rsidR="007E2712">
          <w:rPr>
            <w:noProof/>
          </w:rPr>
          <w:t>23</w:t>
        </w:r>
        <w:r>
          <w:rPr>
            <w:noProof/>
          </w:rPr>
          <w:fldChar w:fldCharType="end"/>
        </w:r>
      </w:p>
    </w:sdtContent>
  </w:sdt>
  <w:p w14:paraId="4E1A2FD4" w14:textId="77777777" w:rsidR="0000223F" w:rsidRDefault="000022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62743"/>
      <w:docPartObj>
        <w:docPartGallery w:val="Page Numbers (Bottom of Page)"/>
        <w:docPartUnique/>
      </w:docPartObj>
    </w:sdtPr>
    <w:sdtEndPr>
      <w:rPr>
        <w:noProof/>
      </w:rPr>
    </w:sdtEndPr>
    <w:sdtContent>
      <w:p w14:paraId="004E3CF5" w14:textId="697ED649" w:rsidR="0000223F" w:rsidRDefault="0000223F">
        <w:pPr>
          <w:pStyle w:val="Footer"/>
          <w:jc w:val="center"/>
        </w:pPr>
        <w:r>
          <w:fldChar w:fldCharType="begin"/>
        </w:r>
        <w:r>
          <w:instrText xml:space="preserve"> PAGE   \* MERGEFORMAT </w:instrText>
        </w:r>
        <w:r>
          <w:fldChar w:fldCharType="separate"/>
        </w:r>
        <w:r w:rsidR="007E2712">
          <w:rPr>
            <w:noProof/>
          </w:rPr>
          <w:t>1</w:t>
        </w:r>
        <w:r>
          <w:rPr>
            <w:noProof/>
          </w:rPr>
          <w:fldChar w:fldCharType="end"/>
        </w:r>
      </w:p>
    </w:sdtContent>
  </w:sdt>
  <w:p w14:paraId="548530B6" w14:textId="77777777" w:rsidR="0000223F" w:rsidRDefault="0000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D5F18" w14:textId="77777777" w:rsidR="00DD5C6E" w:rsidRDefault="00DD5C6E" w:rsidP="00C50960">
      <w:pPr>
        <w:spacing w:after="0" w:line="240" w:lineRule="auto"/>
      </w:pPr>
      <w:r>
        <w:separator/>
      </w:r>
    </w:p>
  </w:footnote>
  <w:footnote w:type="continuationSeparator" w:id="0">
    <w:p w14:paraId="4C499EE2" w14:textId="77777777" w:rsidR="00DD5C6E" w:rsidRDefault="00DD5C6E" w:rsidP="00C50960">
      <w:pPr>
        <w:spacing w:after="0" w:line="240" w:lineRule="auto"/>
      </w:pPr>
      <w:r>
        <w:continuationSeparator/>
      </w:r>
    </w:p>
  </w:footnote>
  <w:footnote w:id="1">
    <w:p w14:paraId="38CFE716" w14:textId="77777777" w:rsidR="0000223F" w:rsidRDefault="0000223F" w:rsidP="00AA70C2"/>
  </w:footnote>
  <w:footnote w:id="2">
    <w:p w14:paraId="04A0A054" w14:textId="1842B339" w:rsidR="0000223F" w:rsidRPr="00BF51BB" w:rsidRDefault="0000223F" w:rsidP="00BF51BB">
      <w:pPr>
        <w:pStyle w:val="FootnoteText"/>
        <w:spacing w:after="0" w:line="240" w:lineRule="auto"/>
        <w:jc w:val="both"/>
        <w:rPr>
          <w:lang w:val="bs-Latn-BA"/>
        </w:rPr>
      </w:pPr>
      <w:r w:rsidRPr="00BF51BB">
        <w:rPr>
          <w:rFonts w:ascii="Arial" w:hAnsi="Arial" w:cs="Arial"/>
          <w:sz w:val="16"/>
        </w:rPr>
        <w:footnoteRef/>
      </w:r>
      <w:r w:rsidRPr="00BF51BB">
        <w:rPr>
          <w:rFonts w:ascii="Arial" w:hAnsi="Arial" w:cs="Arial"/>
          <w:sz w:val="16"/>
        </w:rPr>
        <w:t xml:space="preserve"> Garancije FBiH nisu uključene u obuhvat strategije jer se u periodu koji je obuhvaćen Strategijom ne očekuje njihovo aktiviranje. FBiH je izdala garanciju za izgradnju bloka 7, Termoelektrane u Tuzli u </w:t>
      </w:r>
      <w:r w:rsidRPr="00BF51BB">
        <w:rPr>
          <w:rFonts w:ascii="Arial" w:hAnsi="Arial" w:cs="Arial"/>
          <w:sz w:val="16"/>
        </w:rPr>
        <w:t xml:space="preserve">iznosu od </w:t>
      </w:r>
      <w:r>
        <w:rPr>
          <w:rFonts w:ascii="Arial" w:hAnsi="Arial" w:cs="Arial"/>
          <w:sz w:val="16"/>
        </w:rPr>
        <w:t>613,99</w:t>
      </w:r>
      <w:r w:rsidRPr="00BF51BB">
        <w:rPr>
          <w:rFonts w:ascii="Arial" w:hAnsi="Arial" w:cs="Arial"/>
          <w:sz w:val="16"/>
        </w:rPr>
        <w:t xml:space="preserve"> mil.</w:t>
      </w:r>
      <w:r>
        <w:rPr>
          <w:rFonts w:ascii="Arial" w:hAnsi="Arial" w:cs="Arial"/>
          <w:sz w:val="16"/>
        </w:rPr>
        <w:t>EUR</w:t>
      </w:r>
      <w:r w:rsidRPr="00BF51BB">
        <w:rPr>
          <w:rFonts w:ascii="Arial" w:hAnsi="Arial" w:cs="Arial"/>
          <w:sz w:val="16"/>
        </w:rPr>
        <w:t>. Kredit je postao efektivan, stanje duga po ovoj garanciji je 0 KM s obzirom da do 31.12.2021. godine nije bilo angažovanja sredstava</w:t>
      </w:r>
    </w:p>
  </w:footnote>
  <w:footnote w:id="3">
    <w:p w14:paraId="295079CA" w14:textId="411DD54B" w:rsidR="0000223F" w:rsidRPr="00FB6FC8" w:rsidRDefault="0000223F" w:rsidP="00BA571D">
      <w:pPr>
        <w:pStyle w:val="FootnoteText"/>
        <w:spacing w:after="0" w:line="240" w:lineRule="auto"/>
        <w:jc w:val="both"/>
        <w:rPr>
          <w:rFonts w:ascii="Arial" w:hAnsi="Arial" w:cs="Arial"/>
          <w:sz w:val="16"/>
        </w:rPr>
      </w:pPr>
      <w:r w:rsidRPr="00D912D1">
        <w:rPr>
          <w:rStyle w:val="FootnoteReference"/>
          <w:sz w:val="18"/>
          <w:szCs w:val="18"/>
        </w:rPr>
        <w:footnoteRef/>
      </w:r>
      <w:r w:rsidRPr="00D912D1">
        <w:rPr>
          <w:rStyle w:val="FootnoteReference"/>
          <w:sz w:val="18"/>
          <w:szCs w:val="18"/>
        </w:rPr>
        <w:t xml:space="preserve"> </w:t>
      </w:r>
      <w:r w:rsidRPr="00D912D1">
        <w:rPr>
          <w:rFonts w:ascii="Arial" w:hAnsi="Arial" w:cs="Arial"/>
          <w:sz w:val="16"/>
        </w:rPr>
        <w:t xml:space="preserve">Kursna </w:t>
      </w:r>
      <w:r w:rsidRPr="00D912D1">
        <w:rPr>
          <w:rFonts w:ascii="Arial" w:hAnsi="Arial" w:cs="Arial"/>
          <w:sz w:val="16"/>
        </w:rPr>
        <w:t>lista CBBH broj 259 od 31.12.</w:t>
      </w:r>
      <w:r w:rsidRPr="00FB6FC8">
        <w:rPr>
          <w:rFonts w:ascii="Arial" w:hAnsi="Arial" w:cs="Arial"/>
          <w:sz w:val="16"/>
        </w:rPr>
        <w:t>2021. godine</w:t>
      </w:r>
    </w:p>
  </w:footnote>
  <w:footnote w:id="4">
    <w:p w14:paraId="0F5D13C7" w14:textId="5FC1D0CC" w:rsidR="0000223F" w:rsidRPr="00B93399" w:rsidRDefault="0000223F" w:rsidP="00BA571D">
      <w:pPr>
        <w:pStyle w:val="FootnoteText"/>
        <w:spacing w:after="0" w:line="240" w:lineRule="auto"/>
        <w:jc w:val="both"/>
        <w:rPr>
          <w:lang w:val="bs-Latn-BA"/>
        </w:rPr>
      </w:pPr>
      <w:r w:rsidRPr="00D912D1">
        <w:rPr>
          <w:rStyle w:val="FootnoteReference"/>
          <w:sz w:val="18"/>
          <w:szCs w:val="18"/>
        </w:rPr>
        <w:footnoteRef/>
      </w:r>
      <w:r w:rsidRPr="00D912D1">
        <w:rPr>
          <w:rStyle w:val="FootnoteReference"/>
          <w:sz w:val="18"/>
          <w:szCs w:val="18"/>
        </w:rPr>
        <w:t xml:space="preserve"> </w:t>
      </w:r>
      <w:r w:rsidRPr="00D912D1">
        <w:rPr>
          <w:rFonts w:ascii="Arial" w:hAnsi="Arial" w:cs="Arial"/>
          <w:sz w:val="16"/>
        </w:rPr>
        <w:t xml:space="preserve">Procijenjeni iznos BDP-a Federacije u </w:t>
      </w:r>
      <w:r w:rsidRPr="00FB6FC8">
        <w:rPr>
          <w:rFonts w:ascii="Arial" w:hAnsi="Arial" w:cs="Arial"/>
          <w:sz w:val="16"/>
        </w:rPr>
        <w:t xml:space="preserve">2021. godini koji se koristi za izračune procijenjen je u </w:t>
      </w:r>
      <w:r w:rsidRPr="00FB6FC8">
        <w:rPr>
          <w:rFonts w:ascii="Arial" w:hAnsi="Arial" w:cs="Arial"/>
          <w:sz w:val="16"/>
        </w:rPr>
        <w:t xml:space="preserve">visini od </w:t>
      </w:r>
      <w:r w:rsidRPr="00BF51BB">
        <w:rPr>
          <w:rFonts w:ascii="Arial" w:hAnsi="Arial" w:cs="Arial"/>
          <w:sz w:val="16"/>
        </w:rPr>
        <w:t>22.956</w:t>
      </w:r>
      <w:r w:rsidRPr="00D912D1">
        <w:rPr>
          <w:rFonts w:ascii="Arial" w:hAnsi="Arial" w:cs="Arial"/>
          <w:sz w:val="16"/>
        </w:rPr>
        <w:t xml:space="preserve"> mil. KM.</w:t>
      </w:r>
    </w:p>
  </w:footnote>
  <w:footnote w:id="5">
    <w:p w14:paraId="6FE754CE" w14:textId="77777777" w:rsidR="0000223F" w:rsidRPr="00337704" w:rsidRDefault="0000223F" w:rsidP="000D54BA">
      <w:pPr>
        <w:pStyle w:val="FootnoteText"/>
        <w:spacing w:after="0" w:line="240" w:lineRule="auto"/>
        <w:jc w:val="both"/>
        <w:rPr>
          <w:rFonts w:ascii="Arial Narrow" w:hAnsi="Arial Narrow" w:cs="Arial"/>
          <w:sz w:val="16"/>
          <w:szCs w:val="18"/>
        </w:rPr>
      </w:pPr>
      <w:r>
        <w:rPr>
          <w:rStyle w:val="FootnoteReference"/>
        </w:rPr>
        <w:footnoteRef/>
      </w:r>
      <w:r>
        <w:t xml:space="preserve"> </w:t>
      </w:r>
      <w:r w:rsidRPr="00337704">
        <w:rPr>
          <w:rFonts w:ascii="Arial Narrow" w:eastAsia="Arial" w:hAnsi="Arial Narrow" w:cs="Arial"/>
          <w:sz w:val="16"/>
        </w:rPr>
        <w:t xml:space="preserve">SDR </w:t>
      </w:r>
      <w:r w:rsidRPr="00337704">
        <w:rPr>
          <w:rFonts w:ascii="Arial Narrow" w:eastAsia="Arial" w:hAnsi="Arial Narrow" w:cs="Arial"/>
          <w:sz w:val="16"/>
        </w:rPr>
        <w:t xml:space="preserve">– </w:t>
      </w:r>
      <w:r w:rsidRPr="00D912D1">
        <w:rPr>
          <w:rFonts w:ascii="Arial Narrow" w:eastAsia="Arial" w:hAnsi="Arial Narrow" w:cs="Arial"/>
          <w:sz w:val="16"/>
        </w:rPr>
        <w:t>međunarodna obračunska valuta sastavljena iz sljedećih valuta: Kineski Juan (CNY) 1,0174, Euro (EUR) 0,38671, Američki dolar (USD) 0,58252, Britanska Funta (GBP) 0,085946 i Japanski Yen (JPY), 11,90.</w:t>
      </w:r>
    </w:p>
    <w:p w14:paraId="65E81726" w14:textId="386E05F5" w:rsidR="0000223F" w:rsidRPr="000D54BA" w:rsidRDefault="0000223F">
      <w:pPr>
        <w:pStyle w:val="FootnoteText"/>
        <w:rPr>
          <w:lang w:val="bs-Latn-BA"/>
        </w:rPr>
      </w:pPr>
    </w:p>
  </w:footnote>
  <w:footnote w:id="6">
    <w:p w14:paraId="154680BF" w14:textId="77777777" w:rsidR="0000223F" w:rsidRPr="00337704" w:rsidRDefault="0000223F" w:rsidP="007A2F27">
      <w:pPr>
        <w:pStyle w:val="FootnoteText"/>
        <w:spacing w:after="0"/>
        <w:jc w:val="both"/>
        <w:rPr>
          <w:rFonts w:ascii="Arial Narrow" w:eastAsia="Arial" w:hAnsi="Arial Narrow" w:cs="Arial"/>
          <w:sz w:val="16"/>
        </w:rPr>
      </w:pPr>
      <w:r w:rsidRPr="006309F0">
        <w:rPr>
          <w:rStyle w:val="FootnoteReference"/>
          <w:rFonts w:ascii="Arial" w:hAnsi="Arial" w:cs="Arial"/>
          <w:sz w:val="16"/>
        </w:rPr>
        <w:footnoteRef/>
      </w:r>
      <w:r w:rsidRPr="006309F0">
        <w:rPr>
          <w:rFonts w:ascii="Arial" w:hAnsi="Arial" w:cs="Arial"/>
          <w:sz w:val="16"/>
        </w:rPr>
        <w:t xml:space="preserve"> </w:t>
      </w:r>
      <w:r w:rsidRPr="00337704">
        <w:rPr>
          <w:rFonts w:ascii="Arial Narrow" w:eastAsia="Arial" w:hAnsi="Arial Narrow" w:cs="Arial"/>
          <w:sz w:val="16"/>
        </w:rPr>
        <w:t>Zakon o utvrđivanju i načinu izmirenja unutrašnjih obaveza Federacije Bosne i Hercegovine ("Službene novine Federacije BiH", br. 66/04, 49/05, 35/06, 31/08, 32/09, 65/09 i 42/11); Zakon o izmirenju obaveza na osnovu računa stare devizne štednje u Federaciji Bosne i Hercegovine ("Službene novine Federacije BiH", br. 62/09, 42/11, 91/13 i 101/16)</w:t>
      </w:r>
    </w:p>
  </w:footnote>
  <w:footnote w:id="7">
    <w:p w14:paraId="55982252" w14:textId="4FD17799" w:rsidR="0000223F" w:rsidRPr="00BF51BB" w:rsidRDefault="0000223F" w:rsidP="005B244F">
      <w:pPr>
        <w:pStyle w:val="FootnoteText"/>
        <w:rPr>
          <w:rFonts w:ascii="Arial Narrow" w:eastAsia="Arial" w:hAnsi="Arial Narrow" w:cs="Arial"/>
          <w:sz w:val="16"/>
        </w:rPr>
      </w:pPr>
      <w:r w:rsidRPr="00BF51BB">
        <w:rPr>
          <w:rFonts w:ascii="Arial Narrow" w:eastAsia="Arial" w:hAnsi="Arial Narrow"/>
          <w:sz w:val="16"/>
        </w:rPr>
        <w:footnoteRef/>
      </w:r>
      <w:r w:rsidRPr="00BF51BB">
        <w:rPr>
          <w:rFonts w:ascii="Arial Narrow" w:eastAsia="Arial" w:hAnsi="Arial Narrow" w:cs="Arial"/>
          <w:sz w:val="16"/>
        </w:rPr>
        <w:t xml:space="preserve"> </w:t>
      </w:r>
      <w:r w:rsidRPr="00BF51BB">
        <w:rPr>
          <w:rFonts w:ascii="Arial Narrow" w:eastAsia="Arial" w:hAnsi="Arial Narrow" w:cs="Arial"/>
          <w:sz w:val="16"/>
        </w:rPr>
        <w:t>DEP: Dokument okvirnog budžeta, Makroekonomske projekcije 2022</w:t>
      </w:r>
      <w:r>
        <w:rPr>
          <w:rFonts w:ascii="Arial Narrow" w:eastAsia="Arial" w:hAnsi="Arial Narrow" w:cs="Arial"/>
          <w:sz w:val="16"/>
        </w:rPr>
        <w:t>.</w:t>
      </w:r>
      <w:r w:rsidRPr="00BF51BB">
        <w:rPr>
          <w:rFonts w:ascii="Arial Narrow" w:eastAsia="Arial" w:hAnsi="Arial Narrow" w:cs="Arial"/>
          <w:sz w:val="16"/>
        </w:rPr>
        <w:t>-2024</w:t>
      </w:r>
      <w:r>
        <w:rPr>
          <w:rFonts w:ascii="Arial Narrow" w:eastAsia="Arial" w:hAnsi="Arial Narrow" w:cs="Arial"/>
          <w:sz w:val="16"/>
        </w:rPr>
        <w:t>., s</w:t>
      </w:r>
      <w:r w:rsidRPr="00BF51BB">
        <w:rPr>
          <w:rFonts w:ascii="Arial Narrow" w:eastAsia="Arial" w:hAnsi="Arial Narrow" w:cs="Arial"/>
          <w:sz w:val="16"/>
        </w:rPr>
        <w:t>eptembar 2021.</w:t>
      </w:r>
    </w:p>
  </w:footnote>
  <w:footnote w:id="8">
    <w:p w14:paraId="48697490" w14:textId="77777777" w:rsidR="0000223F" w:rsidRPr="00BF51BB" w:rsidRDefault="0000223F" w:rsidP="00BF51BB">
      <w:pPr>
        <w:pStyle w:val="FootnoteText"/>
        <w:spacing w:after="0"/>
        <w:rPr>
          <w:rFonts w:ascii="Arial Narrow" w:eastAsia="Arial" w:hAnsi="Arial Narrow" w:cs="Arial"/>
          <w:sz w:val="16"/>
        </w:rPr>
      </w:pPr>
      <w:r w:rsidRPr="00BF51BB">
        <w:rPr>
          <w:rFonts w:ascii="Arial Narrow" w:eastAsia="Arial" w:hAnsi="Arial Narrow"/>
          <w:sz w:val="16"/>
        </w:rPr>
        <w:footnoteRef/>
      </w:r>
      <w:r w:rsidRPr="00BF51BB">
        <w:rPr>
          <w:rFonts w:ascii="Arial Narrow" w:eastAsia="Arial" w:hAnsi="Arial Narrow" w:cs="Arial"/>
          <w:sz w:val="16"/>
        </w:rPr>
        <w:t xml:space="preserve"> </w:t>
      </w:r>
      <w:r w:rsidRPr="00BF51BB">
        <w:rPr>
          <w:rFonts w:ascii="Arial Narrow" w:eastAsia="Arial" w:hAnsi="Arial Narrow" w:cs="Arial"/>
          <w:sz w:val="16"/>
        </w:rPr>
        <w:t>BHAS: Bruto domaći proizvod-rashodni pristup-tromjesečni podaci (lančano povezane vrijednosti u cijenama 2015), od 04.10.2021.</w:t>
      </w:r>
    </w:p>
  </w:footnote>
  <w:footnote w:id="9">
    <w:p w14:paraId="10A98AD0" w14:textId="77777777" w:rsidR="0000223F" w:rsidRPr="00BF51BB" w:rsidRDefault="0000223F" w:rsidP="00BF51BB">
      <w:pPr>
        <w:pStyle w:val="FootnoteText"/>
        <w:spacing w:after="0"/>
        <w:rPr>
          <w:rFonts w:ascii="Arial Narrow" w:eastAsia="Arial" w:hAnsi="Arial Narrow" w:cs="Arial"/>
          <w:sz w:val="16"/>
        </w:rPr>
      </w:pPr>
      <w:r w:rsidRPr="00BF51BB">
        <w:rPr>
          <w:rFonts w:ascii="Arial Narrow" w:eastAsia="Arial" w:hAnsi="Arial Narrow"/>
          <w:sz w:val="16"/>
        </w:rPr>
        <w:footnoteRef/>
      </w:r>
      <w:r w:rsidRPr="00BF51BB">
        <w:rPr>
          <w:rFonts w:ascii="Arial Narrow" w:eastAsia="Arial" w:hAnsi="Arial Narrow" w:cs="Arial"/>
          <w:sz w:val="16"/>
        </w:rPr>
        <w:t xml:space="preserve"> </w:t>
      </w:r>
      <w:r w:rsidRPr="00BF51BB">
        <w:rPr>
          <w:rFonts w:ascii="Arial Narrow" w:eastAsia="Arial" w:hAnsi="Arial Narrow" w:cs="Arial"/>
          <w:sz w:val="16"/>
        </w:rPr>
        <w:t xml:space="preserve">FZS: Tromjesečni bruto domaći proizvod, II tromjesečje </w:t>
      </w:r>
    </w:p>
  </w:footnote>
  <w:footnote w:id="10">
    <w:p w14:paraId="3F8E1A3B" w14:textId="32F36619" w:rsidR="0000223F" w:rsidRPr="00761544" w:rsidRDefault="0000223F" w:rsidP="00761544">
      <w:pPr>
        <w:pStyle w:val="FootnoteText"/>
        <w:spacing w:after="0"/>
        <w:rPr>
          <w:rFonts w:ascii="Arial Narrow" w:hAnsi="Arial Narrow" w:cs="Arial"/>
          <w:sz w:val="16"/>
          <w:szCs w:val="16"/>
          <w:lang w:val="bs-Latn-BA"/>
        </w:rPr>
      </w:pPr>
      <w:r w:rsidRPr="00761544">
        <w:rPr>
          <w:rFonts w:ascii="Arial Narrow" w:hAnsi="Arial Narrow" w:cs="Arial"/>
          <w:sz w:val="16"/>
          <w:szCs w:val="16"/>
          <w:vertAlign w:val="superscript"/>
          <w:lang w:val="bs-Latn-BA"/>
        </w:rPr>
        <w:footnoteRef/>
      </w:r>
      <w:r w:rsidRPr="00761544">
        <w:rPr>
          <w:rFonts w:ascii="Arial Narrow" w:hAnsi="Arial Narrow" w:cs="Arial"/>
          <w:sz w:val="16"/>
          <w:szCs w:val="16"/>
          <w:lang w:val="bs-Latn-BA"/>
        </w:rPr>
        <w:t xml:space="preserve"> </w:t>
      </w:r>
      <w:r w:rsidRPr="00761544">
        <w:rPr>
          <w:rFonts w:ascii="Arial Narrow" w:hAnsi="Arial Narrow" w:cs="Arial"/>
          <w:sz w:val="16"/>
          <w:szCs w:val="16"/>
          <w:lang w:val="bs-Latn-BA"/>
        </w:rPr>
        <w:t>Dokument okvirnog budžeta Federacije BiH za period 202</w:t>
      </w:r>
      <w:r>
        <w:rPr>
          <w:rFonts w:ascii="Arial Narrow" w:hAnsi="Arial Narrow" w:cs="Arial"/>
          <w:sz w:val="16"/>
          <w:szCs w:val="16"/>
          <w:lang w:val="bs-Latn-BA"/>
        </w:rPr>
        <w:t>2</w:t>
      </w:r>
      <w:r w:rsidRPr="00761544">
        <w:rPr>
          <w:rFonts w:ascii="Arial Narrow" w:hAnsi="Arial Narrow" w:cs="Arial"/>
          <w:sz w:val="16"/>
          <w:szCs w:val="16"/>
          <w:lang w:val="bs-Latn-BA"/>
        </w:rPr>
        <w:t>. – 202</w:t>
      </w:r>
      <w:r>
        <w:rPr>
          <w:rFonts w:ascii="Arial Narrow" w:hAnsi="Arial Narrow" w:cs="Arial"/>
          <w:sz w:val="16"/>
          <w:szCs w:val="16"/>
          <w:lang w:val="bs-Latn-BA"/>
        </w:rPr>
        <w:t>4</w:t>
      </w:r>
      <w:r w:rsidRPr="00761544">
        <w:rPr>
          <w:rFonts w:ascii="Arial Narrow" w:hAnsi="Arial Narrow" w:cs="Arial"/>
          <w:sz w:val="16"/>
          <w:szCs w:val="16"/>
          <w:lang w:val="bs-Latn-BA"/>
        </w:rPr>
        <w:t>. godine, Sarajevo, septembar  2020. godine</w:t>
      </w:r>
    </w:p>
  </w:footnote>
  <w:footnote w:id="11">
    <w:p w14:paraId="49912E83" w14:textId="3EA088A7" w:rsidR="0000223F" w:rsidRPr="00266C36" w:rsidRDefault="0000223F" w:rsidP="00761544">
      <w:pPr>
        <w:pStyle w:val="FootnoteText"/>
        <w:spacing w:after="0"/>
        <w:rPr>
          <w:rFonts w:ascii="Arial" w:hAnsi="Arial" w:cs="Arial"/>
          <w:lang w:val="bs-Latn-BA"/>
        </w:rPr>
      </w:pPr>
      <w:r w:rsidRPr="00761544">
        <w:rPr>
          <w:rStyle w:val="FootnoteReference"/>
          <w:rFonts w:ascii="Arial Narrow" w:hAnsi="Arial Narrow"/>
          <w:sz w:val="18"/>
        </w:rPr>
        <w:footnoteRef/>
      </w:r>
      <w:r w:rsidRPr="00761544">
        <w:rPr>
          <w:rFonts w:ascii="Arial Narrow" w:hAnsi="Arial Narrow"/>
        </w:rPr>
        <w:t xml:space="preserve"> </w:t>
      </w:r>
      <w:r w:rsidRPr="003618B1">
        <w:rPr>
          <w:rFonts w:ascii="Arial Narrow" w:hAnsi="Arial Narrow" w:cs="Arial"/>
          <w:sz w:val="16"/>
          <w:szCs w:val="16"/>
          <w:lang w:val="bs-Latn-BA"/>
        </w:rPr>
        <w:t xml:space="preserve">Izvor: CBBH, preračun izvršen prema kursu USD </w:t>
      </w:r>
      <w:r w:rsidRPr="00D912D1">
        <w:rPr>
          <w:rFonts w:ascii="Arial Narrow" w:hAnsi="Arial Narrow" w:cs="Arial"/>
          <w:sz w:val="16"/>
          <w:szCs w:val="16"/>
          <w:lang w:val="bs-Latn-BA"/>
        </w:rPr>
        <w:t>na dan 31.12.</w:t>
      </w:r>
      <w:r w:rsidRPr="00F1630F">
        <w:rPr>
          <w:rFonts w:ascii="Arial Narrow" w:hAnsi="Arial Narrow" w:cs="Arial"/>
          <w:sz w:val="16"/>
          <w:szCs w:val="16"/>
          <w:lang w:val="bs-Latn-BA"/>
        </w:rPr>
        <w:t>2021. godine</w:t>
      </w:r>
    </w:p>
  </w:footnote>
  <w:footnote w:id="12">
    <w:p w14:paraId="61B232B3" w14:textId="77777777" w:rsidR="0000223F" w:rsidRPr="00D912D1" w:rsidRDefault="0000223F" w:rsidP="009406F3">
      <w:pPr>
        <w:pStyle w:val="FootnoteText"/>
        <w:spacing w:after="0"/>
        <w:jc w:val="both"/>
        <w:rPr>
          <w:rFonts w:ascii="Arial Narrow" w:hAnsi="Arial Narrow" w:cs="Arial"/>
          <w:sz w:val="16"/>
          <w:szCs w:val="16"/>
          <w:lang w:val="bs-Latn-BA"/>
        </w:rPr>
      </w:pPr>
      <w:r w:rsidRPr="00741FF9">
        <w:rPr>
          <w:rStyle w:val="FootnoteReference"/>
          <w:rFonts w:ascii="Arial Narrow" w:hAnsi="Arial Narrow"/>
          <w:sz w:val="16"/>
          <w:szCs w:val="16"/>
        </w:rPr>
        <w:footnoteRef/>
      </w:r>
      <w:r w:rsidRPr="00741FF9">
        <w:rPr>
          <w:rFonts w:ascii="Arial Narrow" w:hAnsi="Arial Narrow"/>
          <w:sz w:val="16"/>
          <w:szCs w:val="16"/>
        </w:rPr>
        <w:t xml:space="preserve"> </w:t>
      </w:r>
      <w:r w:rsidRPr="00741FF9">
        <w:rPr>
          <w:rFonts w:ascii="Arial Narrow" w:hAnsi="Arial Narrow" w:cs="Arial"/>
          <w:sz w:val="16"/>
          <w:szCs w:val="16"/>
          <w:lang w:val="bs-Latn-BA"/>
        </w:rPr>
        <w:t xml:space="preserve">Prema podacima jedinica za </w:t>
      </w:r>
      <w:r w:rsidRPr="00D912D1">
        <w:rPr>
          <w:rFonts w:ascii="Arial Narrow" w:hAnsi="Arial Narrow" w:cs="Arial"/>
          <w:sz w:val="16"/>
          <w:szCs w:val="16"/>
          <w:lang w:val="bs-Latn-BA"/>
        </w:rPr>
        <w:t>implementaciju projekata</w:t>
      </w:r>
    </w:p>
  </w:footnote>
  <w:footnote w:id="13">
    <w:p w14:paraId="0C4FF870" w14:textId="3C28BC58" w:rsidR="0000223F" w:rsidRPr="00BF51BB" w:rsidRDefault="0000223F" w:rsidP="009406F3">
      <w:pPr>
        <w:pStyle w:val="FootnoteText"/>
        <w:spacing w:after="0" w:line="240" w:lineRule="auto"/>
        <w:jc w:val="both"/>
        <w:rPr>
          <w:rFonts w:ascii="Arial Narrow" w:hAnsi="Arial Narrow" w:cs="Arial"/>
          <w:sz w:val="16"/>
          <w:szCs w:val="16"/>
          <w:lang w:val="bs-Latn-BA"/>
        </w:rPr>
      </w:pPr>
      <w:r w:rsidRPr="00D912D1">
        <w:rPr>
          <w:rStyle w:val="FootnoteReference"/>
          <w:rFonts w:ascii="Arial Narrow" w:hAnsi="Arial Narrow" w:cs="Arial"/>
          <w:sz w:val="16"/>
          <w:szCs w:val="16"/>
        </w:rPr>
        <w:footnoteRef/>
      </w:r>
      <w:r w:rsidRPr="00073673">
        <w:rPr>
          <w:rFonts w:ascii="Arial Narrow" w:hAnsi="Arial Narrow" w:cs="Arial"/>
          <w:sz w:val="16"/>
          <w:szCs w:val="16"/>
        </w:rPr>
        <w:t xml:space="preserve"> </w:t>
      </w:r>
      <w:r w:rsidRPr="00BF51BB">
        <w:rPr>
          <w:rFonts w:ascii="Arial Narrow" w:hAnsi="Arial Narrow" w:cs="Arial"/>
          <w:sz w:val="16"/>
          <w:szCs w:val="16"/>
          <w:lang w:val="bs-Latn-BA"/>
        </w:rPr>
        <w:t>Preračun izvršen prema kursu USD : KM na dan 31.12.2021. godine (1USD=1,725631 KM)</w:t>
      </w:r>
    </w:p>
  </w:footnote>
  <w:footnote w:id="14">
    <w:p w14:paraId="3A2038DA" w14:textId="77777777" w:rsidR="0000223F" w:rsidRPr="00214C62" w:rsidRDefault="0000223F" w:rsidP="003E073D">
      <w:pPr>
        <w:pStyle w:val="FootnoteText"/>
        <w:spacing w:after="0" w:line="240" w:lineRule="auto"/>
        <w:rPr>
          <w:rFonts w:ascii="Arial" w:hAnsi="Arial" w:cs="Arial"/>
          <w:sz w:val="16"/>
          <w:szCs w:val="16"/>
        </w:rPr>
      </w:pPr>
      <w:r w:rsidRPr="00214C62">
        <w:rPr>
          <w:rStyle w:val="FootnoteReference"/>
          <w:rFonts w:ascii="Arial" w:hAnsi="Arial" w:cs="Arial"/>
          <w:sz w:val="16"/>
          <w:szCs w:val="16"/>
        </w:rPr>
        <w:footnoteRef/>
      </w:r>
      <w:r w:rsidRPr="00214C62">
        <w:rPr>
          <w:rFonts w:ascii="Arial" w:hAnsi="Arial" w:cs="Arial"/>
          <w:sz w:val="16"/>
          <w:szCs w:val="16"/>
        </w:rPr>
        <w:t xml:space="preserve"> </w:t>
      </w:r>
      <w:r w:rsidRPr="00214C62">
        <w:rPr>
          <w:rFonts w:ascii="Arial" w:hAnsi="Arial" w:cs="Arial"/>
          <w:sz w:val="16"/>
          <w:szCs w:val="16"/>
        </w:rPr>
        <w:t xml:space="preserve">London Interbank Offered Rate </w:t>
      </w:r>
    </w:p>
  </w:footnote>
  <w:footnote w:id="15">
    <w:p w14:paraId="0131D120" w14:textId="77777777" w:rsidR="0000223F" w:rsidRPr="002B6A7D" w:rsidRDefault="0000223F" w:rsidP="003E073D">
      <w:pPr>
        <w:pStyle w:val="FootnoteText"/>
        <w:spacing w:after="0" w:line="240" w:lineRule="auto"/>
      </w:pPr>
      <w:r w:rsidRPr="00214C62">
        <w:rPr>
          <w:rStyle w:val="FootnoteReference"/>
          <w:rFonts w:ascii="Arial" w:hAnsi="Arial" w:cs="Arial"/>
          <w:sz w:val="16"/>
          <w:szCs w:val="16"/>
        </w:rPr>
        <w:footnoteRef/>
      </w:r>
      <w:r w:rsidRPr="00214C62">
        <w:rPr>
          <w:rFonts w:ascii="Arial" w:hAnsi="Arial" w:cs="Arial"/>
          <w:sz w:val="16"/>
          <w:szCs w:val="16"/>
        </w:rPr>
        <w:t xml:space="preserve"> Euro </w:t>
      </w:r>
      <w:r w:rsidRPr="00214C62">
        <w:rPr>
          <w:rFonts w:ascii="Arial" w:hAnsi="Arial" w:cs="Arial"/>
          <w:sz w:val="16"/>
          <w:szCs w:val="16"/>
        </w:rPr>
        <w:t>Interbank Offered Rate</w:t>
      </w:r>
    </w:p>
  </w:footnote>
  <w:footnote w:id="16">
    <w:p w14:paraId="2F25F954" w14:textId="71B23749" w:rsidR="0000223F" w:rsidRPr="00073673" w:rsidRDefault="0000223F" w:rsidP="00C83159">
      <w:pPr>
        <w:pStyle w:val="FootnoteText"/>
        <w:spacing w:after="0" w:line="240" w:lineRule="auto"/>
        <w:rPr>
          <w:rFonts w:ascii="Arial Narrow" w:hAnsi="Arial Narrow" w:cs="Arial"/>
          <w:sz w:val="16"/>
        </w:rPr>
      </w:pPr>
      <w:r w:rsidRPr="00A97D61">
        <w:rPr>
          <w:rStyle w:val="FootnoteReference"/>
          <w:rFonts w:ascii="Arial Narrow" w:hAnsi="Arial Narrow" w:cs="Arial"/>
          <w:sz w:val="16"/>
        </w:rPr>
        <w:footnoteRef/>
      </w:r>
      <w:r w:rsidRPr="00A97D61">
        <w:rPr>
          <w:rFonts w:ascii="Arial Narrow" w:hAnsi="Arial Narrow" w:cs="Arial"/>
          <w:sz w:val="16"/>
        </w:rPr>
        <w:t xml:space="preserve"> Standard </w:t>
      </w:r>
      <w:r w:rsidRPr="00A97D61">
        <w:rPr>
          <w:rFonts w:ascii="Arial Narrow" w:hAnsi="Arial Narrow" w:cs="Arial"/>
          <w:sz w:val="16"/>
        </w:rPr>
        <w:t xml:space="preserve">and Poor's – agencija za procjenu kreditnog </w:t>
      </w:r>
      <w:r w:rsidRPr="00D912D1">
        <w:rPr>
          <w:rFonts w:ascii="Arial Narrow" w:hAnsi="Arial Narrow" w:cs="Arial"/>
          <w:sz w:val="16"/>
        </w:rPr>
        <w:t>rejtinga</w:t>
      </w:r>
      <w:r w:rsidRPr="00073673">
        <w:rPr>
          <w:rFonts w:ascii="Arial Narrow" w:hAnsi="Arial Narrow" w:cs="Arial"/>
          <w:sz w:val="16"/>
        </w:rPr>
        <w:t xml:space="preserve">, rejting potvrđen </w:t>
      </w:r>
      <w:r w:rsidRPr="00BF51BB">
        <w:rPr>
          <w:rFonts w:ascii="Arial Narrow" w:hAnsi="Arial Narrow" w:cs="Arial"/>
          <w:sz w:val="16"/>
        </w:rPr>
        <w:t>04</w:t>
      </w:r>
      <w:r w:rsidRPr="00D912D1">
        <w:rPr>
          <w:rFonts w:ascii="Arial Narrow" w:hAnsi="Arial Narrow" w:cs="Arial"/>
          <w:sz w:val="16"/>
        </w:rPr>
        <w:t>.0</w:t>
      </w:r>
      <w:r w:rsidRPr="00BF51BB">
        <w:rPr>
          <w:rFonts w:ascii="Arial Narrow" w:hAnsi="Arial Narrow" w:cs="Arial"/>
          <w:sz w:val="16"/>
        </w:rPr>
        <w:t>2</w:t>
      </w:r>
      <w:r w:rsidRPr="00D912D1">
        <w:rPr>
          <w:rFonts w:ascii="Arial Narrow" w:hAnsi="Arial Narrow" w:cs="Arial"/>
          <w:sz w:val="16"/>
        </w:rPr>
        <w:t>.202</w:t>
      </w:r>
      <w:r w:rsidRPr="00BF51BB">
        <w:rPr>
          <w:rFonts w:ascii="Arial Narrow" w:hAnsi="Arial Narrow" w:cs="Arial"/>
          <w:sz w:val="16"/>
        </w:rPr>
        <w:t>2</w:t>
      </w:r>
      <w:r w:rsidRPr="00D912D1">
        <w:rPr>
          <w:rFonts w:ascii="Arial Narrow" w:hAnsi="Arial Narrow" w:cs="Arial"/>
          <w:sz w:val="16"/>
        </w:rPr>
        <w:t>. godine</w:t>
      </w:r>
    </w:p>
  </w:footnote>
  <w:footnote w:id="17">
    <w:p w14:paraId="5EDAD013" w14:textId="326A1E9F" w:rsidR="0000223F" w:rsidRPr="00073673" w:rsidRDefault="0000223F" w:rsidP="00C83159">
      <w:pPr>
        <w:pStyle w:val="FootnoteText"/>
        <w:spacing w:after="0" w:line="240" w:lineRule="auto"/>
        <w:rPr>
          <w:rFonts w:ascii="Arial Narrow" w:hAnsi="Arial Narrow"/>
        </w:rPr>
      </w:pPr>
      <w:r w:rsidRPr="00073673">
        <w:rPr>
          <w:rStyle w:val="FootnoteReference"/>
          <w:rFonts w:ascii="Arial Narrow" w:hAnsi="Arial Narrow" w:cs="Arial"/>
          <w:sz w:val="16"/>
        </w:rPr>
        <w:footnoteRef/>
      </w:r>
      <w:r w:rsidRPr="00073673">
        <w:rPr>
          <w:rFonts w:ascii="Arial Narrow" w:hAnsi="Arial Narrow" w:cs="Arial"/>
          <w:sz w:val="16"/>
        </w:rPr>
        <w:t xml:space="preserve"> </w:t>
      </w:r>
      <w:r w:rsidRPr="00073673">
        <w:rPr>
          <w:rFonts w:ascii="Arial Narrow" w:eastAsia="Times New Roman" w:hAnsi="Arial Narrow" w:cs="Arial"/>
          <w:sz w:val="16"/>
          <w:lang w:eastAsia="bs-Latn-BA"/>
        </w:rPr>
        <w:t xml:space="preserve">Moody's Investors Service - </w:t>
      </w:r>
      <w:r w:rsidRPr="00073673">
        <w:rPr>
          <w:rFonts w:ascii="Arial Narrow" w:hAnsi="Arial Narrow" w:cs="Arial"/>
          <w:sz w:val="16"/>
        </w:rPr>
        <w:t>agencija za procjenu kreditnog rejtinga, potvrđen rejting 21.8.2020. godine</w:t>
      </w:r>
    </w:p>
  </w:footnote>
  <w:footnote w:id="18">
    <w:p w14:paraId="0B6D4A76" w14:textId="45CD34F5" w:rsidR="0000223F" w:rsidRPr="003C2CA0" w:rsidRDefault="0000223F" w:rsidP="003C2CA0">
      <w:pPr>
        <w:pStyle w:val="FootnoteText"/>
        <w:spacing w:after="0"/>
        <w:rPr>
          <w:lang w:val="bs-Latn-BA"/>
        </w:rPr>
      </w:pPr>
      <w:r w:rsidRPr="00073673">
        <w:rPr>
          <w:rStyle w:val="FootnoteReference"/>
          <w:rFonts w:ascii="Arial Narrow" w:hAnsi="Arial Narrow" w:cs="Arial"/>
          <w:sz w:val="16"/>
        </w:rPr>
        <w:footnoteRef/>
      </w:r>
      <w:r w:rsidRPr="00073673">
        <w:rPr>
          <w:rStyle w:val="FootnoteReference"/>
          <w:rFonts w:ascii="Arial Narrow" w:hAnsi="Arial Narrow" w:cs="Arial"/>
          <w:sz w:val="16"/>
        </w:rPr>
        <w:t xml:space="preserve"> </w:t>
      </w:r>
      <w:r w:rsidRPr="00073673">
        <w:rPr>
          <w:rFonts w:ascii="Arial Narrow" w:eastAsia="Times New Roman" w:hAnsi="Arial Narrow" w:cs="Arial"/>
          <w:sz w:val="16"/>
          <w:lang w:eastAsia="bs-Latn-BA"/>
        </w:rPr>
        <w:t>Bloomberg, podaci ažurirani</w:t>
      </w:r>
      <w:r w:rsidRPr="00BF51BB">
        <w:rPr>
          <w:rFonts w:ascii="Arial Narrow" w:eastAsia="Times New Roman" w:hAnsi="Arial Narrow" w:cs="Arial"/>
          <w:sz w:val="16"/>
          <w:lang w:eastAsia="bs-Latn-BA"/>
        </w:rPr>
        <w:t xml:space="preserve"> 20</w:t>
      </w:r>
      <w:r w:rsidRPr="00D912D1">
        <w:rPr>
          <w:rFonts w:ascii="Arial Narrow" w:eastAsia="Times New Roman" w:hAnsi="Arial Narrow" w:cs="Arial"/>
          <w:sz w:val="16"/>
          <w:lang w:eastAsia="bs-Latn-BA"/>
        </w:rPr>
        <w:t>.</w:t>
      </w:r>
      <w:r w:rsidRPr="00BF51BB">
        <w:rPr>
          <w:rFonts w:ascii="Arial Narrow" w:eastAsia="Times New Roman" w:hAnsi="Arial Narrow" w:cs="Arial"/>
          <w:sz w:val="16"/>
          <w:lang w:eastAsia="bs-Latn-BA"/>
        </w:rPr>
        <w:t>01</w:t>
      </w:r>
      <w:r w:rsidRPr="00073673">
        <w:rPr>
          <w:rFonts w:ascii="Arial Narrow" w:eastAsia="Times New Roman" w:hAnsi="Arial Narrow" w:cs="Arial"/>
          <w:sz w:val="16"/>
          <w:lang w:eastAsia="bs-Latn-BA"/>
        </w:rPr>
        <w:t>.202</w:t>
      </w:r>
      <w:r w:rsidRPr="00BF51BB">
        <w:rPr>
          <w:rFonts w:ascii="Arial Narrow" w:eastAsia="Times New Roman" w:hAnsi="Arial Narrow" w:cs="Arial"/>
          <w:sz w:val="16"/>
          <w:lang w:eastAsia="bs-Latn-BA"/>
        </w:rPr>
        <w:t>2</w:t>
      </w:r>
      <w:r w:rsidRPr="00073673">
        <w:rPr>
          <w:rFonts w:ascii="Arial Narrow" w:eastAsia="Times New Roman" w:hAnsi="Arial Narrow" w:cs="Arial"/>
          <w:sz w:val="16"/>
          <w:lang w:eastAsia="bs-Latn-BA"/>
        </w:rPr>
        <w:t>. godine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E10"/>
    <w:multiLevelType w:val="multilevel"/>
    <w:tmpl w:val="A5D463B6"/>
    <w:lvl w:ilvl="0">
      <w:start w:val="7"/>
      <w:numFmt w:val="decimal"/>
      <w:lvlText w:val="%1."/>
      <w:lvlJc w:val="left"/>
      <w:pPr>
        <w:ind w:left="396" w:hanging="396"/>
      </w:pPr>
      <w:rPr>
        <w:rFonts w:hint="default"/>
      </w:rPr>
    </w:lvl>
    <w:lvl w:ilvl="1">
      <w:start w:val="2"/>
      <w:numFmt w:val="decimal"/>
      <w:lvlText w:val="%1.%2."/>
      <w:lvlJc w:val="left"/>
      <w:pPr>
        <w:ind w:left="1364" w:hanging="720"/>
      </w:pPr>
      <w:rPr>
        <w:rFonts w:hint="default"/>
        <w:sz w:val="24"/>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
    <w:nsid w:val="0D8A0B87"/>
    <w:multiLevelType w:val="hybridMultilevel"/>
    <w:tmpl w:val="D3A06104"/>
    <w:lvl w:ilvl="0" w:tplc="70AC0FBA">
      <w:start w:val="1"/>
      <w:numFmt w:val="decimal"/>
      <w:lvlText w:val="%1."/>
      <w:lvlJc w:val="left"/>
      <w:pPr>
        <w:ind w:left="975" w:hanging="61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05CA9"/>
    <w:multiLevelType w:val="hybridMultilevel"/>
    <w:tmpl w:val="23D4EEAA"/>
    <w:lvl w:ilvl="0" w:tplc="0EA404E0">
      <w:start w:val="1"/>
      <w:numFmt w:val="lowerRoman"/>
      <w:pStyle w:val="ParagraphNumbering"/>
      <w:lvlText w:val="%1."/>
      <w:lvlJc w:val="left"/>
      <w:pPr>
        <w:tabs>
          <w:tab w:val="num" w:pos="3510"/>
        </w:tabs>
        <w:ind w:left="2790" w:firstLine="0"/>
      </w:pPr>
      <w:rPr>
        <w:rFonts w:hint="default"/>
        <w:b w:val="0"/>
      </w:rPr>
    </w:lvl>
    <w:lvl w:ilvl="1" w:tplc="04090019">
      <w:start w:val="1"/>
      <w:numFmt w:val="lowerLetter"/>
      <w:lvlText w:val="%2."/>
      <w:lvlJc w:val="left"/>
      <w:pPr>
        <w:tabs>
          <w:tab w:val="num" w:pos="-6030"/>
        </w:tabs>
        <w:ind w:left="-603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3150"/>
        </w:tabs>
        <w:ind w:left="-3150" w:hanging="180"/>
      </w:pPr>
    </w:lvl>
    <w:lvl w:ilvl="6" w:tplc="294A8154" w:tentative="1">
      <w:start w:val="1"/>
      <w:numFmt w:val="decimal"/>
      <w:lvlText w:val="%7."/>
      <w:lvlJc w:val="left"/>
      <w:pPr>
        <w:tabs>
          <w:tab w:val="num" w:pos="-2430"/>
        </w:tabs>
        <w:ind w:left="-2430" w:hanging="360"/>
      </w:pPr>
    </w:lvl>
    <w:lvl w:ilvl="7" w:tplc="04090019" w:tentative="1">
      <w:start w:val="1"/>
      <w:numFmt w:val="lowerLetter"/>
      <w:lvlText w:val="%8."/>
      <w:lvlJc w:val="left"/>
      <w:pPr>
        <w:tabs>
          <w:tab w:val="num" w:pos="-1710"/>
        </w:tabs>
        <w:ind w:left="-1710" w:hanging="360"/>
      </w:pPr>
    </w:lvl>
    <w:lvl w:ilvl="8" w:tplc="0409001B" w:tentative="1">
      <w:start w:val="1"/>
      <w:numFmt w:val="lowerRoman"/>
      <w:lvlText w:val="%9."/>
      <w:lvlJc w:val="right"/>
      <w:pPr>
        <w:tabs>
          <w:tab w:val="num" w:pos="-990"/>
        </w:tabs>
        <w:ind w:left="-990" w:hanging="180"/>
      </w:pPr>
    </w:lvl>
  </w:abstractNum>
  <w:abstractNum w:abstractNumId="3">
    <w:nsid w:val="1D19102A"/>
    <w:multiLevelType w:val="multilevel"/>
    <w:tmpl w:val="2812A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07A2F0E"/>
    <w:multiLevelType w:val="hybridMultilevel"/>
    <w:tmpl w:val="CDE2F6C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2B8F3C4F"/>
    <w:multiLevelType w:val="hybridMultilevel"/>
    <w:tmpl w:val="EB6293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38DF7868"/>
    <w:multiLevelType w:val="hybridMultilevel"/>
    <w:tmpl w:val="F0B041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38EB5397"/>
    <w:multiLevelType w:val="hybridMultilevel"/>
    <w:tmpl w:val="1C30B252"/>
    <w:lvl w:ilvl="0" w:tplc="0A90AC24">
      <w:start w:val="1"/>
      <w:numFmt w:val="bullet"/>
      <w:lvlText w:val=""/>
      <w:lvlJc w:val="left"/>
      <w:pPr>
        <w:ind w:left="1495"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C2672"/>
    <w:multiLevelType w:val="multilevel"/>
    <w:tmpl w:val="33B28158"/>
    <w:lvl w:ilvl="0">
      <w:start w:val="4"/>
      <w:numFmt w:val="decimal"/>
      <w:lvlText w:val="%1"/>
      <w:lvlJc w:val="left"/>
      <w:pPr>
        <w:ind w:left="360" w:hanging="360"/>
      </w:pPr>
      <w:rPr>
        <w:rFonts w:hint="default"/>
      </w:rPr>
    </w:lvl>
    <w:lvl w:ilvl="1">
      <w:start w:val="2"/>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9">
    <w:nsid w:val="3F4215FC"/>
    <w:multiLevelType w:val="hybridMultilevel"/>
    <w:tmpl w:val="33E8B8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8A0C5388">
      <w:start w:val="6"/>
      <w:numFmt w:val="bullet"/>
      <w:lvlText w:val="-"/>
      <w:lvlJc w:val="left"/>
      <w:pPr>
        <w:ind w:left="2160" w:hanging="360"/>
      </w:pPr>
      <w:rPr>
        <w:rFonts w:ascii="Arial" w:eastAsiaTheme="minorHAnsi" w:hAnsi="Arial" w:cs="Arial"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40180914"/>
    <w:multiLevelType w:val="multilevel"/>
    <w:tmpl w:val="D45AFC1E"/>
    <w:lvl w:ilvl="0">
      <w:start w:val="3"/>
      <w:numFmt w:val="decimal"/>
      <w:lvlText w:val="%1."/>
      <w:lvlJc w:val="left"/>
      <w:pPr>
        <w:ind w:left="420" w:hanging="420"/>
      </w:pPr>
      <w:rPr>
        <w:rFonts w:hint="default"/>
        <w:sz w:val="24"/>
      </w:rPr>
    </w:lvl>
    <w:lvl w:ilvl="1">
      <w:start w:val="1"/>
      <w:numFmt w:val="decimal"/>
      <w:lvlText w:val="%1.%2."/>
      <w:lvlJc w:val="left"/>
      <w:pPr>
        <w:ind w:left="1004" w:hanging="720"/>
      </w:pPr>
      <w:rPr>
        <w:rFonts w:hint="default"/>
        <w:sz w:val="24"/>
      </w:rPr>
    </w:lvl>
    <w:lvl w:ilvl="2">
      <w:start w:val="1"/>
      <w:numFmt w:val="decimal"/>
      <w:lvlText w:val="%1.%2.%3."/>
      <w:lvlJc w:val="left"/>
      <w:pPr>
        <w:ind w:left="1288" w:hanging="720"/>
      </w:pPr>
      <w:rPr>
        <w:rFonts w:ascii="Arial" w:hAnsi="Arial" w:cs="Arial"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45FF10FE"/>
    <w:multiLevelType w:val="hybridMultilevel"/>
    <w:tmpl w:val="DB44531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4BFD708C"/>
    <w:multiLevelType w:val="hybridMultilevel"/>
    <w:tmpl w:val="F30222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528757AB"/>
    <w:multiLevelType w:val="hybridMultilevel"/>
    <w:tmpl w:val="EDD6D5F0"/>
    <w:lvl w:ilvl="0" w:tplc="0A90AC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603E4"/>
    <w:multiLevelType w:val="hybridMultilevel"/>
    <w:tmpl w:val="B56C664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0AEC85B6">
      <w:start w:val="2"/>
      <w:numFmt w:val="bullet"/>
      <w:lvlText w:val="-"/>
      <w:lvlJc w:val="left"/>
      <w:pPr>
        <w:ind w:left="2160" w:hanging="360"/>
      </w:pPr>
      <w:rPr>
        <w:rFonts w:ascii="Times New Roman" w:eastAsia="Times New Roman" w:hAnsi="Times New Roman" w:cs="Times New Roman" w:hint="default"/>
        <w:sz w:val="14"/>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CFD1424"/>
    <w:multiLevelType w:val="hybridMultilevel"/>
    <w:tmpl w:val="9BD4B25A"/>
    <w:lvl w:ilvl="0" w:tplc="08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65437647"/>
    <w:multiLevelType w:val="multilevel"/>
    <w:tmpl w:val="7CAE88F0"/>
    <w:lvl w:ilvl="0">
      <w:start w:val="4"/>
      <w:numFmt w:val="decimal"/>
      <w:lvlText w:val="%1."/>
      <w:lvlJc w:val="left"/>
      <w:pPr>
        <w:ind w:left="360" w:hanging="360"/>
      </w:pPr>
      <w:rPr>
        <w:rFonts w:hint="default"/>
      </w:rPr>
    </w:lvl>
    <w:lvl w:ilvl="1">
      <w:start w:val="4"/>
      <w:numFmt w:val="decimal"/>
      <w:lvlText w:val="%1.%2."/>
      <w:lvlJc w:val="left"/>
      <w:pPr>
        <w:ind w:left="1004" w:hanging="72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65DA2EF6"/>
    <w:multiLevelType w:val="hybridMultilevel"/>
    <w:tmpl w:val="7AA0DE02"/>
    <w:lvl w:ilvl="0" w:tplc="8A0C5388">
      <w:start w:val="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6EE92BD7"/>
    <w:multiLevelType w:val="hybridMultilevel"/>
    <w:tmpl w:val="26FE387E"/>
    <w:lvl w:ilvl="0" w:tplc="0A90AC24">
      <w:start w:val="1"/>
      <w:numFmt w:val="bullet"/>
      <w:lvlText w:val=""/>
      <w:lvlJc w:val="left"/>
      <w:pPr>
        <w:ind w:left="1353" w:hanging="360"/>
      </w:pPr>
      <w:rPr>
        <w:rFonts w:ascii="Symbol" w:hAnsi="Symbol" w:hint="default"/>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nsid w:val="723A7567"/>
    <w:multiLevelType w:val="hybridMultilevel"/>
    <w:tmpl w:val="9F002D22"/>
    <w:lvl w:ilvl="0" w:tplc="8A0C5388">
      <w:start w:val="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748A1842"/>
    <w:multiLevelType w:val="hybridMultilevel"/>
    <w:tmpl w:val="7E027ED2"/>
    <w:lvl w:ilvl="0" w:tplc="0A90AC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A1D9F"/>
    <w:multiLevelType w:val="hybridMultilevel"/>
    <w:tmpl w:val="1D6E8564"/>
    <w:lvl w:ilvl="0" w:tplc="04381C9E">
      <w:start w:val="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D5201"/>
    <w:multiLevelType w:val="multilevel"/>
    <w:tmpl w:val="7E8AEAB8"/>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A240101"/>
    <w:multiLevelType w:val="multilevel"/>
    <w:tmpl w:val="5464126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ascii="Arial" w:hAnsi="Arial" w:cs="Arial" w:hint="default"/>
        <w:b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3"/>
  </w:num>
  <w:num w:numId="2">
    <w:abstractNumId w:val="22"/>
  </w:num>
  <w:num w:numId="3">
    <w:abstractNumId w:val="2"/>
  </w:num>
  <w:num w:numId="4">
    <w:abstractNumId w:val="21"/>
  </w:num>
  <w:num w:numId="5">
    <w:abstractNumId w:val="0"/>
  </w:num>
  <w:num w:numId="6">
    <w:abstractNumId w:val="5"/>
  </w:num>
  <w:num w:numId="7">
    <w:abstractNumId w:val="6"/>
  </w:num>
  <w:num w:numId="8">
    <w:abstractNumId w:val="17"/>
  </w:num>
  <w:num w:numId="9">
    <w:abstractNumId w:val="19"/>
  </w:num>
  <w:num w:numId="10">
    <w:abstractNumId w:val="10"/>
  </w:num>
  <w:num w:numId="11">
    <w:abstractNumId w:val="16"/>
  </w:num>
  <w:num w:numId="12">
    <w:abstractNumId w:val="8"/>
  </w:num>
  <w:num w:numId="13">
    <w:abstractNumId w:val="15"/>
  </w:num>
  <w:num w:numId="14">
    <w:abstractNumId w:val="12"/>
  </w:num>
  <w:num w:numId="15">
    <w:abstractNumId w:val="14"/>
  </w:num>
  <w:num w:numId="16">
    <w:abstractNumId w:val="9"/>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1"/>
  </w:num>
  <w:num w:numId="25">
    <w:abstractNumId w:val="2"/>
  </w:num>
  <w:num w:numId="26">
    <w:abstractNumId w:val="1"/>
  </w:num>
  <w:num w:numId="27">
    <w:abstractNumId w:val="4"/>
  </w:num>
  <w:num w:numId="28">
    <w:abstractNumId w:val="13"/>
  </w:num>
  <w:num w:numId="29">
    <w:abstractNumId w:val="18"/>
  </w:num>
  <w:num w:numId="30">
    <w:abstractNumId w:val="7"/>
  </w:num>
  <w:num w:numId="31">
    <w:abstractNumId w:val="20"/>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CC"/>
    <w:rsid w:val="0000223F"/>
    <w:rsid w:val="00004BA7"/>
    <w:rsid w:val="000058B7"/>
    <w:rsid w:val="00006EEB"/>
    <w:rsid w:val="00014D72"/>
    <w:rsid w:val="00014E48"/>
    <w:rsid w:val="000151BF"/>
    <w:rsid w:val="000160E3"/>
    <w:rsid w:val="000172AE"/>
    <w:rsid w:val="00017C6F"/>
    <w:rsid w:val="0002053D"/>
    <w:rsid w:val="000216F3"/>
    <w:rsid w:val="0002209B"/>
    <w:rsid w:val="0002268F"/>
    <w:rsid w:val="00022FDA"/>
    <w:rsid w:val="0002314C"/>
    <w:rsid w:val="0002398E"/>
    <w:rsid w:val="000251A2"/>
    <w:rsid w:val="00026D57"/>
    <w:rsid w:val="0003059C"/>
    <w:rsid w:val="00031D80"/>
    <w:rsid w:val="00032C0C"/>
    <w:rsid w:val="00036543"/>
    <w:rsid w:val="000374C5"/>
    <w:rsid w:val="0004186A"/>
    <w:rsid w:val="00041E96"/>
    <w:rsid w:val="00044728"/>
    <w:rsid w:val="00045C8D"/>
    <w:rsid w:val="00046976"/>
    <w:rsid w:val="0005082C"/>
    <w:rsid w:val="0005082F"/>
    <w:rsid w:val="00050C2A"/>
    <w:rsid w:val="00052461"/>
    <w:rsid w:val="00053C94"/>
    <w:rsid w:val="00055B40"/>
    <w:rsid w:val="00056173"/>
    <w:rsid w:val="00057562"/>
    <w:rsid w:val="00057765"/>
    <w:rsid w:val="000605CA"/>
    <w:rsid w:val="00063242"/>
    <w:rsid w:val="0006330A"/>
    <w:rsid w:val="00063E80"/>
    <w:rsid w:val="0006474C"/>
    <w:rsid w:val="00066616"/>
    <w:rsid w:val="00066640"/>
    <w:rsid w:val="000668BD"/>
    <w:rsid w:val="00066D60"/>
    <w:rsid w:val="00067161"/>
    <w:rsid w:val="000707E3"/>
    <w:rsid w:val="00070C4A"/>
    <w:rsid w:val="000714A5"/>
    <w:rsid w:val="000715AE"/>
    <w:rsid w:val="00073402"/>
    <w:rsid w:val="00073673"/>
    <w:rsid w:val="0007378A"/>
    <w:rsid w:val="00073998"/>
    <w:rsid w:val="00073EBC"/>
    <w:rsid w:val="00074A8C"/>
    <w:rsid w:val="0007589E"/>
    <w:rsid w:val="00075B40"/>
    <w:rsid w:val="00075D03"/>
    <w:rsid w:val="0008077B"/>
    <w:rsid w:val="00082CDD"/>
    <w:rsid w:val="000833C1"/>
    <w:rsid w:val="0008405B"/>
    <w:rsid w:val="000852AD"/>
    <w:rsid w:val="0008535F"/>
    <w:rsid w:val="000856A8"/>
    <w:rsid w:val="00085951"/>
    <w:rsid w:val="000869BA"/>
    <w:rsid w:val="00086BAD"/>
    <w:rsid w:val="00087408"/>
    <w:rsid w:val="00087712"/>
    <w:rsid w:val="000903F3"/>
    <w:rsid w:val="00090C86"/>
    <w:rsid w:val="00091394"/>
    <w:rsid w:val="000919E3"/>
    <w:rsid w:val="0009242F"/>
    <w:rsid w:val="000926BE"/>
    <w:rsid w:val="000933E3"/>
    <w:rsid w:val="00095017"/>
    <w:rsid w:val="000972E3"/>
    <w:rsid w:val="000A0CD6"/>
    <w:rsid w:val="000A3575"/>
    <w:rsid w:val="000A365C"/>
    <w:rsid w:val="000A447F"/>
    <w:rsid w:val="000A4DCF"/>
    <w:rsid w:val="000A52AC"/>
    <w:rsid w:val="000A53DD"/>
    <w:rsid w:val="000A6398"/>
    <w:rsid w:val="000A640D"/>
    <w:rsid w:val="000A7126"/>
    <w:rsid w:val="000A7A58"/>
    <w:rsid w:val="000B1901"/>
    <w:rsid w:val="000B1CD9"/>
    <w:rsid w:val="000B2350"/>
    <w:rsid w:val="000B344E"/>
    <w:rsid w:val="000B425A"/>
    <w:rsid w:val="000B533A"/>
    <w:rsid w:val="000B6F8D"/>
    <w:rsid w:val="000C0822"/>
    <w:rsid w:val="000C21C9"/>
    <w:rsid w:val="000C2740"/>
    <w:rsid w:val="000C3257"/>
    <w:rsid w:val="000C3A6F"/>
    <w:rsid w:val="000C3B92"/>
    <w:rsid w:val="000C6751"/>
    <w:rsid w:val="000C6C4E"/>
    <w:rsid w:val="000C7651"/>
    <w:rsid w:val="000D0226"/>
    <w:rsid w:val="000D08B8"/>
    <w:rsid w:val="000D15AD"/>
    <w:rsid w:val="000D1753"/>
    <w:rsid w:val="000D1AB3"/>
    <w:rsid w:val="000D1E62"/>
    <w:rsid w:val="000D3C18"/>
    <w:rsid w:val="000D40D3"/>
    <w:rsid w:val="000D4AB3"/>
    <w:rsid w:val="000D54BA"/>
    <w:rsid w:val="000D56AA"/>
    <w:rsid w:val="000D65EE"/>
    <w:rsid w:val="000D7093"/>
    <w:rsid w:val="000E00C8"/>
    <w:rsid w:val="000E042D"/>
    <w:rsid w:val="000E04A9"/>
    <w:rsid w:val="000E1D7D"/>
    <w:rsid w:val="000E26F9"/>
    <w:rsid w:val="000E2785"/>
    <w:rsid w:val="000E32C9"/>
    <w:rsid w:val="000E38BD"/>
    <w:rsid w:val="000E3CE6"/>
    <w:rsid w:val="000E4023"/>
    <w:rsid w:val="000E4623"/>
    <w:rsid w:val="000E49C9"/>
    <w:rsid w:val="000E59C4"/>
    <w:rsid w:val="000E6EDA"/>
    <w:rsid w:val="000E7281"/>
    <w:rsid w:val="000F0991"/>
    <w:rsid w:val="000F0B2F"/>
    <w:rsid w:val="000F0B87"/>
    <w:rsid w:val="000F134D"/>
    <w:rsid w:val="000F17C2"/>
    <w:rsid w:val="000F2379"/>
    <w:rsid w:val="000F2CF5"/>
    <w:rsid w:val="000F2E3C"/>
    <w:rsid w:val="000F3A6E"/>
    <w:rsid w:val="000F3C4C"/>
    <w:rsid w:val="000F4795"/>
    <w:rsid w:val="000F5CC9"/>
    <w:rsid w:val="000F613D"/>
    <w:rsid w:val="000F795C"/>
    <w:rsid w:val="00100B93"/>
    <w:rsid w:val="00100FC4"/>
    <w:rsid w:val="00101498"/>
    <w:rsid w:val="001015EE"/>
    <w:rsid w:val="00103B88"/>
    <w:rsid w:val="00104779"/>
    <w:rsid w:val="0010729E"/>
    <w:rsid w:val="001079DB"/>
    <w:rsid w:val="001103D5"/>
    <w:rsid w:val="00110F0F"/>
    <w:rsid w:val="00111316"/>
    <w:rsid w:val="00111709"/>
    <w:rsid w:val="00111FA4"/>
    <w:rsid w:val="00112088"/>
    <w:rsid w:val="00112D78"/>
    <w:rsid w:val="001136E6"/>
    <w:rsid w:val="00114128"/>
    <w:rsid w:val="0011468B"/>
    <w:rsid w:val="0011523F"/>
    <w:rsid w:val="001178C5"/>
    <w:rsid w:val="001203DA"/>
    <w:rsid w:val="00120767"/>
    <w:rsid w:val="00120C8F"/>
    <w:rsid w:val="001216F1"/>
    <w:rsid w:val="00121976"/>
    <w:rsid w:val="0012277F"/>
    <w:rsid w:val="00122BBC"/>
    <w:rsid w:val="0012319B"/>
    <w:rsid w:val="001238D0"/>
    <w:rsid w:val="00123AAE"/>
    <w:rsid w:val="00123EA5"/>
    <w:rsid w:val="00124ED1"/>
    <w:rsid w:val="001272D1"/>
    <w:rsid w:val="0013016D"/>
    <w:rsid w:val="00130459"/>
    <w:rsid w:val="00130799"/>
    <w:rsid w:val="00130823"/>
    <w:rsid w:val="00130D09"/>
    <w:rsid w:val="0013138E"/>
    <w:rsid w:val="00131463"/>
    <w:rsid w:val="001314B5"/>
    <w:rsid w:val="001325B0"/>
    <w:rsid w:val="0013274C"/>
    <w:rsid w:val="00132A4E"/>
    <w:rsid w:val="00132C27"/>
    <w:rsid w:val="00133439"/>
    <w:rsid w:val="00133849"/>
    <w:rsid w:val="0013422A"/>
    <w:rsid w:val="001343FD"/>
    <w:rsid w:val="001349F9"/>
    <w:rsid w:val="00134C19"/>
    <w:rsid w:val="00135BDC"/>
    <w:rsid w:val="00135C49"/>
    <w:rsid w:val="001360A9"/>
    <w:rsid w:val="001365B1"/>
    <w:rsid w:val="00137E6B"/>
    <w:rsid w:val="00141F24"/>
    <w:rsid w:val="00142581"/>
    <w:rsid w:val="00142E72"/>
    <w:rsid w:val="00144663"/>
    <w:rsid w:val="001446EC"/>
    <w:rsid w:val="00144B39"/>
    <w:rsid w:val="0014529A"/>
    <w:rsid w:val="001461C4"/>
    <w:rsid w:val="001464BB"/>
    <w:rsid w:val="00146A44"/>
    <w:rsid w:val="00147D0E"/>
    <w:rsid w:val="0015026A"/>
    <w:rsid w:val="00151EBB"/>
    <w:rsid w:val="001536EB"/>
    <w:rsid w:val="0015383B"/>
    <w:rsid w:val="00154166"/>
    <w:rsid w:val="00154490"/>
    <w:rsid w:val="0015495F"/>
    <w:rsid w:val="00154D88"/>
    <w:rsid w:val="0015569E"/>
    <w:rsid w:val="001560D9"/>
    <w:rsid w:val="00156199"/>
    <w:rsid w:val="001562AC"/>
    <w:rsid w:val="0016093C"/>
    <w:rsid w:val="00160FE9"/>
    <w:rsid w:val="001620E4"/>
    <w:rsid w:val="001651A8"/>
    <w:rsid w:val="00165642"/>
    <w:rsid w:val="0016673B"/>
    <w:rsid w:val="00166E3C"/>
    <w:rsid w:val="00167596"/>
    <w:rsid w:val="001676A2"/>
    <w:rsid w:val="00170688"/>
    <w:rsid w:val="0017078D"/>
    <w:rsid w:val="00172876"/>
    <w:rsid w:val="00173874"/>
    <w:rsid w:val="00173E89"/>
    <w:rsid w:val="001751F9"/>
    <w:rsid w:val="001758E4"/>
    <w:rsid w:val="001767FC"/>
    <w:rsid w:val="001768B2"/>
    <w:rsid w:val="001800C5"/>
    <w:rsid w:val="00180EFE"/>
    <w:rsid w:val="001844A7"/>
    <w:rsid w:val="00184EF5"/>
    <w:rsid w:val="001852A8"/>
    <w:rsid w:val="00185371"/>
    <w:rsid w:val="0018601F"/>
    <w:rsid w:val="00186026"/>
    <w:rsid w:val="001902B1"/>
    <w:rsid w:val="001905C4"/>
    <w:rsid w:val="0019081D"/>
    <w:rsid w:val="0019168F"/>
    <w:rsid w:val="001920DF"/>
    <w:rsid w:val="00195A3C"/>
    <w:rsid w:val="0019611B"/>
    <w:rsid w:val="0019620F"/>
    <w:rsid w:val="001965D1"/>
    <w:rsid w:val="00196E02"/>
    <w:rsid w:val="00197573"/>
    <w:rsid w:val="0019781C"/>
    <w:rsid w:val="001978F0"/>
    <w:rsid w:val="001A0168"/>
    <w:rsid w:val="001A052C"/>
    <w:rsid w:val="001A0772"/>
    <w:rsid w:val="001A0ED1"/>
    <w:rsid w:val="001A16B2"/>
    <w:rsid w:val="001A19A4"/>
    <w:rsid w:val="001A2C67"/>
    <w:rsid w:val="001A2E52"/>
    <w:rsid w:val="001A3783"/>
    <w:rsid w:val="001A3F5B"/>
    <w:rsid w:val="001A48FC"/>
    <w:rsid w:val="001A4F71"/>
    <w:rsid w:val="001A5423"/>
    <w:rsid w:val="001A63C6"/>
    <w:rsid w:val="001A7F1E"/>
    <w:rsid w:val="001B007A"/>
    <w:rsid w:val="001B026F"/>
    <w:rsid w:val="001B0367"/>
    <w:rsid w:val="001B0A03"/>
    <w:rsid w:val="001B198A"/>
    <w:rsid w:val="001B2D70"/>
    <w:rsid w:val="001B3184"/>
    <w:rsid w:val="001B36F9"/>
    <w:rsid w:val="001B542A"/>
    <w:rsid w:val="001B6D08"/>
    <w:rsid w:val="001B7F8C"/>
    <w:rsid w:val="001C0754"/>
    <w:rsid w:val="001C0761"/>
    <w:rsid w:val="001C4CD2"/>
    <w:rsid w:val="001C6563"/>
    <w:rsid w:val="001C688B"/>
    <w:rsid w:val="001C6F47"/>
    <w:rsid w:val="001C7485"/>
    <w:rsid w:val="001C7ACF"/>
    <w:rsid w:val="001D035E"/>
    <w:rsid w:val="001D0692"/>
    <w:rsid w:val="001D0D75"/>
    <w:rsid w:val="001D1542"/>
    <w:rsid w:val="001D1E78"/>
    <w:rsid w:val="001D1E7B"/>
    <w:rsid w:val="001D23DF"/>
    <w:rsid w:val="001D264A"/>
    <w:rsid w:val="001D2E44"/>
    <w:rsid w:val="001D2EA3"/>
    <w:rsid w:val="001D61F6"/>
    <w:rsid w:val="001D65EA"/>
    <w:rsid w:val="001E09CF"/>
    <w:rsid w:val="001E148D"/>
    <w:rsid w:val="001E18B8"/>
    <w:rsid w:val="001E1C60"/>
    <w:rsid w:val="001E1D01"/>
    <w:rsid w:val="001E2C57"/>
    <w:rsid w:val="001E33B6"/>
    <w:rsid w:val="001E36D9"/>
    <w:rsid w:val="001E4214"/>
    <w:rsid w:val="001E5685"/>
    <w:rsid w:val="001E60D7"/>
    <w:rsid w:val="001E7233"/>
    <w:rsid w:val="001F04FF"/>
    <w:rsid w:val="001F0D11"/>
    <w:rsid w:val="001F205E"/>
    <w:rsid w:val="001F2341"/>
    <w:rsid w:val="001F30C9"/>
    <w:rsid w:val="001F3E58"/>
    <w:rsid w:val="001F486E"/>
    <w:rsid w:val="001F4948"/>
    <w:rsid w:val="001F542A"/>
    <w:rsid w:val="001F560A"/>
    <w:rsid w:val="001F5662"/>
    <w:rsid w:val="001F668F"/>
    <w:rsid w:val="001F6C54"/>
    <w:rsid w:val="001F6C98"/>
    <w:rsid w:val="001F6E85"/>
    <w:rsid w:val="00200041"/>
    <w:rsid w:val="002009B6"/>
    <w:rsid w:val="002009ED"/>
    <w:rsid w:val="00201322"/>
    <w:rsid w:val="00201345"/>
    <w:rsid w:val="00201350"/>
    <w:rsid w:val="002020C8"/>
    <w:rsid w:val="0020374E"/>
    <w:rsid w:val="00203F74"/>
    <w:rsid w:val="002043A9"/>
    <w:rsid w:val="00205074"/>
    <w:rsid w:val="00205380"/>
    <w:rsid w:val="00214551"/>
    <w:rsid w:val="00214C62"/>
    <w:rsid w:val="00215359"/>
    <w:rsid w:val="00215A4E"/>
    <w:rsid w:val="00215A64"/>
    <w:rsid w:val="00215CCD"/>
    <w:rsid w:val="00221B11"/>
    <w:rsid w:val="00223568"/>
    <w:rsid w:val="00223782"/>
    <w:rsid w:val="00224D49"/>
    <w:rsid w:val="00225AF7"/>
    <w:rsid w:val="00226775"/>
    <w:rsid w:val="00226FA9"/>
    <w:rsid w:val="002313B9"/>
    <w:rsid w:val="002317C5"/>
    <w:rsid w:val="0023226E"/>
    <w:rsid w:val="0023276A"/>
    <w:rsid w:val="002350C4"/>
    <w:rsid w:val="002359D4"/>
    <w:rsid w:val="00236126"/>
    <w:rsid w:val="0023784F"/>
    <w:rsid w:val="00237C2E"/>
    <w:rsid w:val="00241573"/>
    <w:rsid w:val="0024209E"/>
    <w:rsid w:val="00242346"/>
    <w:rsid w:val="00242549"/>
    <w:rsid w:val="00243886"/>
    <w:rsid w:val="002439DD"/>
    <w:rsid w:val="0024541A"/>
    <w:rsid w:val="00245A96"/>
    <w:rsid w:val="00245D76"/>
    <w:rsid w:val="00245EFB"/>
    <w:rsid w:val="002461C4"/>
    <w:rsid w:val="00246AE0"/>
    <w:rsid w:val="00247B59"/>
    <w:rsid w:val="00247BA5"/>
    <w:rsid w:val="002519C6"/>
    <w:rsid w:val="00252B8F"/>
    <w:rsid w:val="00252BB0"/>
    <w:rsid w:val="00254A1F"/>
    <w:rsid w:val="00254BBA"/>
    <w:rsid w:val="00255316"/>
    <w:rsid w:val="002568C1"/>
    <w:rsid w:val="00256B85"/>
    <w:rsid w:val="002575EA"/>
    <w:rsid w:val="002605A0"/>
    <w:rsid w:val="00260D9B"/>
    <w:rsid w:val="00260DBF"/>
    <w:rsid w:val="002614CC"/>
    <w:rsid w:val="00262BC6"/>
    <w:rsid w:val="002652E3"/>
    <w:rsid w:val="002657DA"/>
    <w:rsid w:val="002659B8"/>
    <w:rsid w:val="00265B00"/>
    <w:rsid w:val="002667B9"/>
    <w:rsid w:val="00266C36"/>
    <w:rsid w:val="00267343"/>
    <w:rsid w:val="0027009B"/>
    <w:rsid w:val="00270580"/>
    <w:rsid w:val="00271379"/>
    <w:rsid w:val="00271572"/>
    <w:rsid w:val="00271FF1"/>
    <w:rsid w:val="00272617"/>
    <w:rsid w:val="002731B0"/>
    <w:rsid w:val="00273882"/>
    <w:rsid w:val="00273ED1"/>
    <w:rsid w:val="00274273"/>
    <w:rsid w:val="00274B74"/>
    <w:rsid w:val="00274F03"/>
    <w:rsid w:val="002751E3"/>
    <w:rsid w:val="00275DB5"/>
    <w:rsid w:val="00277AB1"/>
    <w:rsid w:val="00280357"/>
    <w:rsid w:val="00280B93"/>
    <w:rsid w:val="00280D42"/>
    <w:rsid w:val="002825FD"/>
    <w:rsid w:val="0028290E"/>
    <w:rsid w:val="002841FA"/>
    <w:rsid w:val="00284A87"/>
    <w:rsid w:val="00284D2D"/>
    <w:rsid w:val="00284F90"/>
    <w:rsid w:val="002855A1"/>
    <w:rsid w:val="0028634E"/>
    <w:rsid w:val="002866C7"/>
    <w:rsid w:val="00286C5F"/>
    <w:rsid w:val="0028777A"/>
    <w:rsid w:val="0029074F"/>
    <w:rsid w:val="00290B34"/>
    <w:rsid w:val="0029144D"/>
    <w:rsid w:val="002925B5"/>
    <w:rsid w:val="00292C76"/>
    <w:rsid w:val="00294E20"/>
    <w:rsid w:val="0029569D"/>
    <w:rsid w:val="0029662A"/>
    <w:rsid w:val="002979DB"/>
    <w:rsid w:val="002A0ED3"/>
    <w:rsid w:val="002A1B0F"/>
    <w:rsid w:val="002A2B25"/>
    <w:rsid w:val="002A488F"/>
    <w:rsid w:val="002A4C23"/>
    <w:rsid w:val="002A52D8"/>
    <w:rsid w:val="002A56B5"/>
    <w:rsid w:val="002B0E0F"/>
    <w:rsid w:val="002B10F6"/>
    <w:rsid w:val="002B1A09"/>
    <w:rsid w:val="002B29F5"/>
    <w:rsid w:val="002B30DA"/>
    <w:rsid w:val="002B37DD"/>
    <w:rsid w:val="002B3DE5"/>
    <w:rsid w:val="002B3E3B"/>
    <w:rsid w:val="002B54AA"/>
    <w:rsid w:val="002B5B8C"/>
    <w:rsid w:val="002B5DCA"/>
    <w:rsid w:val="002B63BE"/>
    <w:rsid w:val="002B6733"/>
    <w:rsid w:val="002B6893"/>
    <w:rsid w:val="002B6A7D"/>
    <w:rsid w:val="002C0B24"/>
    <w:rsid w:val="002C1F91"/>
    <w:rsid w:val="002C219C"/>
    <w:rsid w:val="002C46EF"/>
    <w:rsid w:val="002C4DB7"/>
    <w:rsid w:val="002C52ED"/>
    <w:rsid w:val="002D023C"/>
    <w:rsid w:val="002D06F6"/>
    <w:rsid w:val="002D0909"/>
    <w:rsid w:val="002D0CB7"/>
    <w:rsid w:val="002D1453"/>
    <w:rsid w:val="002D19CB"/>
    <w:rsid w:val="002D203C"/>
    <w:rsid w:val="002D2955"/>
    <w:rsid w:val="002D3B93"/>
    <w:rsid w:val="002D3FC4"/>
    <w:rsid w:val="002D4590"/>
    <w:rsid w:val="002D4A89"/>
    <w:rsid w:val="002D4BD4"/>
    <w:rsid w:val="002D4F94"/>
    <w:rsid w:val="002D648C"/>
    <w:rsid w:val="002D6580"/>
    <w:rsid w:val="002D6700"/>
    <w:rsid w:val="002E14DA"/>
    <w:rsid w:val="002E1A1F"/>
    <w:rsid w:val="002E27EF"/>
    <w:rsid w:val="002E31E8"/>
    <w:rsid w:val="002E658D"/>
    <w:rsid w:val="002E7622"/>
    <w:rsid w:val="002F02CB"/>
    <w:rsid w:val="002F0375"/>
    <w:rsid w:val="002F11FE"/>
    <w:rsid w:val="002F1406"/>
    <w:rsid w:val="002F295B"/>
    <w:rsid w:val="002F45A5"/>
    <w:rsid w:val="002F4A4F"/>
    <w:rsid w:val="002F4A76"/>
    <w:rsid w:val="002F73A6"/>
    <w:rsid w:val="0030021E"/>
    <w:rsid w:val="00300360"/>
    <w:rsid w:val="00301909"/>
    <w:rsid w:val="003027C2"/>
    <w:rsid w:val="00303B54"/>
    <w:rsid w:val="00306849"/>
    <w:rsid w:val="00306D23"/>
    <w:rsid w:val="00307DFE"/>
    <w:rsid w:val="00310A0D"/>
    <w:rsid w:val="00310E9B"/>
    <w:rsid w:val="00311DE4"/>
    <w:rsid w:val="0031219E"/>
    <w:rsid w:val="0031271E"/>
    <w:rsid w:val="003128B7"/>
    <w:rsid w:val="00313AD4"/>
    <w:rsid w:val="00314132"/>
    <w:rsid w:val="00315942"/>
    <w:rsid w:val="00317B21"/>
    <w:rsid w:val="0032090C"/>
    <w:rsid w:val="0032093C"/>
    <w:rsid w:val="00320D80"/>
    <w:rsid w:val="00320FC1"/>
    <w:rsid w:val="00323B39"/>
    <w:rsid w:val="00324FCB"/>
    <w:rsid w:val="003252A3"/>
    <w:rsid w:val="00326945"/>
    <w:rsid w:val="0032769E"/>
    <w:rsid w:val="00327E88"/>
    <w:rsid w:val="003309FF"/>
    <w:rsid w:val="00330FB6"/>
    <w:rsid w:val="00331DAB"/>
    <w:rsid w:val="003320E7"/>
    <w:rsid w:val="003333F1"/>
    <w:rsid w:val="00333946"/>
    <w:rsid w:val="00333B36"/>
    <w:rsid w:val="00333D75"/>
    <w:rsid w:val="00333FC2"/>
    <w:rsid w:val="00334653"/>
    <w:rsid w:val="00335341"/>
    <w:rsid w:val="00335615"/>
    <w:rsid w:val="00335A79"/>
    <w:rsid w:val="00335DB4"/>
    <w:rsid w:val="00336F8C"/>
    <w:rsid w:val="003376D7"/>
    <w:rsid w:val="00337704"/>
    <w:rsid w:val="00337B3D"/>
    <w:rsid w:val="00337B91"/>
    <w:rsid w:val="00337FB0"/>
    <w:rsid w:val="003415FF"/>
    <w:rsid w:val="00343F00"/>
    <w:rsid w:val="003440EA"/>
    <w:rsid w:val="00344132"/>
    <w:rsid w:val="00345A44"/>
    <w:rsid w:val="00345CEF"/>
    <w:rsid w:val="003466C9"/>
    <w:rsid w:val="00346862"/>
    <w:rsid w:val="0034735F"/>
    <w:rsid w:val="00347B30"/>
    <w:rsid w:val="00347DA9"/>
    <w:rsid w:val="003511A6"/>
    <w:rsid w:val="00351ADE"/>
    <w:rsid w:val="00351E88"/>
    <w:rsid w:val="00352B1D"/>
    <w:rsid w:val="00353FFA"/>
    <w:rsid w:val="00355621"/>
    <w:rsid w:val="00356CD0"/>
    <w:rsid w:val="00360E49"/>
    <w:rsid w:val="003618B1"/>
    <w:rsid w:val="003631ED"/>
    <w:rsid w:val="00364870"/>
    <w:rsid w:val="00365524"/>
    <w:rsid w:val="00366687"/>
    <w:rsid w:val="00367471"/>
    <w:rsid w:val="00367624"/>
    <w:rsid w:val="00367B72"/>
    <w:rsid w:val="00367F5B"/>
    <w:rsid w:val="003714D0"/>
    <w:rsid w:val="003720F7"/>
    <w:rsid w:val="00373E41"/>
    <w:rsid w:val="00374848"/>
    <w:rsid w:val="0037595C"/>
    <w:rsid w:val="00375D34"/>
    <w:rsid w:val="00377C06"/>
    <w:rsid w:val="00377CEA"/>
    <w:rsid w:val="00377FB8"/>
    <w:rsid w:val="003829D6"/>
    <w:rsid w:val="00382E3D"/>
    <w:rsid w:val="00383540"/>
    <w:rsid w:val="00383751"/>
    <w:rsid w:val="003849B5"/>
    <w:rsid w:val="00384FB2"/>
    <w:rsid w:val="00385642"/>
    <w:rsid w:val="00386C53"/>
    <w:rsid w:val="00390132"/>
    <w:rsid w:val="0039160C"/>
    <w:rsid w:val="00393101"/>
    <w:rsid w:val="003935CA"/>
    <w:rsid w:val="003947AF"/>
    <w:rsid w:val="00394C6E"/>
    <w:rsid w:val="00395B8F"/>
    <w:rsid w:val="003A0CBB"/>
    <w:rsid w:val="003A2C31"/>
    <w:rsid w:val="003A53DE"/>
    <w:rsid w:val="003A55B2"/>
    <w:rsid w:val="003A71C9"/>
    <w:rsid w:val="003B0A7D"/>
    <w:rsid w:val="003B231E"/>
    <w:rsid w:val="003B3BEF"/>
    <w:rsid w:val="003B4112"/>
    <w:rsid w:val="003B44D9"/>
    <w:rsid w:val="003B573B"/>
    <w:rsid w:val="003B64AB"/>
    <w:rsid w:val="003B6919"/>
    <w:rsid w:val="003C0546"/>
    <w:rsid w:val="003C0CA1"/>
    <w:rsid w:val="003C10D3"/>
    <w:rsid w:val="003C1E48"/>
    <w:rsid w:val="003C2782"/>
    <w:rsid w:val="003C2CA0"/>
    <w:rsid w:val="003C4A15"/>
    <w:rsid w:val="003C51E4"/>
    <w:rsid w:val="003C5328"/>
    <w:rsid w:val="003C62A5"/>
    <w:rsid w:val="003C74BB"/>
    <w:rsid w:val="003C7B79"/>
    <w:rsid w:val="003C7EC3"/>
    <w:rsid w:val="003D1497"/>
    <w:rsid w:val="003D27FA"/>
    <w:rsid w:val="003D2CC1"/>
    <w:rsid w:val="003D430F"/>
    <w:rsid w:val="003D5CC1"/>
    <w:rsid w:val="003D6783"/>
    <w:rsid w:val="003D6AFA"/>
    <w:rsid w:val="003D793D"/>
    <w:rsid w:val="003E073D"/>
    <w:rsid w:val="003E235F"/>
    <w:rsid w:val="003E3517"/>
    <w:rsid w:val="003E3D5A"/>
    <w:rsid w:val="003E3F31"/>
    <w:rsid w:val="003E4F85"/>
    <w:rsid w:val="003E76D3"/>
    <w:rsid w:val="003F027D"/>
    <w:rsid w:val="003F0291"/>
    <w:rsid w:val="003F0AC7"/>
    <w:rsid w:val="003F1067"/>
    <w:rsid w:val="003F2009"/>
    <w:rsid w:val="003F47CB"/>
    <w:rsid w:val="003F4C9F"/>
    <w:rsid w:val="003F4FA2"/>
    <w:rsid w:val="003F50ED"/>
    <w:rsid w:val="003F574E"/>
    <w:rsid w:val="003F5D1F"/>
    <w:rsid w:val="003F61CC"/>
    <w:rsid w:val="003F64E6"/>
    <w:rsid w:val="003F6ED8"/>
    <w:rsid w:val="003F79ED"/>
    <w:rsid w:val="003F7C5E"/>
    <w:rsid w:val="00400A00"/>
    <w:rsid w:val="00402C40"/>
    <w:rsid w:val="0040370F"/>
    <w:rsid w:val="00405A09"/>
    <w:rsid w:val="00406204"/>
    <w:rsid w:val="004141EE"/>
    <w:rsid w:val="00414F3B"/>
    <w:rsid w:val="004150CD"/>
    <w:rsid w:val="004157A1"/>
    <w:rsid w:val="00420092"/>
    <w:rsid w:val="0042251D"/>
    <w:rsid w:val="0042278A"/>
    <w:rsid w:val="00422C4D"/>
    <w:rsid w:val="00422F0B"/>
    <w:rsid w:val="00423D21"/>
    <w:rsid w:val="00423DD5"/>
    <w:rsid w:val="00424416"/>
    <w:rsid w:val="00425864"/>
    <w:rsid w:val="00427171"/>
    <w:rsid w:val="00427943"/>
    <w:rsid w:val="00427DA2"/>
    <w:rsid w:val="00427E11"/>
    <w:rsid w:val="00430260"/>
    <w:rsid w:val="00431299"/>
    <w:rsid w:val="004312EF"/>
    <w:rsid w:val="00431BB0"/>
    <w:rsid w:val="00432795"/>
    <w:rsid w:val="004331D2"/>
    <w:rsid w:val="004337C5"/>
    <w:rsid w:val="004338B5"/>
    <w:rsid w:val="00435037"/>
    <w:rsid w:val="00435148"/>
    <w:rsid w:val="004358F5"/>
    <w:rsid w:val="0043590E"/>
    <w:rsid w:val="00435AE4"/>
    <w:rsid w:val="00435E22"/>
    <w:rsid w:val="0043658C"/>
    <w:rsid w:val="00436A2F"/>
    <w:rsid w:val="00436CB4"/>
    <w:rsid w:val="00437B5F"/>
    <w:rsid w:val="004420EC"/>
    <w:rsid w:val="004450C8"/>
    <w:rsid w:val="004457DE"/>
    <w:rsid w:val="004459AD"/>
    <w:rsid w:val="00446431"/>
    <w:rsid w:val="00446C69"/>
    <w:rsid w:val="004476F9"/>
    <w:rsid w:val="0044774A"/>
    <w:rsid w:val="00447D77"/>
    <w:rsid w:val="00450C3A"/>
    <w:rsid w:val="00453626"/>
    <w:rsid w:val="00453FCD"/>
    <w:rsid w:val="00454098"/>
    <w:rsid w:val="00454FBE"/>
    <w:rsid w:val="00456C6E"/>
    <w:rsid w:val="004575CD"/>
    <w:rsid w:val="004600E6"/>
    <w:rsid w:val="00462336"/>
    <w:rsid w:val="00462544"/>
    <w:rsid w:val="0046315D"/>
    <w:rsid w:val="00463C96"/>
    <w:rsid w:val="004660AA"/>
    <w:rsid w:val="00471119"/>
    <w:rsid w:val="00472568"/>
    <w:rsid w:val="004727DC"/>
    <w:rsid w:val="004728CB"/>
    <w:rsid w:val="0047343B"/>
    <w:rsid w:val="0047387A"/>
    <w:rsid w:val="004740A2"/>
    <w:rsid w:val="004760BF"/>
    <w:rsid w:val="004762B0"/>
    <w:rsid w:val="00476307"/>
    <w:rsid w:val="00476529"/>
    <w:rsid w:val="00476D44"/>
    <w:rsid w:val="00477B94"/>
    <w:rsid w:val="00481538"/>
    <w:rsid w:val="0048752F"/>
    <w:rsid w:val="004909A9"/>
    <w:rsid w:val="0049190A"/>
    <w:rsid w:val="00492159"/>
    <w:rsid w:val="004937BF"/>
    <w:rsid w:val="00493E78"/>
    <w:rsid w:val="0049494D"/>
    <w:rsid w:val="00495DA1"/>
    <w:rsid w:val="004961A0"/>
    <w:rsid w:val="004961B2"/>
    <w:rsid w:val="00497247"/>
    <w:rsid w:val="0049728E"/>
    <w:rsid w:val="004979B5"/>
    <w:rsid w:val="004A0435"/>
    <w:rsid w:val="004A0568"/>
    <w:rsid w:val="004A2F52"/>
    <w:rsid w:val="004A2F9A"/>
    <w:rsid w:val="004A44DD"/>
    <w:rsid w:val="004A5649"/>
    <w:rsid w:val="004B0CBF"/>
    <w:rsid w:val="004B22B0"/>
    <w:rsid w:val="004B2B73"/>
    <w:rsid w:val="004B30B1"/>
    <w:rsid w:val="004B31CA"/>
    <w:rsid w:val="004B35EC"/>
    <w:rsid w:val="004B3816"/>
    <w:rsid w:val="004B4150"/>
    <w:rsid w:val="004B517C"/>
    <w:rsid w:val="004B6CAA"/>
    <w:rsid w:val="004C176E"/>
    <w:rsid w:val="004C2C15"/>
    <w:rsid w:val="004C2C54"/>
    <w:rsid w:val="004C49D9"/>
    <w:rsid w:val="004C5507"/>
    <w:rsid w:val="004C577D"/>
    <w:rsid w:val="004C71E5"/>
    <w:rsid w:val="004C7522"/>
    <w:rsid w:val="004D0886"/>
    <w:rsid w:val="004D0D06"/>
    <w:rsid w:val="004D2214"/>
    <w:rsid w:val="004D2EB3"/>
    <w:rsid w:val="004D4920"/>
    <w:rsid w:val="004D53F4"/>
    <w:rsid w:val="004D5E67"/>
    <w:rsid w:val="004D6A4D"/>
    <w:rsid w:val="004D72DC"/>
    <w:rsid w:val="004E14AA"/>
    <w:rsid w:val="004E3448"/>
    <w:rsid w:val="004E3974"/>
    <w:rsid w:val="004E5DF8"/>
    <w:rsid w:val="004E5E66"/>
    <w:rsid w:val="004E7187"/>
    <w:rsid w:val="004E7544"/>
    <w:rsid w:val="004E77B9"/>
    <w:rsid w:val="004E7D34"/>
    <w:rsid w:val="004F02D2"/>
    <w:rsid w:val="004F0C39"/>
    <w:rsid w:val="004F19D0"/>
    <w:rsid w:val="004F4247"/>
    <w:rsid w:val="004F5CF3"/>
    <w:rsid w:val="004F6214"/>
    <w:rsid w:val="004F68D0"/>
    <w:rsid w:val="004F70AD"/>
    <w:rsid w:val="004F768E"/>
    <w:rsid w:val="004F7F20"/>
    <w:rsid w:val="005002B3"/>
    <w:rsid w:val="00500A3E"/>
    <w:rsid w:val="00500F02"/>
    <w:rsid w:val="00502826"/>
    <w:rsid w:val="00502E9E"/>
    <w:rsid w:val="00503715"/>
    <w:rsid w:val="00503C62"/>
    <w:rsid w:val="00503CA0"/>
    <w:rsid w:val="0050400E"/>
    <w:rsid w:val="00504B77"/>
    <w:rsid w:val="00505935"/>
    <w:rsid w:val="0050771E"/>
    <w:rsid w:val="00510C81"/>
    <w:rsid w:val="00510DED"/>
    <w:rsid w:val="005114E2"/>
    <w:rsid w:val="005124FC"/>
    <w:rsid w:val="00512B0D"/>
    <w:rsid w:val="0051435D"/>
    <w:rsid w:val="00514B35"/>
    <w:rsid w:val="005168CF"/>
    <w:rsid w:val="0052026F"/>
    <w:rsid w:val="0052031C"/>
    <w:rsid w:val="00521854"/>
    <w:rsid w:val="00522A1D"/>
    <w:rsid w:val="00522C11"/>
    <w:rsid w:val="00523253"/>
    <w:rsid w:val="00524A36"/>
    <w:rsid w:val="0052562C"/>
    <w:rsid w:val="00525AD8"/>
    <w:rsid w:val="005269DA"/>
    <w:rsid w:val="00527B10"/>
    <w:rsid w:val="0053049B"/>
    <w:rsid w:val="0053056B"/>
    <w:rsid w:val="00530B37"/>
    <w:rsid w:val="005336FE"/>
    <w:rsid w:val="00533C1A"/>
    <w:rsid w:val="00534C80"/>
    <w:rsid w:val="00534F8F"/>
    <w:rsid w:val="00536791"/>
    <w:rsid w:val="00541C55"/>
    <w:rsid w:val="00541CBB"/>
    <w:rsid w:val="0054201D"/>
    <w:rsid w:val="00542607"/>
    <w:rsid w:val="00543C4D"/>
    <w:rsid w:val="00543C57"/>
    <w:rsid w:val="00544A40"/>
    <w:rsid w:val="00544A9C"/>
    <w:rsid w:val="00544BCD"/>
    <w:rsid w:val="00544DDC"/>
    <w:rsid w:val="0054518D"/>
    <w:rsid w:val="00545A45"/>
    <w:rsid w:val="00547A3E"/>
    <w:rsid w:val="00547B3B"/>
    <w:rsid w:val="005508DF"/>
    <w:rsid w:val="005537DD"/>
    <w:rsid w:val="00553F1D"/>
    <w:rsid w:val="00554CA8"/>
    <w:rsid w:val="005553D4"/>
    <w:rsid w:val="005563B0"/>
    <w:rsid w:val="00556878"/>
    <w:rsid w:val="00557C4C"/>
    <w:rsid w:val="005603F1"/>
    <w:rsid w:val="00560C97"/>
    <w:rsid w:val="005610F2"/>
    <w:rsid w:val="00563B43"/>
    <w:rsid w:val="005640EB"/>
    <w:rsid w:val="0056558E"/>
    <w:rsid w:val="00565613"/>
    <w:rsid w:val="00565AF1"/>
    <w:rsid w:val="0056624E"/>
    <w:rsid w:val="00570A81"/>
    <w:rsid w:val="00572A80"/>
    <w:rsid w:val="00572FD1"/>
    <w:rsid w:val="0057453F"/>
    <w:rsid w:val="00574C38"/>
    <w:rsid w:val="00574EAF"/>
    <w:rsid w:val="005759B8"/>
    <w:rsid w:val="00577238"/>
    <w:rsid w:val="005826C0"/>
    <w:rsid w:val="00583EB7"/>
    <w:rsid w:val="00585177"/>
    <w:rsid w:val="0059009B"/>
    <w:rsid w:val="005901E5"/>
    <w:rsid w:val="005908FE"/>
    <w:rsid w:val="00592FB4"/>
    <w:rsid w:val="0059405F"/>
    <w:rsid w:val="00594949"/>
    <w:rsid w:val="00595E8A"/>
    <w:rsid w:val="005A0B60"/>
    <w:rsid w:val="005A20CB"/>
    <w:rsid w:val="005A3438"/>
    <w:rsid w:val="005A3579"/>
    <w:rsid w:val="005A3E40"/>
    <w:rsid w:val="005A3E6F"/>
    <w:rsid w:val="005A67B8"/>
    <w:rsid w:val="005A6F75"/>
    <w:rsid w:val="005A6FFD"/>
    <w:rsid w:val="005A7B54"/>
    <w:rsid w:val="005A7D18"/>
    <w:rsid w:val="005A7FE5"/>
    <w:rsid w:val="005B11B0"/>
    <w:rsid w:val="005B1B9B"/>
    <w:rsid w:val="005B1FEE"/>
    <w:rsid w:val="005B2004"/>
    <w:rsid w:val="005B21A6"/>
    <w:rsid w:val="005B244F"/>
    <w:rsid w:val="005B2B16"/>
    <w:rsid w:val="005B3338"/>
    <w:rsid w:val="005B3433"/>
    <w:rsid w:val="005B3A53"/>
    <w:rsid w:val="005B3FD7"/>
    <w:rsid w:val="005B5088"/>
    <w:rsid w:val="005B5F1A"/>
    <w:rsid w:val="005B6230"/>
    <w:rsid w:val="005B669A"/>
    <w:rsid w:val="005B6B59"/>
    <w:rsid w:val="005B6EFF"/>
    <w:rsid w:val="005C04C8"/>
    <w:rsid w:val="005C0BC9"/>
    <w:rsid w:val="005C0C38"/>
    <w:rsid w:val="005C1ECA"/>
    <w:rsid w:val="005C212A"/>
    <w:rsid w:val="005C2ADF"/>
    <w:rsid w:val="005C2F09"/>
    <w:rsid w:val="005C2F0E"/>
    <w:rsid w:val="005C2FA4"/>
    <w:rsid w:val="005C3174"/>
    <w:rsid w:val="005C3B50"/>
    <w:rsid w:val="005C5B35"/>
    <w:rsid w:val="005C5E4C"/>
    <w:rsid w:val="005D0098"/>
    <w:rsid w:val="005D0DD3"/>
    <w:rsid w:val="005D0F3A"/>
    <w:rsid w:val="005D1C4A"/>
    <w:rsid w:val="005D2357"/>
    <w:rsid w:val="005D25D8"/>
    <w:rsid w:val="005D321E"/>
    <w:rsid w:val="005D3C41"/>
    <w:rsid w:val="005D4BE2"/>
    <w:rsid w:val="005D69BC"/>
    <w:rsid w:val="005D6C84"/>
    <w:rsid w:val="005D6E16"/>
    <w:rsid w:val="005D6FFB"/>
    <w:rsid w:val="005D7413"/>
    <w:rsid w:val="005D7DD0"/>
    <w:rsid w:val="005E2A5B"/>
    <w:rsid w:val="005E37FF"/>
    <w:rsid w:val="005E3E0C"/>
    <w:rsid w:val="005E58C9"/>
    <w:rsid w:val="005E62E7"/>
    <w:rsid w:val="005E673B"/>
    <w:rsid w:val="005E7125"/>
    <w:rsid w:val="005E767C"/>
    <w:rsid w:val="005F0627"/>
    <w:rsid w:val="005F069B"/>
    <w:rsid w:val="005F092D"/>
    <w:rsid w:val="005F0FBC"/>
    <w:rsid w:val="005F2EB6"/>
    <w:rsid w:val="005F375B"/>
    <w:rsid w:val="005F3B75"/>
    <w:rsid w:val="005F4522"/>
    <w:rsid w:val="005F4AED"/>
    <w:rsid w:val="005F5F5A"/>
    <w:rsid w:val="005F6636"/>
    <w:rsid w:val="00600B66"/>
    <w:rsid w:val="0060123D"/>
    <w:rsid w:val="00602148"/>
    <w:rsid w:val="00602A2A"/>
    <w:rsid w:val="00603D74"/>
    <w:rsid w:val="0060521E"/>
    <w:rsid w:val="00605D73"/>
    <w:rsid w:val="0060655A"/>
    <w:rsid w:val="0060768F"/>
    <w:rsid w:val="00607FA6"/>
    <w:rsid w:val="006100A5"/>
    <w:rsid w:val="00610D14"/>
    <w:rsid w:val="00615517"/>
    <w:rsid w:val="00617CF4"/>
    <w:rsid w:val="00620956"/>
    <w:rsid w:val="00620DA3"/>
    <w:rsid w:val="00621D01"/>
    <w:rsid w:val="00622126"/>
    <w:rsid w:val="00622530"/>
    <w:rsid w:val="00622ED7"/>
    <w:rsid w:val="00623B70"/>
    <w:rsid w:val="00624E9B"/>
    <w:rsid w:val="00625BFF"/>
    <w:rsid w:val="00626DB0"/>
    <w:rsid w:val="00626FD0"/>
    <w:rsid w:val="00627D74"/>
    <w:rsid w:val="006300E1"/>
    <w:rsid w:val="00630880"/>
    <w:rsid w:val="006309F0"/>
    <w:rsid w:val="00631B2C"/>
    <w:rsid w:val="00633241"/>
    <w:rsid w:val="00634989"/>
    <w:rsid w:val="006371E3"/>
    <w:rsid w:val="00640DE0"/>
    <w:rsid w:val="00640FC4"/>
    <w:rsid w:val="00641891"/>
    <w:rsid w:val="00642162"/>
    <w:rsid w:val="0064259C"/>
    <w:rsid w:val="00642ABB"/>
    <w:rsid w:val="006431AD"/>
    <w:rsid w:val="00643A83"/>
    <w:rsid w:val="00643E9A"/>
    <w:rsid w:val="00644880"/>
    <w:rsid w:val="00646AFF"/>
    <w:rsid w:val="00646CAA"/>
    <w:rsid w:val="006477C6"/>
    <w:rsid w:val="006479C6"/>
    <w:rsid w:val="00647BBC"/>
    <w:rsid w:val="0065025E"/>
    <w:rsid w:val="006513DC"/>
    <w:rsid w:val="00651F41"/>
    <w:rsid w:val="00653C86"/>
    <w:rsid w:val="00654337"/>
    <w:rsid w:val="006550C3"/>
    <w:rsid w:val="006555FC"/>
    <w:rsid w:val="00655E5B"/>
    <w:rsid w:val="00656013"/>
    <w:rsid w:val="00656B98"/>
    <w:rsid w:val="00656E8F"/>
    <w:rsid w:val="00657498"/>
    <w:rsid w:val="0066150B"/>
    <w:rsid w:val="00662C31"/>
    <w:rsid w:val="0066315A"/>
    <w:rsid w:val="006640ED"/>
    <w:rsid w:val="00665414"/>
    <w:rsid w:val="00665731"/>
    <w:rsid w:val="00666563"/>
    <w:rsid w:val="00667EFF"/>
    <w:rsid w:val="00670647"/>
    <w:rsid w:val="00671962"/>
    <w:rsid w:val="00672419"/>
    <w:rsid w:val="0067250A"/>
    <w:rsid w:val="00672563"/>
    <w:rsid w:val="00672D64"/>
    <w:rsid w:val="00673278"/>
    <w:rsid w:val="0067399B"/>
    <w:rsid w:val="00676794"/>
    <w:rsid w:val="00676EBD"/>
    <w:rsid w:val="00677B60"/>
    <w:rsid w:val="00677BC4"/>
    <w:rsid w:val="00680559"/>
    <w:rsid w:val="00680D84"/>
    <w:rsid w:val="00681209"/>
    <w:rsid w:val="00681276"/>
    <w:rsid w:val="006835D7"/>
    <w:rsid w:val="00683709"/>
    <w:rsid w:val="0068451B"/>
    <w:rsid w:val="00686179"/>
    <w:rsid w:val="00686C0B"/>
    <w:rsid w:val="006870C2"/>
    <w:rsid w:val="00692BDF"/>
    <w:rsid w:val="00692DE1"/>
    <w:rsid w:val="006937ED"/>
    <w:rsid w:val="00694FB1"/>
    <w:rsid w:val="0069579D"/>
    <w:rsid w:val="0069636A"/>
    <w:rsid w:val="00696F50"/>
    <w:rsid w:val="00697B6D"/>
    <w:rsid w:val="006A0766"/>
    <w:rsid w:val="006A097E"/>
    <w:rsid w:val="006A1707"/>
    <w:rsid w:val="006A4301"/>
    <w:rsid w:val="006A6259"/>
    <w:rsid w:val="006A667E"/>
    <w:rsid w:val="006A6A98"/>
    <w:rsid w:val="006A6DE8"/>
    <w:rsid w:val="006B072E"/>
    <w:rsid w:val="006B0A0F"/>
    <w:rsid w:val="006B1C62"/>
    <w:rsid w:val="006B25EC"/>
    <w:rsid w:val="006B2D7D"/>
    <w:rsid w:val="006B2DC8"/>
    <w:rsid w:val="006B2F5B"/>
    <w:rsid w:val="006B3638"/>
    <w:rsid w:val="006B366F"/>
    <w:rsid w:val="006B4776"/>
    <w:rsid w:val="006B5D01"/>
    <w:rsid w:val="006B5E8B"/>
    <w:rsid w:val="006B695A"/>
    <w:rsid w:val="006B6A0F"/>
    <w:rsid w:val="006B6B10"/>
    <w:rsid w:val="006C1215"/>
    <w:rsid w:val="006C193D"/>
    <w:rsid w:val="006C23C4"/>
    <w:rsid w:val="006C2A51"/>
    <w:rsid w:val="006C2D03"/>
    <w:rsid w:val="006C32B2"/>
    <w:rsid w:val="006C3A00"/>
    <w:rsid w:val="006C4446"/>
    <w:rsid w:val="006C60D4"/>
    <w:rsid w:val="006C6892"/>
    <w:rsid w:val="006D0951"/>
    <w:rsid w:val="006D0F74"/>
    <w:rsid w:val="006D18DA"/>
    <w:rsid w:val="006D218B"/>
    <w:rsid w:val="006D28D7"/>
    <w:rsid w:val="006D2EAE"/>
    <w:rsid w:val="006D369A"/>
    <w:rsid w:val="006D5314"/>
    <w:rsid w:val="006E12D6"/>
    <w:rsid w:val="006E1989"/>
    <w:rsid w:val="006E1CFE"/>
    <w:rsid w:val="006E23B2"/>
    <w:rsid w:val="006E2490"/>
    <w:rsid w:val="006E3D41"/>
    <w:rsid w:val="006E4574"/>
    <w:rsid w:val="006E4AE6"/>
    <w:rsid w:val="006E4F60"/>
    <w:rsid w:val="006E70D2"/>
    <w:rsid w:val="006E7207"/>
    <w:rsid w:val="006F06B8"/>
    <w:rsid w:val="006F1780"/>
    <w:rsid w:val="006F2034"/>
    <w:rsid w:val="006F364F"/>
    <w:rsid w:val="006F3DD3"/>
    <w:rsid w:val="006F3FF1"/>
    <w:rsid w:val="006F412E"/>
    <w:rsid w:val="006F4AC8"/>
    <w:rsid w:val="006F50DF"/>
    <w:rsid w:val="006F76BC"/>
    <w:rsid w:val="006F775B"/>
    <w:rsid w:val="007007CB"/>
    <w:rsid w:val="00701223"/>
    <w:rsid w:val="00701419"/>
    <w:rsid w:val="00701683"/>
    <w:rsid w:val="0070171F"/>
    <w:rsid w:val="00701C8F"/>
    <w:rsid w:val="00702667"/>
    <w:rsid w:val="00703166"/>
    <w:rsid w:val="0070363B"/>
    <w:rsid w:val="007036E9"/>
    <w:rsid w:val="00705309"/>
    <w:rsid w:val="00705379"/>
    <w:rsid w:val="00706E54"/>
    <w:rsid w:val="0071326C"/>
    <w:rsid w:val="00713982"/>
    <w:rsid w:val="00713ED7"/>
    <w:rsid w:val="00713FF4"/>
    <w:rsid w:val="00715ACD"/>
    <w:rsid w:val="00715ECB"/>
    <w:rsid w:val="0071605D"/>
    <w:rsid w:val="00717218"/>
    <w:rsid w:val="00717D0A"/>
    <w:rsid w:val="00720180"/>
    <w:rsid w:val="00721364"/>
    <w:rsid w:val="0072143E"/>
    <w:rsid w:val="0072221F"/>
    <w:rsid w:val="00723922"/>
    <w:rsid w:val="0072405A"/>
    <w:rsid w:val="00726316"/>
    <w:rsid w:val="00726492"/>
    <w:rsid w:val="00727070"/>
    <w:rsid w:val="0072721D"/>
    <w:rsid w:val="00727420"/>
    <w:rsid w:val="00727A00"/>
    <w:rsid w:val="0073071A"/>
    <w:rsid w:val="0073241E"/>
    <w:rsid w:val="00732DB7"/>
    <w:rsid w:val="00732E3D"/>
    <w:rsid w:val="00733A6C"/>
    <w:rsid w:val="0073556E"/>
    <w:rsid w:val="007355D8"/>
    <w:rsid w:val="0073698B"/>
    <w:rsid w:val="00737794"/>
    <w:rsid w:val="00740EAA"/>
    <w:rsid w:val="00740F0F"/>
    <w:rsid w:val="00741683"/>
    <w:rsid w:val="00741A2A"/>
    <w:rsid w:val="00741EF0"/>
    <w:rsid w:val="00741EF1"/>
    <w:rsid w:val="00741FF9"/>
    <w:rsid w:val="007427FC"/>
    <w:rsid w:val="00742AB1"/>
    <w:rsid w:val="00743700"/>
    <w:rsid w:val="00743BAF"/>
    <w:rsid w:val="00744A28"/>
    <w:rsid w:val="007456AA"/>
    <w:rsid w:val="00745D9E"/>
    <w:rsid w:val="0074660A"/>
    <w:rsid w:val="00746BE3"/>
    <w:rsid w:val="00746DDD"/>
    <w:rsid w:val="0074731D"/>
    <w:rsid w:val="00750264"/>
    <w:rsid w:val="00752945"/>
    <w:rsid w:val="007532F3"/>
    <w:rsid w:val="007539E2"/>
    <w:rsid w:val="0075508D"/>
    <w:rsid w:val="00755883"/>
    <w:rsid w:val="00757A42"/>
    <w:rsid w:val="00760041"/>
    <w:rsid w:val="007609E7"/>
    <w:rsid w:val="00760D0E"/>
    <w:rsid w:val="00760E3C"/>
    <w:rsid w:val="00761544"/>
    <w:rsid w:val="00762FBB"/>
    <w:rsid w:val="0076425B"/>
    <w:rsid w:val="007642E8"/>
    <w:rsid w:val="007644A3"/>
    <w:rsid w:val="00764674"/>
    <w:rsid w:val="0076546A"/>
    <w:rsid w:val="0076612A"/>
    <w:rsid w:val="007666EE"/>
    <w:rsid w:val="00766B65"/>
    <w:rsid w:val="00766C86"/>
    <w:rsid w:val="0077177C"/>
    <w:rsid w:val="00771DC5"/>
    <w:rsid w:val="007721AE"/>
    <w:rsid w:val="0077254D"/>
    <w:rsid w:val="00772BD0"/>
    <w:rsid w:val="00773168"/>
    <w:rsid w:val="00773274"/>
    <w:rsid w:val="00773CEF"/>
    <w:rsid w:val="00773E7B"/>
    <w:rsid w:val="007743AA"/>
    <w:rsid w:val="00777A9A"/>
    <w:rsid w:val="00782317"/>
    <w:rsid w:val="00782A2A"/>
    <w:rsid w:val="00783682"/>
    <w:rsid w:val="00783C27"/>
    <w:rsid w:val="00784822"/>
    <w:rsid w:val="00784ECA"/>
    <w:rsid w:val="00785238"/>
    <w:rsid w:val="00785CD5"/>
    <w:rsid w:val="0078608D"/>
    <w:rsid w:val="00787158"/>
    <w:rsid w:val="0078728B"/>
    <w:rsid w:val="0079030E"/>
    <w:rsid w:val="007909FE"/>
    <w:rsid w:val="00790EA3"/>
    <w:rsid w:val="0079150D"/>
    <w:rsid w:val="0079164B"/>
    <w:rsid w:val="0079216E"/>
    <w:rsid w:val="007935BC"/>
    <w:rsid w:val="007942F4"/>
    <w:rsid w:val="007944D9"/>
    <w:rsid w:val="00795266"/>
    <w:rsid w:val="0079529C"/>
    <w:rsid w:val="00795B94"/>
    <w:rsid w:val="007967D1"/>
    <w:rsid w:val="007A1255"/>
    <w:rsid w:val="007A20E7"/>
    <w:rsid w:val="007A2A10"/>
    <w:rsid w:val="007A2F27"/>
    <w:rsid w:val="007A4668"/>
    <w:rsid w:val="007A509A"/>
    <w:rsid w:val="007A59BA"/>
    <w:rsid w:val="007A5FF6"/>
    <w:rsid w:val="007A7534"/>
    <w:rsid w:val="007A76AC"/>
    <w:rsid w:val="007A7F89"/>
    <w:rsid w:val="007B0022"/>
    <w:rsid w:val="007B02F2"/>
    <w:rsid w:val="007B03F6"/>
    <w:rsid w:val="007B07A5"/>
    <w:rsid w:val="007B1324"/>
    <w:rsid w:val="007B15DA"/>
    <w:rsid w:val="007B181E"/>
    <w:rsid w:val="007B18C4"/>
    <w:rsid w:val="007B19B3"/>
    <w:rsid w:val="007B1E0F"/>
    <w:rsid w:val="007B234B"/>
    <w:rsid w:val="007B3CB3"/>
    <w:rsid w:val="007B5067"/>
    <w:rsid w:val="007B6454"/>
    <w:rsid w:val="007B7398"/>
    <w:rsid w:val="007B7676"/>
    <w:rsid w:val="007C118E"/>
    <w:rsid w:val="007C1659"/>
    <w:rsid w:val="007C1766"/>
    <w:rsid w:val="007C1D25"/>
    <w:rsid w:val="007C2311"/>
    <w:rsid w:val="007C2B00"/>
    <w:rsid w:val="007C3030"/>
    <w:rsid w:val="007C41CD"/>
    <w:rsid w:val="007C6665"/>
    <w:rsid w:val="007C79BB"/>
    <w:rsid w:val="007D111D"/>
    <w:rsid w:val="007D1A41"/>
    <w:rsid w:val="007D256E"/>
    <w:rsid w:val="007D2CC2"/>
    <w:rsid w:val="007D2D99"/>
    <w:rsid w:val="007D3587"/>
    <w:rsid w:val="007D5DBF"/>
    <w:rsid w:val="007D67E3"/>
    <w:rsid w:val="007D6D3A"/>
    <w:rsid w:val="007D6F88"/>
    <w:rsid w:val="007D7527"/>
    <w:rsid w:val="007D77FA"/>
    <w:rsid w:val="007E0784"/>
    <w:rsid w:val="007E254F"/>
    <w:rsid w:val="007E269C"/>
    <w:rsid w:val="007E2712"/>
    <w:rsid w:val="007E2960"/>
    <w:rsid w:val="007E317F"/>
    <w:rsid w:val="007E4A52"/>
    <w:rsid w:val="007E4D55"/>
    <w:rsid w:val="007E4F9C"/>
    <w:rsid w:val="007E65A7"/>
    <w:rsid w:val="007E7D98"/>
    <w:rsid w:val="007F00B5"/>
    <w:rsid w:val="007F09AB"/>
    <w:rsid w:val="007F0A6C"/>
    <w:rsid w:val="007F0B8F"/>
    <w:rsid w:val="007F0DC3"/>
    <w:rsid w:val="007F184B"/>
    <w:rsid w:val="007F18C3"/>
    <w:rsid w:val="007F1BEF"/>
    <w:rsid w:val="007F3330"/>
    <w:rsid w:val="007F43F9"/>
    <w:rsid w:val="007F4D69"/>
    <w:rsid w:val="007F5E02"/>
    <w:rsid w:val="007F6878"/>
    <w:rsid w:val="007F7280"/>
    <w:rsid w:val="007F7779"/>
    <w:rsid w:val="007F7E6F"/>
    <w:rsid w:val="00800F09"/>
    <w:rsid w:val="00801490"/>
    <w:rsid w:val="00804BE8"/>
    <w:rsid w:val="00805028"/>
    <w:rsid w:val="00805A30"/>
    <w:rsid w:val="00806FEC"/>
    <w:rsid w:val="008073DD"/>
    <w:rsid w:val="00807B58"/>
    <w:rsid w:val="00810B6A"/>
    <w:rsid w:val="00810C82"/>
    <w:rsid w:val="00813B46"/>
    <w:rsid w:val="008142B5"/>
    <w:rsid w:val="0081642B"/>
    <w:rsid w:val="0081777B"/>
    <w:rsid w:val="00820F18"/>
    <w:rsid w:val="00824947"/>
    <w:rsid w:val="00825A9D"/>
    <w:rsid w:val="00826A8B"/>
    <w:rsid w:val="00827E8E"/>
    <w:rsid w:val="00830ABA"/>
    <w:rsid w:val="008332A9"/>
    <w:rsid w:val="0083336E"/>
    <w:rsid w:val="0083354D"/>
    <w:rsid w:val="00836989"/>
    <w:rsid w:val="00836D5C"/>
    <w:rsid w:val="008373F4"/>
    <w:rsid w:val="00837CF8"/>
    <w:rsid w:val="0084070A"/>
    <w:rsid w:val="00841060"/>
    <w:rsid w:val="00841C8E"/>
    <w:rsid w:val="0084227F"/>
    <w:rsid w:val="00842E5B"/>
    <w:rsid w:val="00845A66"/>
    <w:rsid w:val="00846626"/>
    <w:rsid w:val="008467A0"/>
    <w:rsid w:val="0084726F"/>
    <w:rsid w:val="00850E96"/>
    <w:rsid w:val="0085196E"/>
    <w:rsid w:val="00851EB3"/>
    <w:rsid w:val="0085389F"/>
    <w:rsid w:val="008559A8"/>
    <w:rsid w:val="008570FF"/>
    <w:rsid w:val="00857A51"/>
    <w:rsid w:val="00860330"/>
    <w:rsid w:val="008605AA"/>
    <w:rsid w:val="00860860"/>
    <w:rsid w:val="00861A04"/>
    <w:rsid w:val="00863929"/>
    <w:rsid w:val="008641A0"/>
    <w:rsid w:val="0086427C"/>
    <w:rsid w:val="008667FB"/>
    <w:rsid w:val="00867421"/>
    <w:rsid w:val="00870293"/>
    <w:rsid w:val="0087035C"/>
    <w:rsid w:val="008712D8"/>
    <w:rsid w:val="008716FF"/>
    <w:rsid w:val="00873A1D"/>
    <w:rsid w:val="00873E7C"/>
    <w:rsid w:val="00873F8B"/>
    <w:rsid w:val="00874D17"/>
    <w:rsid w:val="008755C8"/>
    <w:rsid w:val="00876A73"/>
    <w:rsid w:val="00876CEB"/>
    <w:rsid w:val="00877216"/>
    <w:rsid w:val="00881774"/>
    <w:rsid w:val="00881DF2"/>
    <w:rsid w:val="00881E9F"/>
    <w:rsid w:val="00882A00"/>
    <w:rsid w:val="00884935"/>
    <w:rsid w:val="0088495F"/>
    <w:rsid w:val="008849CD"/>
    <w:rsid w:val="00885002"/>
    <w:rsid w:val="00885F3B"/>
    <w:rsid w:val="00886645"/>
    <w:rsid w:val="00886D1A"/>
    <w:rsid w:val="00887DBC"/>
    <w:rsid w:val="00890F18"/>
    <w:rsid w:val="00891ADA"/>
    <w:rsid w:val="0089292D"/>
    <w:rsid w:val="00892DCC"/>
    <w:rsid w:val="00894652"/>
    <w:rsid w:val="00894709"/>
    <w:rsid w:val="00894C30"/>
    <w:rsid w:val="00894F63"/>
    <w:rsid w:val="00895497"/>
    <w:rsid w:val="008962DA"/>
    <w:rsid w:val="008A048D"/>
    <w:rsid w:val="008A089D"/>
    <w:rsid w:val="008A09A9"/>
    <w:rsid w:val="008A184A"/>
    <w:rsid w:val="008A1940"/>
    <w:rsid w:val="008A27E2"/>
    <w:rsid w:val="008A347E"/>
    <w:rsid w:val="008A373E"/>
    <w:rsid w:val="008A3ED4"/>
    <w:rsid w:val="008A5723"/>
    <w:rsid w:val="008A64A1"/>
    <w:rsid w:val="008A7464"/>
    <w:rsid w:val="008A7690"/>
    <w:rsid w:val="008A77C4"/>
    <w:rsid w:val="008B062D"/>
    <w:rsid w:val="008B2557"/>
    <w:rsid w:val="008B2EDB"/>
    <w:rsid w:val="008B305B"/>
    <w:rsid w:val="008B32EC"/>
    <w:rsid w:val="008B3504"/>
    <w:rsid w:val="008B4392"/>
    <w:rsid w:val="008B47E3"/>
    <w:rsid w:val="008B5133"/>
    <w:rsid w:val="008B5A0B"/>
    <w:rsid w:val="008B6BD2"/>
    <w:rsid w:val="008B7E42"/>
    <w:rsid w:val="008C05C4"/>
    <w:rsid w:val="008C1A18"/>
    <w:rsid w:val="008C1FF4"/>
    <w:rsid w:val="008C2CBE"/>
    <w:rsid w:val="008C3942"/>
    <w:rsid w:val="008C4389"/>
    <w:rsid w:val="008C554F"/>
    <w:rsid w:val="008C5750"/>
    <w:rsid w:val="008C587A"/>
    <w:rsid w:val="008C7134"/>
    <w:rsid w:val="008D0C99"/>
    <w:rsid w:val="008D105A"/>
    <w:rsid w:val="008D2CFA"/>
    <w:rsid w:val="008D3D79"/>
    <w:rsid w:val="008D5E39"/>
    <w:rsid w:val="008D6379"/>
    <w:rsid w:val="008D6419"/>
    <w:rsid w:val="008D650F"/>
    <w:rsid w:val="008D66B5"/>
    <w:rsid w:val="008D6B71"/>
    <w:rsid w:val="008D6D16"/>
    <w:rsid w:val="008D6E7B"/>
    <w:rsid w:val="008D77EC"/>
    <w:rsid w:val="008D7977"/>
    <w:rsid w:val="008E0D96"/>
    <w:rsid w:val="008E10FA"/>
    <w:rsid w:val="008E14EB"/>
    <w:rsid w:val="008E2238"/>
    <w:rsid w:val="008E2668"/>
    <w:rsid w:val="008E3CA0"/>
    <w:rsid w:val="008E6138"/>
    <w:rsid w:val="008E68F9"/>
    <w:rsid w:val="008E718F"/>
    <w:rsid w:val="008E750B"/>
    <w:rsid w:val="008E770E"/>
    <w:rsid w:val="008E7955"/>
    <w:rsid w:val="008E797D"/>
    <w:rsid w:val="008E7D0B"/>
    <w:rsid w:val="008F15D0"/>
    <w:rsid w:val="008F1747"/>
    <w:rsid w:val="008F21AD"/>
    <w:rsid w:val="008F3C69"/>
    <w:rsid w:val="008F5E63"/>
    <w:rsid w:val="008F6496"/>
    <w:rsid w:val="008F653A"/>
    <w:rsid w:val="008F67FE"/>
    <w:rsid w:val="008F6A25"/>
    <w:rsid w:val="008F6A4A"/>
    <w:rsid w:val="008F7B4B"/>
    <w:rsid w:val="00900BBF"/>
    <w:rsid w:val="0090177A"/>
    <w:rsid w:val="00901C07"/>
    <w:rsid w:val="00901C3F"/>
    <w:rsid w:val="00902BC4"/>
    <w:rsid w:val="00903504"/>
    <w:rsid w:val="009038A8"/>
    <w:rsid w:val="00904046"/>
    <w:rsid w:val="0090504F"/>
    <w:rsid w:val="0090519E"/>
    <w:rsid w:val="00906AA3"/>
    <w:rsid w:val="00906C2C"/>
    <w:rsid w:val="00906DA8"/>
    <w:rsid w:val="00906F31"/>
    <w:rsid w:val="00910519"/>
    <w:rsid w:val="009105F2"/>
    <w:rsid w:val="00911451"/>
    <w:rsid w:val="00911F82"/>
    <w:rsid w:val="00912A6A"/>
    <w:rsid w:val="00913615"/>
    <w:rsid w:val="009137F0"/>
    <w:rsid w:val="009139D5"/>
    <w:rsid w:val="00914A51"/>
    <w:rsid w:val="00914B5B"/>
    <w:rsid w:val="00915060"/>
    <w:rsid w:val="009165E1"/>
    <w:rsid w:val="00917B6C"/>
    <w:rsid w:val="0092024A"/>
    <w:rsid w:val="0092029D"/>
    <w:rsid w:val="0092157D"/>
    <w:rsid w:val="0092224A"/>
    <w:rsid w:val="009222C7"/>
    <w:rsid w:val="0092443D"/>
    <w:rsid w:val="009246A7"/>
    <w:rsid w:val="00925B6F"/>
    <w:rsid w:val="009267CE"/>
    <w:rsid w:val="00930182"/>
    <w:rsid w:val="00930984"/>
    <w:rsid w:val="009311F0"/>
    <w:rsid w:val="00932675"/>
    <w:rsid w:val="00936B3D"/>
    <w:rsid w:val="00936DDD"/>
    <w:rsid w:val="0093786A"/>
    <w:rsid w:val="0094054A"/>
    <w:rsid w:val="009406F3"/>
    <w:rsid w:val="00944CC1"/>
    <w:rsid w:val="009453DE"/>
    <w:rsid w:val="00946650"/>
    <w:rsid w:val="00946848"/>
    <w:rsid w:val="00946A94"/>
    <w:rsid w:val="00947321"/>
    <w:rsid w:val="00950738"/>
    <w:rsid w:val="00950B40"/>
    <w:rsid w:val="00950CD7"/>
    <w:rsid w:val="009516E5"/>
    <w:rsid w:val="00952ADD"/>
    <w:rsid w:val="00954368"/>
    <w:rsid w:val="00955129"/>
    <w:rsid w:val="009559D2"/>
    <w:rsid w:val="00955B45"/>
    <w:rsid w:val="00955DCC"/>
    <w:rsid w:val="00956A0B"/>
    <w:rsid w:val="0095776B"/>
    <w:rsid w:val="00961911"/>
    <w:rsid w:val="009640A4"/>
    <w:rsid w:val="009645F1"/>
    <w:rsid w:val="00964806"/>
    <w:rsid w:val="0096652A"/>
    <w:rsid w:val="00970760"/>
    <w:rsid w:val="00971028"/>
    <w:rsid w:val="0097116F"/>
    <w:rsid w:val="0097128C"/>
    <w:rsid w:val="00971E4D"/>
    <w:rsid w:val="00972565"/>
    <w:rsid w:val="00973958"/>
    <w:rsid w:val="00977529"/>
    <w:rsid w:val="00977C8B"/>
    <w:rsid w:val="0098159B"/>
    <w:rsid w:val="009817C9"/>
    <w:rsid w:val="00981A57"/>
    <w:rsid w:val="00982015"/>
    <w:rsid w:val="0098358F"/>
    <w:rsid w:val="00983875"/>
    <w:rsid w:val="009840B1"/>
    <w:rsid w:val="009847D2"/>
    <w:rsid w:val="00984C7F"/>
    <w:rsid w:val="009852F2"/>
    <w:rsid w:val="009856C2"/>
    <w:rsid w:val="00986BA4"/>
    <w:rsid w:val="00987145"/>
    <w:rsid w:val="0098771F"/>
    <w:rsid w:val="00990523"/>
    <w:rsid w:val="00990AF0"/>
    <w:rsid w:val="0099162C"/>
    <w:rsid w:val="00992992"/>
    <w:rsid w:val="00995A27"/>
    <w:rsid w:val="00995ECE"/>
    <w:rsid w:val="009974E9"/>
    <w:rsid w:val="00997729"/>
    <w:rsid w:val="00997948"/>
    <w:rsid w:val="009A08D6"/>
    <w:rsid w:val="009A110B"/>
    <w:rsid w:val="009A13A6"/>
    <w:rsid w:val="009A20F2"/>
    <w:rsid w:val="009A2717"/>
    <w:rsid w:val="009A2D1C"/>
    <w:rsid w:val="009A2D7C"/>
    <w:rsid w:val="009A2E8C"/>
    <w:rsid w:val="009A2F2D"/>
    <w:rsid w:val="009A53A9"/>
    <w:rsid w:val="009A5479"/>
    <w:rsid w:val="009A6021"/>
    <w:rsid w:val="009A6057"/>
    <w:rsid w:val="009A62BA"/>
    <w:rsid w:val="009A6662"/>
    <w:rsid w:val="009A6846"/>
    <w:rsid w:val="009A79BE"/>
    <w:rsid w:val="009B1207"/>
    <w:rsid w:val="009B1246"/>
    <w:rsid w:val="009B2539"/>
    <w:rsid w:val="009B2976"/>
    <w:rsid w:val="009B3602"/>
    <w:rsid w:val="009B3929"/>
    <w:rsid w:val="009B4E51"/>
    <w:rsid w:val="009B5D30"/>
    <w:rsid w:val="009B60EE"/>
    <w:rsid w:val="009B6494"/>
    <w:rsid w:val="009B693C"/>
    <w:rsid w:val="009B7A53"/>
    <w:rsid w:val="009C19C2"/>
    <w:rsid w:val="009C1AC5"/>
    <w:rsid w:val="009C38EF"/>
    <w:rsid w:val="009C5630"/>
    <w:rsid w:val="009C575B"/>
    <w:rsid w:val="009C725F"/>
    <w:rsid w:val="009C76AF"/>
    <w:rsid w:val="009D0585"/>
    <w:rsid w:val="009D0605"/>
    <w:rsid w:val="009D1D42"/>
    <w:rsid w:val="009D2B0C"/>
    <w:rsid w:val="009D3028"/>
    <w:rsid w:val="009D460B"/>
    <w:rsid w:val="009D540B"/>
    <w:rsid w:val="009D5680"/>
    <w:rsid w:val="009D5738"/>
    <w:rsid w:val="009E01C7"/>
    <w:rsid w:val="009E11CD"/>
    <w:rsid w:val="009E1ADE"/>
    <w:rsid w:val="009E1D2E"/>
    <w:rsid w:val="009E2D9A"/>
    <w:rsid w:val="009E320A"/>
    <w:rsid w:val="009E4245"/>
    <w:rsid w:val="009E53C2"/>
    <w:rsid w:val="009E5E14"/>
    <w:rsid w:val="009E62FD"/>
    <w:rsid w:val="009E79E0"/>
    <w:rsid w:val="009E7C4F"/>
    <w:rsid w:val="009F02E4"/>
    <w:rsid w:val="009F239E"/>
    <w:rsid w:val="009F23E7"/>
    <w:rsid w:val="009F3299"/>
    <w:rsid w:val="009F3345"/>
    <w:rsid w:val="009F4194"/>
    <w:rsid w:val="009F5625"/>
    <w:rsid w:val="009F58EF"/>
    <w:rsid w:val="009F7274"/>
    <w:rsid w:val="009F7B7A"/>
    <w:rsid w:val="00A0070C"/>
    <w:rsid w:val="00A01987"/>
    <w:rsid w:val="00A03EC3"/>
    <w:rsid w:val="00A0450F"/>
    <w:rsid w:val="00A049CE"/>
    <w:rsid w:val="00A07F87"/>
    <w:rsid w:val="00A10DA0"/>
    <w:rsid w:val="00A10F5F"/>
    <w:rsid w:val="00A130ED"/>
    <w:rsid w:val="00A1408C"/>
    <w:rsid w:val="00A14FEC"/>
    <w:rsid w:val="00A16E68"/>
    <w:rsid w:val="00A17A81"/>
    <w:rsid w:val="00A17DE4"/>
    <w:rsid w:val="00A20207"/>
    <w:rsid w:val="00A203C9"/>
    <w:rsid w:val="00A220D1"/>
    <w:rsid w:val="00A22491"/>
    <w:rsid w:val="00A230B2"/>
    <w:rsid w:val="00A234A1"/>
    <w:rsid w:val="00A2398C"/>
    <w:rsid w:val="00A24BB0"/>
    <w:rsid w:val="00A26346"/>
    <w:rsid w:val="00A26FE8"/>
    <w:rsid w:val="00A272DC"/>
    <w:rsid w:val="00A302AD"/>
    <w:rsid w:val="00A328C2"/>
    <w:rsid w:val="00A32EA8"/>
    <w:rsid w:val="00A32F76"/>
    <w:rsid w:val="00A35DBF"/>
    <w:rsid w:val="00A361FA"/>
    <w:rsid w:val="00A41023"/>
    <w:rsid w:val="00A411AF"/>
    <w:rsid w:val="00A41354"/>
    <w:rsid w:val="00A4453E"/>
    <w:rsid w:val="00A4555F"/>
    <w:rsid w:val="00A46424"/>
    <w:rsid w:val="00A474DB"/>
    <w:rsid w:val="00A47FDC"/>
    <w:rsid w:val="00A51591"/>
    <w:rsid w:val="00A51A2A"/>
    <w:rsid w:val="00A51E47"/>
    <w:rsid w:val="00A523CA"/>
    <w:rsid w:val="00A5324C"/>
    <w:rsid w:val="00A53A6C"/>
    <w:rsid w:val="00A55B30"/>
    <w:rsid w:val="00A567DE"/>
    <w:rsid w:val="00A56991"/>
    <w:rsid w:val="00A5714A"/>
    <w:rsid w:val="00A6002B"/>
    <w:rsid w:val="00A60884"/>
    <w:rsid w:val="00A62AB3"/>
    <w:rsid w:val="00A631B8"/>
    <w:rsid w:val="00A6424F"/>
    <w:rsid w:val="00A64C1D"/>
    <w:rsid w:val="00A64C95"/>
    <w:rsid w:val="00A64CD8"/>
    <w:rsid w:val="00A65BD4"/>
    <w:rsid w:val="00A65C5E"/>
    <w:rsid w:val="00A66D81"/>
    <w:rsid w:val="00A673D7"/>
    <w:rsid w:val="00A67780"/>
    <w:rsid w:val="00A7027D"/>
    <w:rsid w:val="00A70846"/>
    <w:rsid w:val="00A70D8E"/>
    <w:rsid w:val="00A71144"/>
    <w:rsid w:val="00A7231B"/>
    <w:rsid w:val="00A74225"/>
    <w:rsid w:val="00A752CD"/>
    <w:rsid w:val="00A75A90"/>
    <w:rsid w:val="00A76757"/>
    <w:rsid w:val="00A775B2"/>
    <w:rsid w:val="00A77865"/>
    <w:rsid w:val="00A77A5B"/>
    <w:rsid w:val="00A77BB2"/>
    <w:rsid w:val="00A81A37"/>
    <w:rsid w:val="00A81D63"/>
    <w:rsid w:val="00A82FDD"/>
    <w:rsid w:val="00A83AEE"/>
    <w:rsid w:val="00A83CD2"/>
    <w:rsid w:val="00A840A6"/>
    <w:rsid w:val="00A8439E"/>
    <w:rsid w:val="00A85818"/>
    <w:rsid w:val="00A85CBC"/>
    <w:rsid w:val="00A90626"/>
    <w:rsid w:val="00A90822"/>
    <w:rsid w:val="00A931D4"/>
    <w:rsid w:val="00A93432"/>
    <w:rsid w:val="00A93556"/>
    <w:rsid w:val="00A9362E"/>
    <w:rsid w:val="00A936E7"/>
    <w:rsid w:val="00A94758"/>
    <w:rsid w:val="00A9502C"/>
    <w:rsid w:val="00A962A7"/>
    <w:rsid w:val="00A96DBB"/>
    <w:rsid w:val="00A96FFF"/>
    <w:rsid w:val="00A97D61"/>
    <w:rsid w:val="00AA0E19"/>
    <w:rsid w:val="00AA276B"/>
    <w:rsid w:val="00AA29A8"/>
    <w:rsid w:val="00AA2C1C"/>
    <w:rsid w:val="00AA3BB9"/>
    <w:rsid w:val="00AA46C6"/>
    <w:rsid w:val="00AA63ED"/>
    <w:rsid w:val="00AA70C2"/>
    <w:rsid w:val="00AB0693"/>
    <w:rsid w:val="00AB0B03"/>
    <w:rsid w:val="00AB1F76"/>
    <w:rsid w:val="00AB2489"/>
    <w:rsid w:val="00AB28DD"/>
    <w:rsid w:val="00AB299D"/>
    <w:rsid w:val="00AB2E53"/>
    <w:rsid w:val="00AB317E"/>
    <w:rsid w:val="00AB45F2"/>
    <w:rsid w:val="00AB4CA8"/>
    <w:rsid w:val="00AB506B"/>
    <w:rsid w:val="00AB54A2"/>
    <w:rsid w:val="00AB57EA"/>
    <w:rsid w:val="00AB5C50"/>
    <w:rsid w:val="00AC012D"/>
    <w:rsid w:val="00AC01B4"/>
    <w:rsid w:val="00AC1D6E"/>
    <w:rsid w:val="00AC1E5F"/>
    <w:rsid w:val="00AC2AFA"/>
    <w:rsid w:val="00AC2BD3"/>
    <w:rsid w:val="00AC2EDC"/>
    <w:rsid w:val="00AC35FF"/>
    <w:rsid w:val="00AC60D8"/>
    <w:rsid w:val="00AC6104"/>
    <w:rsid w:val="00AC74DF"/>
    <w:rsid w:val="00AC7A70"/>
    <w:rsid w:val="00AD02B3"/>
    <w:rsid w:val="00AD1D6F"/>
    <w:rsid w:val="00AD3357"/>
    <w:rsid w:val="00AD3F83"/>
    <w:rsid w:val="00AD4A08"/>
    <w:rsid w:val="00AD510D"/>
    <w:rsid w:val="00AD54CA"/>
    <w:rsid w:val="00AD5967"/>
    <w:rsid w:val="00AD6396"/>
    <w:rsid w:val="00AD64B4"/>
    <w:rsid w:val="00AD7144"/>
    <w:rsid w:val="00AD738E"/>
    <w:rsid w:val="00AD7832"/>
    <w:rsid w:val="00AD7A79"/>
    <w:rsid w:val="00AE0CC8"/>
    <w:rsid w:val="00AE11D4"/>
    <w:rsid w:val="00AE1598"/>
    <w:rsid w:val="00AE1745"/>
    <w:rsid w:val="00AE430D"/>
    <w:rsid w:val="00AE6E90"/>
    <w:rsid w:val="00AE7A42"/>
    <w:rsid w:val="00AE7BE1"/>
    <w:rsid w:val="00AF01D3"/>
    <w:rsid w:val="00AF2C2C"/>
    <w:rsid w:val="00AF3981"/>
    <w:rsid w:val="00AF3BB6"/>
    <w:rsid w:val="00AF3DD9"/>
    <w:rsid w:val="00AF3F5F"/>
    <w:rsid w:val="00AF4632"/>
    <w:rsid w:val="00AF4E02"/>
    <w:rsid w:val="00AF5BF0"/>
    <w:rsid w:val="00AF5DED"/>
    <w:rsid w:val="00AF7B43"/>
    <w:rsid w:val="00AF7CAC"/>
    <w:rsid w:val="00B02FC0"/>
    <w:rsid w:val="00B0344B"/>
    <w:rsid w:val="00B042D1"/>
    <w:rsid w:val="00B0452F"/>
    <w:rsid w:val="00B04DA1"/>
    <w:rsid w:val="00B058F1"/>
    <w:rsid w:val="00B05AA4"/>
    <w:rsid w:val="00B06A96"/>
    <w:rsid w:val="00B07959"/>
    <w:rsid w:val="00B1108E"/>
    <w:rsid w:val="00B11AEF"/>
    <w:rsid w:val="00B11D27"/>
    <w:rsid w:val="00B1260C"/>
    <w:rsid w:val="00B13751"/>
    <w:rsid w:val="00B13B80"/>
    <w:rsid w:val="00B13BEE"/>
    <w:rsid w:val="00B1413F"/>
    <w:rsid w:val="00B16026"/>
    <w:rsid w:val="00B16A36"/>
    <w:rsid w:val="00B16CFC"/>
    <w:rsid w:val="00B20883"/>
    <w:rsid w:val="00B219C6"/>
    <w:rsid w:val="00B220BA"/>
    <w:rsid w:val="00B22862"/>
    <w:rsid w:val="00B22D5D"/>
    <w:rsid w:val="00B2427E"/>
    <w:rsid w:val="00B2439D"/>
    <w:rsid w:val="00B24515"/>
    <w:rsid w:val="00B24C8A"/>
    <w:rsid w:val="00B262CE"/>
    <w:rsid w:val="00B2724A"/>
    <w:rsid w:val="00B30837"/>
    <w:rsid w:val="00B30D15"/>
    <w:rsid w:val="00B31A7A"/>
    <w:rsid w:val="00B32FA7"/>
    <w:rsid w:val="00B33BA5"/>
    <w:rsid w:val="00B34211"/>
    <w:rsid w:val="00B3739B"/>
    <w:rsid w:val="00B3762B"/>
    <w:rsid w:val="00B3766D"/>
    <w:rsid w:val="00B376F3"/>
    <w:rsid w:val="00B37AD6"/>
    <w:rsid w:val="00B37D59"/>
    <w:rsid w:val="00B41026"/>
    <w:rsid w:val="00B410A5"/>
    <w:rsid w:val="00B41CA3"/>
    <w:rsid w:val="00B42423"/>
    <w:rsid w:val="00B42BE6"/>
    <w:rsid w:val="00B44EE9"/>
    <w:rsid w:val="00B460E7"/>
    <w:rsid w:val="00B46B94"/>
    <w:rsid w:val="00B47CC8"/>
    <w:rsid w:val="00B51E26"/>
    <w:rsid w:val="00B5286D"/>
    <w:rsid w:val="00B52C0C"/>
    <w:rsid w:val="00B53070"/>
    <w:rsid w:val="00B53EEC"/>
    <w:rsid w:val="00B540B2"/>
    <w:rsid w:val="00B544AF"/>
    <w:rsid w:val="00B55917"/>
    <w:rsid w:val="00B55A92"/>
    <w:rsid w:val="00B55ECC"/>
    <w:rsid w:val="00B5763E"/>
    <w:rsid w:val="00B60198"/>
    <w:rsid w:val="00B6060C"/>
    <w:rsid w:val="00B60AE7"/>
    <w:rsid w:val="00B614D7"/>
    <w:rsid w:val="00B62997"/>
    <w:rsid w:val="00B63510"/>
    <w:rsid w:val="00B6390A"/>
    <w:rsid w:val="00B63930"/>
    <w:rsid w:val="00B63A57"/>
    <w:rsid w:val="00B63B7A"/>
    <w:rsid w:val="00B63D95"/>
    <w:rsid w:val="00B63F17"/>
    <w:rsid w:val="00B64057"/>
    <w:rsid w:val="00B64337"/>
    <w:rsid w:val="00B64C8E"/>
    <w:rsid w:val="00B65304"/>
    <w:rsid w:val="00B65E71"/>
    <w:rsid w:val="00B664C6"/>
    <w:rsid w:val="00B671A3"/>
    <w:rsid w:val="00B704CC"/>
    <w:rsid w:val="00B705D3"/>
    <w:rsid w:val="00B7074B"/>
    <w:rsid w:val="00B71EFE"/>
    <w:rsid w:val="00B734D3"/>
    <w:rsid w:val="00B73EA8"/>
    <w:rsid w:val="00B74F90"/>
    <w:rsid w:val="00B75056"/>
    <w:rsid w:val="00B75274"/>
    <w:rsid w:val="00B754E6"/>
    <w:rsid w:val="00B757ED"/>
    <w:rsid w:val="00B7585B"/>
    <w:rsid w:val="00B765F9"/>
    <w:rsid w:val="00B81146"/>
    <w:rsid w:val="00B8303E"/>
    <w:rsid w:val="00B83532"/>
    <w:rsid w:val="00B83D03"/>
    <w:rsid w:val="00B84F65"/>
    <w:rsid w:val="00B852A3"/>
    <w:rsid w:val="00B85DE7"/>
    <w:rsid w:val="00B8613F"/>
    <w:rsid w:val="00B87443"/>
    <w:rsid w:val="00B87E11"/>
    <w:rsid w:val="00B900F1"/>
    <w:rsid w:val="00B90948"/>
    <w:rsid w:val="00B90B33"/>
    <w:rsid w:val="00B91392"/>
    <w:rsid w:val="00B91E24"/>
    <w:rsid w:val="00B9248C"/>
    <w:rsid w:val="00B92496"/>
    <w:rsid w:val="00B92875"/>
    <w:rsid w:val="00B93399"/>
    <w:rsid w:val="00B9392E"/>
    <w:rsid w:val="00B93EEC"/>
    <w:rsid w:val="00B96B4D"/>
    <w:rsid w:val="00B96CF8"/>
    <w:rsid w:val="00B97820"/>
    <w:rsid w:val="00B97E9E"/>
    <w:rsid w:val="00BA08EB"/>
    <w:rsid w:val="00BA0D03"/>
    <w:rsid w:val="00BA0F02"/>
    <w:rsid w:val="00BA1623"/>
    <w:rsid w:val="00BA1E55"/>
    <w:rsid w:val="00BA39BF"/>
    <w:rsid w:val="00BA44A4"/>
    <w:rsid w:val="00BA5142"/>
    <w:rsid w:val="00BA571D"/>
    <w:rsid w:val="00BA586C"/>
    <w:rsid w:val="00BA7B79"/>
    <w:rsid w:val="00BB0E1F"/>
    <w:rsid w:val="00BB0F80"/>
    <w:rsid w:val="00BB11F7"/>
    <w:rsid w:val="00BB365C"/>
    <w:rsid w:val="00BB3A32"/>
    <w:rsid w:val="00BB3D90"/>
    <w:rsid w:val="00BB476B"/>
    <w:rsid w:val="00BB4DE9"/>
    <w:rsid w:val="00BB6224"/>
    <w:rsid w:val="00BB7244"/>
    <w:rsid w:val="00BB75CA"/>
    <w:rsid w:val="00BB75CD"/>
    <w:rsid w:val="00BB7B91"/>
    <w:rsid w:val="00BC1207"/>
    <w:rsid w:val="00BC2009"/>
    <w:rsid w:val="00BC2B1C"/>
    <w:rsid w:val="00BC39A4"/>
    <w:rsid w:val="00BC3CA5"/>
    <w:rsid w:val="00BC5434"/>
    <w:rsid w:val="00BC595A"/>
    <w:rsid w:val="00BC5FDC"/>
    <w:rsid w:val="00BD0909"/>
    <w:rsid w:val="00BD2361"/>
    <w:rsid w:val="00BD2ECD"/>
    <w:rsid w:val="00BD43C0"/>
    <w:rsid w:val="00BD4587"/>
    <w:rsid w:val="00BD5CF9"/>
    <w:rsid w:val="00BD5F9A"/>
    <w:rsid w:val="00BD667B"/>
    <w:rsid w:val="00BD6F53"/>
    <w:rsid w:val="00BD74DD"/>
    <w:rsid w:val="00BE0253"/>
    <w:rsid w:val="00BE0557"/>
    <w:rsid w:val="00BE14BB"/>
    <w:rsid w:val="00BE1FC6"/>
    <w:rsid w:val="00BE2214"/>
    <w:rsid w:val="00BE2B69"/>
    <w:rsid w:val="00BE2DD8"/>
    <w:rsid w:val="00BE3385"/>
    <w:rsid w:val="00BE4CE8"/>
    <w:rsid w:val="00BE5B36"/>
    <w:rsid w:val="00BE702E"/>
    <w:rsid w:val="00BE74A4"/>
    <w:rsid w:val="00BE7877"/>
    <w:rsid w:val="00BF016E"/>
    <w:rsid w:val="00BF2203"/>
    <w:rsid w:val="00BF37BD"/>
    <w:rsid w:val="00BF3CBB"/>
    <w:rsid w:val="00BF3F36"/>
    <w:rsid w:val="00BF51BB"/>
    <w:rsid w:val="00BF6651"/>
    <w:rsid w:val="00BF7B96"/>
    <w:rsid w:val="00BF7FA5"/>
    <w:rsid w:val="00C00852"/>
    <w:rsid w:val="00C00D11"/>
    <w:rsid w:val="00C00FB0"/>
    <w:rsid w:val="00C0225D"/>
    <w:rsid w:val="00C03262"/>
    <w:rsid w:val="00C03E29"/>
    <w:rsid w:val="00C04B2D"/>
    <w:rsid w:val="00C04E10"/>
    <w:rsid w:val="00C068BD"/>
    <w:rsid w:val="00C075CC"/>
    <w:rsid w:val="00C07F93"/>
    <w:rsid w:val="00C12E3E"/>
    <w:rsid w:val="00C133EA"/>
    <w:rsid w:val="00C136F5"/>
    <w:rsid w:val="00C138A1"/>
    <w:rsid w:val="00C13A7E"/>
    <w:rsid w:val="00C14D7D"/>
    <w:rsid w:val="00C15375"/>
    <w:rsid w:val="00C15CFE"/>
    <w:rsid w:val="00C17012"/>
    <w:rsid w:val="00C17159"/>
    <w:rsid w:val="00C200AF"/>
    <w:rsid w:val="00C20199"/>
    <w:rsid w:val="00C220C2"/>
    <w:rsid w:val="00C226F5"/>
    <w:rsid w:val="00C22D37"/>
    <w:rsid w:val="00C235EB"/>
    <w:rsid w:val="00C237A8"/>
    <w:rsid w:val="00C237B0"/>
    <w:rsid w:val="00C242B6"/>
    <w:rsid w:val="00C24593"/>
    <w:rsid w:val="00C24663"/>
    <w:rsid w:val="00C2494B"/>
    <w:rsid w:val="00C260A2"/>
    <w:rsid w:val="00C278C6"/>
    <w:rsid w:val="00C30747"/>
    <w:rsid w:val="00C307E6"/>
    <w:rsid w:val="00C30B00"/>
    <w:rsid w:val="00C313FC"/>
    <w:rsid w:val="00C31A5A"/>
    <w:rsid w:val="00C325B3"/>
    <w:rsid w:val="00C32F9E"/>
    <w:rsid w:val="00C33923"/>
    <w:rsid w:val="00C33DC2"/>
    <w:rsid w:val="00C3456D"/>
    <w:rsid w:val="00C34C3B"/>
    <w:rsid w:val="00C35CDE"/>
    <w:rsid w:val="00C361A8"/>
    <w:rsid w:val="00C3637E"/>
    <w:rsid w:val="00C369A7"/>
    <w:rsid w:val="00C3708A"/>
    <w:rsid w:val="00C370CC"/>
    <w:rsid w:val="00C3735B"/>
    <w:rsid w:val="00C37514"/>
    <w:rsid w:val="00C4018A"/>
    <w:rsid w:val="00C4066E"/>
    <w:rsid w:val="00C40937"/>
    <w:rsid w:val="00C422E4"/>
    <w:rsid w:val="00C42912"/>
    <w:rsid w:val="00C435D3"/>
    <w:rsid w:val="00C43891"/>
    <w:rsid w:val="00C43E8A"/>
    <w:rsid w:val="00C4523E"/>
    <w:rsid w:val="00C455FB"/>
    <w:rsid w:val="00C500F8"/>
    <w:rsid w:val="00C50960"/>
    <w:rsid w:val="00C5175E"/>
    <w:rsid w:val="00C523F5"/>
    <w:rsid w:val="00C52838"/>
    <w:rsid w:val="00C542A1"/>
    <w:rsid w:val="00C5454E"/>
    <w:rsid w:val="00C54B5C"/>
    <w:rsid w:val="00C54C34"/>
    <w:rsid w:val="00C5594E"/>
    <w:rsid w:val="00C57C1A"/>
    <w:rsid w:val="00C57F78"/>
    <w:rsid w:val="00C602EB"/>
    <w:rsid w:val="00C618AA"/>
    <w:rsid w:val="00C626CF"/>
    <w:rsid w:val="00C62A17"/>
    <w:rsid w:val="00C64742"/>
    <w:rsid w:val="00C65506"/>
    <w:rsid w:val="00C66C9A"/>
    <w:rsid w:val="00C6774E"/>
    <w:rsid w:val="00C72891"/>
    <w:rsid w:val="00C73E2D"/>
    <w:rsid w:val="00C74912"/>
    <w:rsid w:val="00C74941"/>
    <w:rsid w:val="00C7511E"/>
    <w:rsid w:val="00C754DB"/>
    <w:rsid w:val="00C75975"/>
    <w:rsid w:val="00C75A00"/>
    <w:rsid w:val="00C762CE"/>
    <w:rsid w:val="00C76413"/>
    <w:rsid w:val="00C765E0"/>
    <w:rsid w:val="00C76C3B"/>
    <w:rsid w:val="00C76E71"/>
    <w:rsid w:val="00C801FB"/>
    <w:rsid w:val="00C8088F"/>
    <w:rsid w:val="00C815BB"/>
    <w:rsid w:val="00C820B5"/>
    <w:rsid w:val="00C824A8"/>
    <w:rsid w:val="00C82752"/>
    <w:rsid w:val="00C82E23"/>
    <w:rsid w:val="00C83159"/>
    <w:rsid w:val="00C8323A"/>
    <w:rsid w:val="00C85022"/>
    <w:rsid w:val="00C8594A"/>
    <w:rsid w:val="00C921F5"/>
    <w:rsid w:val="00C92AF4"/>
    <w:rsid w:val="00C92ED2"/>
    <w:rsid w:val="00C94FD4"/>
    <w:rsid w:val="00C95099"/>
    <w:rsid w:val="00C95668"/>
    <w:rsid w:val="00C9581E"/>
    <w:rsid w:val="00C95C43"/>
    <w:rsid w:val="00C97EF0"/>
    <w:rsid w:val="00CA2D73"/>
    <w:rsid w:val="00CA2F24"/>
    <w:rsid w:val="00CA3B13"/>
    <w:rsid w:val="00CA44E9"/>
    <w:rsid w:val="00CA4C11"/>
    <w:rsid w:val="00CA4FB2"/>
    <w:rsid w:val="00CA5FA9"/>
    <w:rsid w:val="00CA62A1"/>
    <w:rsid w:val="00CA63CB"/>
    <w:rsid w:val="00CA6C01"/>
    <w:rsid w:val="00CA710D"/>
    <w:rsid w:val="00CA74BF"/>
    <w:rsid w:val="00CA77D8"/>
    <w:rsid w:val="00CA7CA3"/>
    <w:rsid w:val="00CB03A3"/>
    <w:rsid w:val="00CB1013"/>
    <w:rsid w:val="00CB2EFE"/>
    <w:rsid w:val="00CB30D9"/>
    <w:rsid w:val="00CB3CE8"/>
    <w:rsid w:val="00CB4B4D"/>
    <w:rsid w:val="00CB6175"/>
    <w:rsid w:val="00CB6D4B"/>
    <w:rsid w:val="00CB766E"/>
    <w:rsid w:val="00CB7AA2"/>
    <w:rsid w:val="00CC0349"/>
    <w:rsid w:val="00CC044C"/>
    <w:rsid w:val="00CC0A22"/>
    <w:rsid w:val="00CC15D4"/>
    <w:rsid w:val="00CC1696"/>
    <w:rsid w:val="00CC2777"/>
    <w:rsid w:val="00CC5E62"/>
    <w:rsid w:val="00CC6591"/>
    <w:rsid w:val="00CD0545"/>
    <w:rsid w:val="00CD0AC5"/>
    <w:rsid w:val="00CD0E89"/>
    <w:rsid w:val="00CD19D2"/>
    <w:rsid w:val="00CD26C9"/>
    <w:rsid w:val="00CD27DE"/>
    <w:rsid w:val="00CD4194"/>
    <w:rsid w:val="00CD483D"/>
    <w:rsid w:val="00CD4DD1"/>
    <w:rsid w:val="00CD572C"/>
    <w:rsid w:val="00CD67BB"/>
    <w:rsid w:val="00CD70D2"/>
    <w:rsid w:val="00CD7213"/>
    <w:rsid w:val="00CD7671"/>
    <w:rsid w:val="00CE0497"/>
    <w:rsid w:val="00CE072B"/>
    <w:rsid w:val="00CE231C"/>
    <w:rsid w:val="00CE24F7"/>
    <w:rsid w:val="00CE3C2E"/>
    <w:rsid w:val="00CE4D43"/>
    <w:rsid w:val="00CE4F5A"/>
    <w:rsid w:val="00CE6789"/>
    <w:rsid w:val="00CE6FD4"/>
    <w:rsid w:val="00CE7A2D"/>
    <w:rsid w:val="00CE7E22"/>
    <w:rsid w:val="00CF1D34"/>
    <w:rsid w:val="00CF2099"/>
    <w:rsid w:val="00CF3ED6"/>
    <w:rsid w:val="00CF4097"/>
    <w:rsid w:val="00CF521A"/>
    <w:rsid w:val="00CF589B"/>
    <w:rsid w:val="00CF5EC0"/>
    <w:rsid w:val="00CF617A"/>
    <w:rsid w:val="00CF6719"/>
    <w:rsid w:val="00D001F0"/>
    <w:rsid w:val="00D00386"/>
    <w:rsid w:val="00D009CC"/>
    <w:rsid w:val="00D0170C"/>
    <w:rsid w:val="00D029A9"/>
    <w:rsid w:val="00D029F0"/>
    <w:rsid w:val="00D03537"/>
    <w:rsid w:val="00D03BED"/>
    <w:rsid w:val="00D03F49"/>
    <w:rsid w:val="00D056EA"/>
    <w:rsid w:val="00D06F95"/>
    <w:rsid w:val="00D07B8A"/>
    <w:rsid w:val="00D11FDC"/>
    <w:rsid w:val="00D1215A"/>
    <w:rsid w:val="00D128AB"/>
    <w:rsid w:val="00D15D03"/>
    <w:rsid w:val="00D15D8F"/>
    <w:rsid w:val="00D1611F"/>
    <w:rsid w:val="00D20611"/>
    <w:rsid w:val="00D20EE1"/>
    <w:rsid w:val="00D20F11"/>
    <w:rsid w:val="00D21A2A"/>
    <w:rsid w:val="00D22626"/>
    <w:rsid w:val="00D23046"/>
    <w:rsid w:val="00D24459"/>
    <w:rsid w:val="00D25C9D"/>
    <w:rsid w:val="00D25D83"/>
    <w:rsid w:val="00D265F1"/>
    <w:rsid w:val="00D26635"/>
    <w:rsid w:val="00D27B97"/>
    <w:rsid w:val="00D30A8C"/>
    <w:rsid w:val="00D30DDF"/>
    <w:rsid w:val="00D311D5"/>
    <w:rsid w:val="00D31DBB"/>
    <w:rsid w:val="00D32693"/>
    <w:rsid w:val="00D33030"/>
    <w:rsid w:val="00D3350D"/>
    <w:rsid w:val="00D33BD6"/>
    <w:rsid w:val="00D34A36"/>
    <w:rsid w:val="00D34E4A"/>
    <w:rsid w:val="00D34E70"/>
    <w:rsid w:val="00D35900"/>
    <w:rsid w:val="00D35AE0"/>
    <w:rsid w:val="00D402D2"/>
    <w:rsid w:val="00D409CF"/>
    <w:rsid w:val="00D40BC3"/>
    <w:rsid w:val="00D40F80"/>
    <w:rsid w:val="00D41821"/>
    <w:rsid w:val="00D41896"/>
    <w:rsid w:val="00D41951"/>
    <w:rsid w:val="00D42D60"/>
    <w:rsid w:val="00D44183"/>
    <w:rsid w:val="00D450C0"/>
    <w:rsid w:val="00D4518D"/>
    <w:rsid w:val="00D46199"/>
    <w:rsid w:val="00D462F6"/>
    <w:rsid w:val="00D4663C"/>
    <w:rsid w:val="00D468A4"/>
    <w:rsid w:val="00D46EB1"/>
    <w:rsid w:val="00D46EED"/>
    <w:rsid w:val="00D474CE"/>
    <w:rsid w:val="00D47E76"/>
    <w:rsid w:val="00D505F3"/>
    <w:rsid w:val="00D5212C"/>
    <w:rsid w:val="00D52324"/>
    <w:rsid w:val="00D5261C"/>
    <w:rsid w:val="00D530F8"/>
    <w:rsid w:val="00D578E9"/>
    <w:rsid w:val="00D57B6C"/>
    <w:rsid w:val="00D6081E"/>
    <w:rsid w:val="00D62512"/>
    <w:rsid w:val="00D64471"/>
    <w:rsid w:val="00D65668"/>
    <w:rsid w:val="00D659C9"/>
    <w:rsid w:val="00D666B6"/>
    <w:rsid w:val="00D67F53"/>
    <w:rsid w:val="00D70067"/>
    <w:rsid w:val="00D705DB"/>
    <w:rsid w:val="00D7236A"/>
    <w:rsid w:val="00D72C03"/>
    <w:rsid w:val="00D74850"/>
    <w:rsid w:val="00D7595B"/>
    <w:rsid w:val="00D7613E"/>
    <w:rsid w:val="00D7691A"/>
    <w:rsid w:val="00D76E05"/>
    <w:rsid w:val="00D80098"/>
    <w:rsid w:val="00D81FD2"/>
    <w:rsid w:val="00D82348"/>
    <w:rsid w:val="00D83B3F"/>
    <w:rsid w:val="00D851B7"/>
    <w:rsid w:val="00D864A3"/>
    <w:rsid w:val="00D90516"/>
    <w:rsid w:val="00D912D1"/>
    <w:rsid w:val="00D91AB5"/>
    <w:rsid w:val="00D91D19"/>
    <w:rsid w:val="00D930AA"/>
    <w:rsid w:val="00D9398D"/>
    <w:rsid w:val="00D945EA"/>
    <w:rsid w:val="00D94844"/>
    <w:rsid w:val="00D94855"/>
    <w:rsid w:val="00D95F48"/>
    <w:rsid w:val="00D97338"/>
    <w:rsid w:val="00D97A5D"/>
    <w:rsid w:val="00D97C3B"/>
    <w:rsid w:val="00DA0682"/>
    <w:rsid w:val="00DA0D29"/>
    <w:rsid w:val="00DA1773"/>
    <w:rsid w:val="00DA1E1E"/>
    <w:rsid w:val="00DA3E27"/>
    <w:rsid w:val="00DA43B9"/>
    <w:rsid w:val="00DA47B3"/>
    <w:rsid w:val="00DA754C"/>
    <w:rsid w:val="00DA7CA6"/>
    <w:rsid w:val="00DB01B5"/>
    <w:rsid w:val="00DB02AE"/>
    <w:rsid w:val="00DB11B2"/>
    <w:rsid w:val="00DB3298"/>
    <w:rsid w:val="00DB3780"/>
    <w:rsid w:val="00DB3F1C"/>
    <w:rsid w:val="00DB4695"/>
    <w:rsid w:val="00DB6352"/>
    <w:rsid w:val="00DB64F9"/>
    <w:rsid w:val="00DB6724"/>
    <w:rsid w:val="00DB6789"/>
    <w:rsid w:val="00DB68BD"/>
    <w:rsid w:val="00DB767A"/>
    <w:rsid w:val="00DC0F6C"/>
    <w:rsid w:val="00DC1054"/>
    <w:rsid w:val="00DC10AD"/>
    <w:rsid w:val="00DC2C95"/>
    <w:rsid w:val="00DC4781"/>
    <w:rsid w:val="00DC4B41"/>
    <w:rsid w:val="00DC4B4F"/>
    <w:rsid w:val="00DC4E04"/>
    <w:rsid w:val="00DC55B8"/>
    <w:rsid w:val="00DC5B55"/>
    <w:rsid w:val="00DC6599"/>
    <w:rsid w:val="00DC6B03"/>
    <w:rsid w:val="00DC7F1D"/>
    <w:rsid w:val="00DC7FBE"/>
    <w:rsid w:val="00DD0D4A"/>
    <w:rsid w:val="00DD10B0"/>
    <w:rsid w:val="00DD1578"/>
    <w:rsid w:val="00DD2DC5"/>
    <w:rsid w:val="00DD2ED5"/>
    <w:rsid w:val="00DD31AD"/>
    <w:rsid w:val="00DD3684"/>
    <w:rsid w:val="00DD4205"/>
    <w:rsid w:val="00DD4FF9"/>
    <w:rsid w:val="00DD5485"/>
    <w:rsid w:val="00DD5814"/>
    <w:rsid w:val="00DD59D2"/>
    <w:rsid w:val="00DD5B49"/>
    <w:rsid w:val="00DD5C6E"/>
    <w:rsid w:val="00DD6EF3"/>
    <w:rsid w:val="00DD7322"/>
    <w:rsid w:val="00DE09D2"/>
    <w:rsid w:val="00DE13C6"/>
    <w:rsid w:val="00DE1780"/>
    <w:rsid w:val="00DE39C3"/>
    <w:rsid w:val="00DE3DE1"/>
    <w:rsid w:val="00DE3FBA"/>
    <w:rsid w:val="00DE407B"/>
    <w:rsid w:val="00DE4E39"/>
    <w:rsid w:val="00DE51BE"/>
    <w:rsid w:val="00DE5581"/>
    <w:rsid w:val="00DE6530"/>
    <w:rsid w:val="00DE6C22"/>
    <w:rsid w:val="00DE71C7"/>
    <w:rsid w:val="00DE7CDC"/>
    <w:rsid w:val="00DF138B"/>
    <w:rsid w:val="00DF1F9D"/>
    <w:rsid w:val="00DF2898"/>
    <w:rsid w:val="00DF3530"/>
    <w:rsid w:val="00DF43EF"/>
    <w:rsid w:val="00DF529F"/>
    <w:rsid w:val="00DF5535"/>
    <w:rsid w:val="00DF6F22"/>
    <w:rsid w:val="00DF7103"/>
    <w:rsid w:val="00E008A1"/>
    <w:rsid w:val="00E00AB0"/>
    <w:rsid w:val="00E00B30"/>
    <w:rsid w:val="00E01E9C"/>
    <w:rsid w:val="00E031C3"/>
    <w:rsid w:val="00E0429B"/>
    <w:rsid w:val="00E043B0"/>
    <w:rsid w:val="00E045F9"/>
    <w:rsid w:val="00E04DA3"/>
    <w:rsid w:val="00E069F1"/>
    <w:rsid w:val="00E0758C"/>
    <w:rsid w:val="00E079C6"/>
    <w:rsid w:val="00E1034E"/>
    <w:rsid w:val="00E103C1"/>
    <w:rsid w:val="00E10C96"/>
    <w:rsid w:val="00E11461"/>
    <w:rsid w:val="00E11C80"/>
    <w:rsid w:val="00E15551"/>
    <w:rsid w:val="00E1747B"/>
    <w:rsid w:val="00E236CD"/>
    <w:rsid w:val="00E23EFB"/>
    <w:rsid w:val="00E2414B"/>
    <w:rsid w:val="00E241FC"/>
    <w:rsid w:val="00E24324"/>
    <w:rsid w:val="00E2579E"/>
    <w:rsid w:val="00E2616A"/>
    <w:rsid w:val="00E268BA"/>
    <w:rsid w:val="00E26DF2"/>
    <w:rsid w:val="00E27D7F"/>
    <w:rsid w:val="00E3004D"/>
    <w:rsid w:val="00E30344"/>
    <w:rsid w:val="00E3044D"/>
    <w:rsid w:val="00E3083D"/>
    <w:rsid w:val="00E316A1"/>
    <w:rsid w:val="00E32FE9"/>
    <w:rsid w:val="00E34D51"/>
    <w:rsid w:val="00E35E2E"/>
    <w:rsid w:val="00E36138"/>
    <w:rsid w:val="00E363D6"/>
    <w:rsid w:val="00E363F3"/>
    <w:rsid w:val="00E365CD"/>
    <w:rsid w:val="00E36F28"/>
    <w:rsid w:val="00E377EA"/>
    <w:rsid w:val="00E378AE"/>
    <w:rsid w:val="00E37A5C"/>
    <w:rsid w:val="00E40308"/>
    <w:rsid w:val="00E413EF"/>
    <w:rsid w:val="00E41A2D"/>
    <w:rsid w:val="00E428F1"/>
    <w:rsid w:val="00E43420"/>
    <w:rsid w:val="00E44D21"/>
    <w:rsid w:val="00E45655"/>
    <w:rsid w:val="00E45810"/>
    <w:rsid w:val="00E50F9C"/>
    <w:rsid w:val="00E51D30"/>
    <w:rsid w:val="00E51F83"/>
    <w:rsid w:val="00E54216"/>
    <w:rsid w:val="00E551A9"/>
    <w:rsid w:val="00E5561D"/>
    <w:rsid w:val="00E560F4"/>
    <w:rsid w:val="00E56354"/>
    <w:rsid w:val="00E56501"/>
    <w:rsid w:val="00E56FB9"/>
    <w:rsid w:val="00E579C0"/>
    <w:rsid w:val="00E605E2"/>
    <w:rsid w:val="00E61D3A"/>
    <w:rsid w:val="00E62EAD"/>
    <w:rsid w:val="00E63343"/>
    <w:rsid w:val="00E642E1"/>
    <w:rsid w:val="00E648C2"/>
    <w:rsid w:val="00E672EB"/>
    <w:rsid w:val="00E6782C"/>
    <w:rsid w:val="00E70797"/>
    <w:rsid w:val="00E70882"/>
    <w:rsid w:val="00E711C1"/>
    <w:rsid w:val="00E715D2"/>
    <w:rsid w:val="00E71B54"/>
    <w:rsid w:val="00E71DA3"/>
    <w:rsid w:val="00E72547"/>
    <w:rsid w:val="00E727AA"/>
    <w:rsid w:val="00E728FD"/>
    <w:rsid w:val="00E72CD0"/>
    <w:rsid w:val="00E749EA"/>
    <w:rsid w:val="00E752FC"/>
    <w:rsid w:val="00E761BF"/>
    <w:rsid w:val="00E76478"/>
    <w:rsid w:val="00E7734D"/>
    <w:rsid w:val="00E77C1A"/>
    <w:rsid w:val="00E817A7"/>
    <w:rsid w:val="00E82077"/>
    <w:rsid w:val="00E82268"/>
    <w:rsid w:val="00E82D6D"/>
    <w:rsid w:val="00E83954"/>
    <w:rsid w:val="00E857FE"/>
    <w:rsid w:val="00E859E3"/>
    <w:rsid w:val="00E85AE4"/>
    <w:rsid w:val="00E86486"/>
    <w:rsid w:val="00E8719D"/>
    <w:rsid w:val="00E876A8"/>
    <w:rsid w:val="00E87D47"/>
    <w:rsid w:val="00E90DCD"/>
    <w:rsid w:val="00E91104"/>
    <w:rsid w:val="00E91222"/>
    <w:rsid w:val="00E919B0"/>
    <w:rsid w:val="00E91D72"/>
    <w:rsid w:val="00E934D1"/>
    <w:rsid w:val="00E94200"/>
    <w:rsid w:val="00E94369"/>
    <w:rsid w:val="00E9638C"/>
    <w:rsid w:val="00E964E3"/>
    <w:rsid w:val="00E974B2"/>
    <w:rsid w:val="00E974CF"/>
    <w:rsid w:val="00E975AD"/>
    <w:rsid w:val="00E97714"/>
    <w:rsid w:val="00E97DCE"/>
    <w:rsid w:val="00EA0368"/>
    <w:rsid w:val="00EA2E68"/>
    <w:rsid w:val="00EA2F0F"/>
    <w:rsid w:val="00EA3DE7"/>
    <w:rsid w:val="00EA4B25"/>
    <w:rsid w:val="00EA5371"/>
    <w:rsid w:val="00EA5CED"/>
    <w:rsid w:val="00EA6415"/>
    <w:rsid w:val="00EA75DB"/>
    <w:rsid w:val="00EA7C7A"/>
    <w:rsid w:val="00EA7CA0"/>
    <w:rsid w:val="00EA7F45"/>
    <w:rsid w:val="00EB0C1B"/>
    <w:rsid w:val="00EB2CE1"/>
    <w:rsid w:val="00EB3959"/>
    <w:rsid w:val="00EB3AFA"/>
    <w:rsid w:val="00EB3B61"/>
    <w:rsid w:val="00EB3C7D"/>
    <w:rsid w:val="00EB65D9"/>
    <w:rsid w:val="00EB6989"/>
    <w:rsid w:val="00EB7292"/>
    <w:rsid w:val="00EC030A"/>
    <w:rsid w:val="00EC09D0"/>
    <w:rsid w:val="00EC0F47"/>
    <w:rsid w:val="00EC10DB"/>
    <w:rsid w:val="00EC1261"/>
    <w:rsid w:val="00EC1F4E"/>
    <w:rsid w:val="00EC23A5"/>
    <w:rsid w:val="00EC2415"/>
    <w:rsid w:val="00EC2CE3"/>
    <w:rsid w:val="00EC4278"/>
    <w:rsid w:val="00EC45D1"/>
    <w:rsid w:val="00EC4DD0"/>
    <w:rsid w:val="00EC7778"/>
    <w:rsid w:val="00ED0A5A"/>
    <w:rsid w:val="00ED1840"/>
    <w:rsid w:val="00ED31B2"/>
    <w:rsid w:val="00ED373B"/>
    <w:rsid w:val="00ED3F93"/>
    <w:rsid w:val="00ED4E10"/>
    <w:rsid w:val="00ED530C"/>
    <w:rsid w:val="00ED69B6"/>
    <w:rsid w:val="00ED768D"/>
    <w:rsid w:val="00EE2987"/>
    <w:rsid w:val="00EE35FE"/>
    <w:rsid w:val="00EE3A79"/>
    <w:rsid w:val="00EE6689"/>
    <w:rsid w:val="00EE6F92"/>
    <w:rsid w:val="00EF0A1A"/>
    <w:rsid w:val="00EF263A"/>
    <w:rsid w:val="00EF3485"/>
    <w:rsid w:val="00EF42C3"/>
    <w:rsid w:val="00EF4A36"/>
    <w:rsid w:val="00EF4EB4"/>
    <w:rsid w:val="00EF525A"/>
    <w:rsid w:val="00EF5B20"/>
    <w:rsid w:val="00EF6273"/>
    <w:rsid w:val="00EF65A7"/>
    <w:rsid w:val="00F00D95"/>
    <w:rsid w:val="00F00F09"/>
    <w:rsid w:val="00F017D1"/>
    <w:rsid w:val="00F01B54"/>
    <w:rsid w:val="00F01CB9"/>
    <w:rsid w:val="00F01F5A"/>
    <w:rsid w:val="00F038BE"/>
    <w:rsid w:val="00F03FC8"/>
    <w:rsid w:val="00F041A2"/>
    <w:rsid w:val="00F042D8"/>
    <w:rsid w:val="00F04B8D"/>
    <w:rsid w:val="00F04D92"/>
    <w:rsid w:val="00F04DA0"/>
    <w:rsid w:val="00F05CCA"/>
    <w:rsid w:val="00F06244"/>
    <w:rsid w:val="00F06B3A"/>
    <w:rsid w:val="00F127F8"/>
    <w:rsid w:val="00F1282D"/>
    <w:rsid w:val="00F13C7A"/>
    <w:rsid w:val="00F15703"/>
    <w:rsid w:val="00F16090"/>
    <w:rsid w:val="00F1630F"/>
    <w:rsid w:val="00F1678B"/>
    <w:rsid w:val="00F17AD0"/>
    <w:rsid w:val="00F21192"/>
    <w:rsid w:val="00F22DA6"/>
    <w:rsid w:val="00F234BC"/>
    <w:rsid w:val="00F279C3"/>
    <w:rsid w:val="00F27CEB"/>
    <w:rsid w:val="00F27D68"/>
    <w:rsid w:val="00F300DB"/>
    <w:rsid w:val="00F313C8"/>
    <w:rsid w:val="00F31B6B"/>
    <w:rsid w:val="00F327B1"/>
    <w:rsid w:val="00F330BF"/>
    <w:rsid w:val="00F3367F"/>
    <w:rsid w:val="00F34BF4"/>
    <w:rsid w:val="00F34DF6"/>
    <w:rsid w:val="00F35410"/>
    <w:rsid w:val="00F36FCE"/>
    <w:rsid w:val="00F374DF"/>
    <w:rsid w:val="00F41BE8"/>
    <w:rsid w:val="00F448D0"/>
    <w:rsid w:val="00F449D2"/>
    <w:rsid w:val="00F4588A"/>
    <w:rsid w:val="00F46FA2"/>
    <w:rsid w:val="00F4712C"/>
    <w:rsid w:val="00F4747C"/>
    <w:rsid w:val="00F47F50"/>
    <w:rsid w:val="00F504B8"/>
    <w:rsid w:val="00F5140A"/>
    <w:rsid w:val="00F51432"/>
    <w:rsid w:val="00F519E3"/>
    <w:rsid w:val="00F51F5D"/>
    <w:rsid w:val="00F5312C"/>
    <w:rsid w:val="00F539A0"/>
    <w:rsid w:val="00F54077"/>
    <w:rsid w:val="00F54577"/>
    <w:rsid w:val="00F55572"/>
    <w:rsid w:val="00F56515"/>
    <w:rsid w:val="00F56EE0"/>
    <w:rsid w:val="00F5714F"/>
    <w:rsid w:val="00F60BFB"/>
    <w:rsid w:val="00F617DE"/>
    <w:rsid w:val="00F63008"/>
    <w:rsid w:val="00F6307F"/>
    <w:rsid w:val="00F638EE"/>
    <w:rsid w:val="00F6397F"/>
    <w:rsid w:val="00F63F01"/>
    <w:rsid w:val="00F64078"/>
    <w:rsid w:val="00F6416E"/>
    <w:rsid w:val="00F64A05"/>
    <w:rsid w:val="00F64F0A"/>
    <w:rsid w:val="00F658B3"/>
    <w:rsid w:val="00F659F6"/>
    <w:rsid w:val="00F65EDB"/>
    <w:rsid w:val="00F66544"/>
    <w:rsid w:val="00F677D2"/>
    <w:rsid w:val="00F70FEC"/>
    <w:rsid w:val="00F714E4"/>
    <w:rsid w:val="00F73AB1"/>
    <w:rsid w:val="00F73BE7"/>
    <w:rsid w:val="00F741BE"/>
    <w:rsid w:val="00F74C94"/>
    <w:rsid w:val="00F74EB4"/>
    <w:rsid w:val="00F75FF5"/>
    <w:rsid w:val="00F772C0"/>
    <w:rsid w:val="00F776B3"/>
    <w:rsid w:val="00F77AF0"/>
    <w:rsid w:val="00F81139"/>
    <w:rsid w:val="00F81DB7"/>
    <w:rsid w:val="00F8239A"/>
    <w:rsid w:val="00F82AB9"/>
    <w:rsid w:val="00F83FFD"/>
    <w:rsid w:val="00F86474"/>
    <w:rsid w:val="00F91089"/>
    <w:rsid w:val="00F9167C"/>
    <w:rsid w:val="00F92619"/>
    <w:rsid w:val="00F931BF"/>
    <w:rsid w:val="00F93963"/>
    <w:rsid w:val="00F94056"/>
    <w:rsid w:val="00F95481"/>
    <w:rsid w:val="00F95840"/>
    <w:rsid w:val="00F970BC"/>
    <w:rsid w:val="00F9747A"/>
    <w:rsid w:val="00F97BD8"/>
    <w:rsid w:val="00FA1283"/>
    <w:rsid w:val="00FA1F75"/>
    <w:rsid w:val="00FA2D8E"/>
    <w:rsid w:val="00FA2E02"/>
    <w:rsid w:val="00FA35B8"/>
    <w:rsid w:val="00FA368E"/>
    <w:rsid w:val="00FA37D2"/>
    <w:rsid w:val="00FA4D6D"/>
    <w:rsid w:val="00FA4D92"/>
    <w:rsid w:val="00FA5561"/>
    <w:rsid w:val="00FA7304"/>
    <w:rsid w:val="00FA7567"/>
    <w:rsid w:val="00FA7D51"/>
    <w:rsid w:val="00FA7EBD"/>
    <w:rsid w:val="00FB0EB1"/>
    <w:rsid w:val="00FB4382"/>
    <w:rsid w:val="00FB510F"/>
    <w:rsid w:val="00FB58B3"/>
    <w:rsid w:val="00FB631C"/>
    <w:rsid w:val="00FB6E90"/>
    <w:rsid w:val="00FB6FC8"/>
    <w:rsid w:val="00FB77C6"/>
    <w:rsid w:val="00FB7ED1"/>
    <w:rsid w:val="00FC0865"/>
    <w:rsid w:val="00FC148B"/>
    <w:rsid w:val="00FC1E6C"/>
    <w:rsid w:val="00FC3092"/>
    <w:rsid w:val="00FC3168"/>
    <w:rsid w:val="00FC3CFD"/>
    <w:rsid w:val="00FC590A"/>
    <w:rsid w:val="00FC5BC9"/>
    <w:rsid w:val="00FC5DE5"/>
    <w:rsid w:val="00FC6AD1"/>
    <w:rsid w:val="00FC6E94"/>
    <w:rsid w:val="00FD168F"/>
    <w:rsid w:val="00FD225F"/>
    <w:rsid w:val="00FD2B53"/>
    <w:rsid w:val="00FD3741"/>
    <w:rsid w:val="00FD39D4"/>
    <w:rsid w:val="00FD6460"/>
    <w:rsid w:val="00FD6EA4"/>
    <w:rsid w:val="00FD713A"/>
    <w:rsid w:val="00FD719F"/>
    <w:rsid w:val="00FD7508"/>
    <w:rsid w:val="00FD79B9"/>
    <w:rsid w:val="00FE040A"/>
    <w:rsid w:val="00FE4065"/>
    <w:rsid w:val="00FE427A"/>
    <w:rsid w:val="00FE4AB6"/>
    <w:rsid w:val="00FE4D1A"/>
    <w:rsid w:val="00FE63EC"/>
    <w:rsid w:val="00FE64B7"/>
    <w:rsid w:val="00FE6888"/>
    <w:rsid w:val="00FE7312"/>
    <w:rsid w:val="00FE7F42"/>
    <w:rsid w:val="00FF051C"/>
    <w:rsid w:val="00FF1C60"/>
    <w:rsid w:val="00FF1E29"/>
    <w:rsid w:val="00FF1FE0"/>
    <w:rsid w:val="00FF1FE7"/>
    <w:rsid w:val="00FF318E"/>
    <w:rsid w:val="00FF42EF"/>
    <w:rsid w:val="00FF439B"/>
    <w:rsid w:val="00FF517E"/>
    <w:rsid w:val="00FF562F"/>
    <w:rsid w:val="00FF5FBC"/>
    <w:rsid w:val="00FF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2D2B"/>
  <w15:docId w15:val="{50107352-DD5F-4C50-BC4D-70F4F1B2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642E1"/>
    <w:rPr>
      <w:lang w:val="hr-HR"/>
    </w:rPr>
  </w:style>
  <w:style w:type="paragraph" w:styleId="Heading1">
    <w:name w:val="heading 1"/>
    <w:basedOn w:val="Normal"/>
    <w:next w:val="Normal"/>
    <w:link w:val="Heading1Char"/>
    <w:uiPriority w:val="9"/>
    <w:qFormat/>
    <w:rsid w:val="00955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7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CC"/>
    <w:rPr>
      <w:color w:val="0000FF" w:themeColor="hyperlink"/>
      <w:u w:val="single"/>
    </w:rPr>
  </w:style>
  <w:style w:type="character" w:customStyle="1" w:styleId="Heading1Char">
    <w:name w:val="Heading 1 Char"/>
    <w:basedOn w:val="DefaultParagraphFont"/>
    <w:link w:val="Heading1"/>
    <w:uiPriority w:val="9"/>
    <w:rsid w:val="00955DCC"/>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955DCC"/>
    <w:pPr>
      <w:outlineLvl w:val="9"/>
    </w:pPr>
  </w:style>
  <w:style w:type="paragraph" w:styleId="TOC1">
    <w:name w:val="toc 1"/>
    <w:basedOn w:val="Normal"/>
    <w:next w:val="Normal"/>
    <w:autoRedefine/>
    <w:uiPriority w:val="39"/>
    <w:unhideWhenUsed/>
    <w:qFormat/>
    <w:rsid w:val="000251A2"/>
    <w:pPr>
      <w:tabs>
        <w:tab w:val="left" w:pos="440"/>
        <w:tab w:val="right" w:leader="dot" w:pos="9396"/>
      </w:tabs>
      <w:spacing w:after="100" w:line="240" w:lineRule="auto"/>
    </w:pPr>
    <w:rPr>
      <w:rFonts w:ascii="Arial" w:hAnsi="Arial" w:cs="Arial"/>
      <w:noProof/>
      <w:sz w:val="24"/>
      <w:szCs w:val="24"/>
      <w:lang w:val="bs-Latn-BA"/>
    </w:rPr>
  </w:style>
  <w:style w:type="paragraph" w:styleId="TOC2">
    <w:name w:val="toc 2"/>
    <w:basedOn w:val="Normal"/>
    <w:next w:val="Normal"/>
    <w:autoRedefine/>
    <w:uiPriority w:val="39"/>
    <w:unhideWhenUsed/>
    <w:qFormat/>
    <w:rsid w:val="00D7691A"/>
    <w:pPr>
      <w:tabs>
        <w:tab w:val="left" w:pos="880"/>
        <w:tab w:val="right" w:leader="dot" w:pos="9396"/>
      </w:tabs>
      <w:spacing w:after="100" w:line="240" w:lineRule="auto"/>
      <w:ind w:left="220"/>
    </w:pPr>
  </w:style>
  <w:style w:type="paragraph" w:styleId="TOC3">
    <w:name w:val="toc 3"/>
    <w:basedOn w:val="Normal"/>
    <w:next w:val="Normal"/>
    <w:autoRedefine/>
    <w:uiPriority w:val="39"/>
    <w:unhideWhenUsed/>
    <w:qFormat/>
    <w:rsid w:val="008F67FE"/>
    <w:pPr>
      <w:tabs>
        <w:tab w:val="left" w:pos="993"/>
        <w:tab w:val="right" w:leader="dot" w:pos="9356"/>
      </w:tabs>
      <w:spacing w:after="100"/>
      <w:ind w:left="440" w:hanging="298"/>
    </w:pPr>
  </w:style>
  <w:style w:type="paragraph" w:styleId="BalloonText">
    <w:name w:val="Balloon Text"/>
    <w:basedOn w:val="Normal"/>
    <w:link w:val="BalloonTextChar"/>
    <w:uiPriority w:val="99"/>
    <w:semiHidden/>
    <w:unhideWhenUsed/>
    <w:rsid w:val="0095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CC"/>
    <w:rPr>
      <w:rFonts w:ascii="Tahoma" w:hAnsi="Tahoma" w:cs="Tahoma"/>
      <w:sz w:val="16"/>
      <w:szCs w:val="16"/>
      <w:lang w:val="en-US"/>
    </w:rPr>
  </w:style>
  <w:style w:type="paragraph" w:styleId="NoSpacing">
    <w:name w:val="No Spacing"/>
    <w:link w:val="NoSpacingChar"/>
    <w:uiPriority w:val="1"/>
    <w:qFormat/>
    <w:rsid w:val="00955DCC"/>
    <w:pPr>
      <w:spacing w:after="0" w:line="240" w:lineRule="auto"/>
    </w:pPr>
    <w:rPr>
      <w:lang w:val="en-US"/>
    </w:rPr>
  </w:style>
  <w:style w:type="character" w:styleId="CommentReference">
    <w:name w:val="annotation reference"/>
    <w:basedOn w:val="DefaultParagraphFont"/>
    <w:uiPriority w:val="99"/>
    <w:semiHidden/>
    <w:unhideWhenUsed/>
    <w:rsid w:val="00955DCC"/>
    <w:rPr>
      <w:sz w:val="16"/>
      <w:szCs w:val="16"/>
    </w:rPr>
  </w:style>
  <w:style w:type="paragraph" w:styleId="CommentText">
    <w:name w:val="annotation text"/>
    <w:basedOn w:val="Normal"/>
    <w:link w:val="CommentTextChar"/>
    <w:uiPriority w:val="99"/>
    <w:semiHidden/>
    <w:unhideWhenUsed/>
    <w:rsid w:val="00955DCC"/>
    <w:pPr>
      <w:spacing w:line="240" w:lineRule="auto"/>
    </w:pPr>
    <w:rPr>
      <w:sz w:val="20"/>
      <w:szCs w:val="20"/>
    </w:rPr>
  </w:style>
  <w:style w:type="character" w:customStyle="1" w:styleId="CommentTextChar">
    <w:name w:val="Comment Text Char"/>
    <w:basedOn w:val="DefaultParagraphFont"/>
    <w:link w:val="CommentText"/>
    <w:uiPriority w:val="99"/>
    <w:semiHidden/>
    <w:rsid w:val="00955DCC"/>
    <w:rPr>
      <w:sz w:val="20"/>
      <w:szCs w:val="20"/>
      <w:lang w:val="en-US"/>
    </w:rPr>
  </w:style>
  <w:style w:type="character" w:customStyle="1" w:styleId="Heading2Char">
    <w:name w:val="Heading 2 Char"/>
    <w:basedOn w:val="DefaultParagraphFont"/>
    <w:link w:val="Heading2"/>
    <w:uiPriority w:val="9"/>
    <w:rsid w:val="000926BE"/>
    <w:rPr>
      <w:rFonts w:asciiTheme="majorHAnsi" w:eastAsiaTheme="majorEastAsia" w:hAnsiTheme="majorHAnsi" w:cstheme="majorBidi"/>
      <w:b/>
      <w:bCs/>
      <w:color w:val="4F81BD" w:themeColor="accent1"/>
      <w:sz w:val="26"/>
      <w:szCs w:val="26"/>
      <w:lang w:val="en-US"/>
    </w:rPr>
  </w:style>
  <w:style w:type="character" w:styleId="FootnoteReference">
    <w:name w:val="footnote reference"/>
    <w:aliases w:val="ftref,16 Point,Superscript 6 Point,Ref. de nota al pie.,fr, BVI fnr,BVI fnr,Footnote Reference Number,Footnote Reference_LVL6,Footnote Reference_LVL61,Footnote Reference_LVL62,Footnote Reference_LVL63,Footnote Reference_LVL64,4_G,Ref"/>
    <w:link w:val="BVIfnrZchnCharZchnCharCharCharChar"/>
    <w:uiPriority w:val="99"/>
    <w:qFormat/>
    <w:rsid w:val="00C50960"/>
    <w:rPr>
      <w:vertAlign w:val="superscript"/>
    </w:rPr>
  </w:style>
  <w:style w:type="paragraph" w:styleId="FootnoteText">
    <w:name w:val="footnote text"/>
    <w:aliases w:val="fn,Footnote Text Char1,Footnote Text Char Char,FOOTNOTES,single space,ALTS FOOTNOTE,Fodnotetekst Tegn,Footnote Text Char Char Char Char Char Char,ADB,WB-Fußnotentext,Footnote,Fußnote,WB-Fuﬂnotentext,Fuﬂnote,footnote text,Footnote Text 1,f"/>
    <w:basedOn w:val="Normal"/>
    <w:link w:val="FootnoteTextChar2"/>
    <w:uiPriority w:val="99"/>
    <w:qFormat/>
    <w:rsid w:val="00C50960"/>
    <w:pPr>
      <w:spacing w:after="120" w:line="264" w:lineRule="auto"/>
    </w:pPr>
    <w:rPr>
      <w:rFonts w:ascii="Times New Roman" w:eastAsia="SimSun" w:hAnsi="Times New Roman" w:cs="Times New Roman"/>
      <w:sz w:val="20"/>
      <w:szCs w:val="20"/>
    </w:rPr>
  </w:style>
  <w:style w:type="character" w:customStyle="1" w:styleId="FootnoteTextChar">
    <w:name w:val="Footnote Text Char"/>
    <w:aliases w:val="Footnote Text Blue Char,Footnote Text1 Char,Char Char,footnote text Char,Footnote Text Char Char Char Char,Footnote Text Char Char Char1,ft Char,Tegn1 Char1,Tegn1 Char Char, Ch Char, Char Char, Char Char Char Char, Char1 Char Char1"/>
    <w:basedOn w:val="DefaultParagraphFont"/>
    <w:uiPriority w:val="99"/>
    <w:rsid w:val="00C50960"/>
    <w:rPr>
      <w:sz w:val="20"/>
      <w:szCs w:val="20"/>
      <w:lang w:val="en-US"/>
    </w:rPr>
  </w:style>
  <w:style w:type="character" w:customStyle="1" w:styleId="FootnoteTextChar2">
    <w:name w:val="Footnote Text Char2"/>
    <w:aliases w:val="fn Char,Footnote Text Char1 Char,Footnote Text Char Char Char,FOOTNOTES Char,single space Char,ALTS FOOTNOTE Char,Fodnotetekst Tegn Char,Footnote Text Char Char Char Char Char Char Char,ADB Char,WB-Fußnotentext Char,Footnote Char"/>
    <w:link w:val="FootnoteText"/>
    <w:uiPriority w:val="8"/>
    <w:locked/>
    <w:rsid w:val="00C50960"/>
    <w:rPr>
      <w:rFonts w:ascii="Times New Roman" w:eastAsia="SimSun" w:hAnsi="Times New Roman" w:cs="Times New Roman"/>
      <w:sz w:val="20"/>
      <w:szCs w:val="20"/>
      <w:lang w:val="en-US"/>
    </w:rPr>
  </w:style>
  <w:style w:type="table" w:customStyle="1" w:styleId="GridTable4-Accent11">
    <w:name w:val="Grid Table 4 - Accent 11"/>
    <w:basedOn w:val="TableNormal"/>
    <w:uiPriority w:val="49"/>
    <w:rsid w:val="00C50960"/>
    <w:pPr>
      <w:spacing w:after="0" w:line="240" w:lineRule="auto"/>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Numbering">
    <w:name w:val="Paragraph Numbering"/>
    <w:basedOn w:val="Normal"/>
    <w:link w:val="ParagraphNumberingChar"/>
    <w:uiPriority w:val="1"/>
    <w:qFormat/>
    <w:rsid w:val="00130D09"/>
    <w:pPr>
      <w:numPr>
        <w:numId w:val="3"/>
      </w:numPr>
      <w:spacing w:after="240" w:line="264" w:lineRule="auto"/>
    </w:pPr>
    <w:rPr>
      <w:rFonts w:ascii="Times New Roman" w:eastAsia="SimSun" w:hAnsi="Times New Roman" w:cs="Times New Roman"/>
      <w:sz w:val="24"/>
      <w:szCs w:val="24"/>
    </w:rPr>
  </w:style>
  <w:style w:type="character" w:customStyle="1" w:styleId="ParagraphNumberingChar">
    <w:name w:val="Paragraph Numbering Char"/>
    <w:link w:val="ParagraphNumbering"/>
    <w:uiPriority w:val="1"/>
    <w:locked/>
    <w:rsid w:val="00130D09"/>
    <w:rPr>
      <w:rFonts w:ascii="Times New Roman" w:eastAsia="SimSun" w:hAnsi="Times New Roman" w:cs="Times New Roman"/>
      <w:sz w:val="24"/>
      <w:szCs w:val="24"/>
      <w:lang w:val="en-US"/>
    </w:rPr>
  </w:style>
  <w:style w:type="table" w:customStyle="1" w:styleId="GridTable5Dark-Accent11">
    <w:name w:val="Grid Table 5 Dark - Accent 11"/>
    <w:basedOn w:val="TableNormal"/>
    <w:uiPriority w:val="50"/>
    <w:rsid w:val="00130D09"/>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MPAHeading2">
    <w:name w:val="DeMPA Heading 2"/>
    <w:basedOn w:val="Heading2"/>
    <w:qFormat/>
    <w:rsid w:val="00130D09"/>
    <w:pPr>
      <w:spacing w:before="480" w:after="200" w:line="240" w:lineRule="auto"/>
      <w:jc w:val="both"/>
    </w:pPr>
    <w:rPr>
      <w:rFonts w:ascii="Times New Roman" w:eastAsia="Times New Roman" w:hAnsi="Times New Roman" w:cs="Times New Roman"/>
      <w:bCs w:val="0"/>
      <w:color w:val="000000"/>
      <w:sz w:val="24"/>
      <w:szCs w:val="24"/>
    </w:rPr>
  </w:style>
  <w:style w:type="character" w:customStyle="1" w:styleId="Heading3Char">
    <w:name w:val="Heading 3 Char"/>
    <w:basedOn w:val="DefaultParagraphFont"/>
    <w:link w:val="Heading3"/>
    <w:uiPriority w:val="9"/>
    <w:rsid w:val="000E2785"/>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unhideWhenUsed/>
    <w:rsid w:val="00CF3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ED6"/>
    <w:rPr>
      <w:lang w:val="en-US"/>
    </w:rPr>
  </w:style>
  <w:style w:type="paragraph" w:styleId="Footer">
    <w:name w:val="footer"/>
    <w:basedOn w:val="Normal"/>
    <w:link w:val="FooterChar"/>
    <w:uiPriority w:val="99"/>
    <w:unhideWhenUsed/>
    <w:rsid w:val="00CF3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ED6"/>
    <w:rPr>
      <w:lang w:val="en-US"/>
    </w:rPr>
  </w:style>
  <w:style w:type="paragraph" w:styleId="Caption">
    <w:name w:val="caption"/>
    <w:basedOn w:val="Normal"/>
    <w:next w:val="Normal"/>
    <w:uiPriority w:val="35"/>
    <w:unhideWhenUsed/>
    <w:qFormat/>
    <w:rsid w:val="00CD7671"/>
    <w:pPr>
      <w:spacing w:line="240" w:lineRule="auto"/>
    </w:pPr>
    <w:rPr>
      <w:b/>
      <w:bCs/>
      <w:color w:val="4F81BD" w:themeColor="accent1"/>
      <w:sz w:val="18"/>
      <w:szCs w:val="18"/>
    </w:rPr>
  </w:style>
  <w:style w:type="paragraph" w:styleId="ListParagraph">
    <w:name w:val="List Paragraph"/>
    <w:basedOn w:val="Normal"/>
    <w:link w:val="ListParagraphChar"/>
    <w:uiPriority w:val="34"/>
    <w:qFormat/>
    <w:rsid w:val="0005082F"/>
    <w:pPr>
      <w:ind w:left="720"/>
      <w:contextualSpacing/>
    </w:pPr>
  </w:style>
  <w:style w:type="table" w:styleId="LightShading-Accent1">
    <w:name w:val="Light Shading Accent 1"/>
    <w:basedOn w:val="TableNormal"/>
    <w:uiPriority w:val="60"/>
    <w:rsid w:val="00544A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link w:val="NoSpacing"/>
    <w:uiPriority w:val="1"/>
    <w:locked/>
    <w:rsid w:val="00B11AEF"/>
    <w:rPr>
      <w:lang w:val="en-US"/>
    </w:rPr>
  </w:style>
  <w:style w:type="character" w:customStyle="1" w:styleId="ListParagraphChar">
    <w:name w:val="List Paragraph Char"/>
    <w:link w:val="ListParagraph"/>
    <w:uiPriority w:val="34"/>
    <w:locked/>
    <w:rsid w:val="00B11AEF"/>
    <w:rPr>
      <w:lang w:val="en-US"/>
    </w:rPr>
  </w:style>
  <w:style w:type="character" w:styleId="FollowedHyperlink">
    <w:name w:val="FollowedHyperlink"/>
    <w:basedOn w:val="DefaultParagraphFont"/>
    <w:uiPriority w:val="99"/>
    <w:semiHidden/>
    <w:unhideWhenUsed/>
    <w:rsid w:val="004D72DC"/>
    <w:rPr>
      <w:color w:val="800080" w:themeColor="followedHyperlink"/>
      <w:u w:val="single"/>
    </w:rPr>
  </w:style>
  <w:style w:type="paragraph" w:customStyle="1" w:styleId="Default">
    <w:name w:val="Default"/>
    <w:rsid w:val="0029662A"/>
    <w:pPr>
      <w:autoSpaceDE w:val="0"/>
      <w:autoSpaceDN w:val="0"/>
      <w:adjustRightInd w:val="0"/>
      <w:spacing w:after="0" w:line="240" w:lineRule="auto"/>
    </w:pPr>
    <w:rPr>
      <w:rFonts w:ascii="Times New Roman" w:hAnsi="Times New Roman" w:cs="Times New Roman"/>
      <w:color w:val="000000"/>
      <w:sz w:val="24"/>
      <w:szCs w:val="24"/>
      <w:lang w:val="bs-Latn-BA"/>
    </w:rPr>
  </w:style>
  <w:style w:type="paragraph" w:styleId="NormalWeb">
    <w:name w:val="Normal (Web)"/>
    <w:basedOn w:val="Normal"/>
    <w:uiPriority w:val="99"/>
    <w:semiHidden/>
    <w:unhideWhenUsed/>
    <w:rsid w:val="009165E1"/>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CommentSubject">
    <w:name w:val="annotation subject"/>
    <w:basedOn w:val="CommentText"/>
    <w:next w:val="CommentText"/>
    <w:link w:val="CommentSubjectChar"/>
    <w:uiPriority w:val="99"/>
    <w:semiHidden/>
    <w:unhideWhenUsed/>
    <w:rsid w:val="007355D8"/>
    <w:rPr>
      <w:b/>
      <w:bCs/>
    </w:rPr>
  </w:style>
  <w:style w:type="character" w:customStyle="1" w:styleId="CommentSubjectChar">
    <w:name w:val="Comment Subject Char"/>
    <w:basedOn w:val="CommentTextChar"/>
    <w:link w:val="CommentSubject"/>
    <w:uiPriority w:val="99"/>
    <w:semiHidden/>
    <w:rsid w:val="007355D8"/>
    <w:rPr>
      <w:b/>
      <w:bCs/>
      <w:sz w:val="20"/>
      <w:szCs w:val="20"/>
      <w:lang w:val="en-US"/>
    </w:rPr>
  </w:style>
  <w:style w:type="paragraph" w:styleId="EndnoteText">
    <w:name w:val="endnote text"/>
    <w:basedOn w:val="Normal"/>
    <w:link w:val="EndnoteTextChar"/>
    <w:uiPriority w:val="99"/>
    <w:semiHidden/>
    <w:unhideWhenUsed/>
    <w:rsid w:val="00290B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B34"/>
    <w:rPr>
      <w:sz w:val="20"/>
      <w:szCs w:val="20"/>
      <w:lang w:val="en-US"/>
    </w:rPr>
  </w:style>
  <w:style w:type="character" w:styleId="EndnoteReference">
    <w:name w:val="endnote reference"/>
    <w:basedOn w:val="DefaultParagraphFont"/>
    <w:uiPriority w:val="99"/>
    <w:semiHidden/>
    <w:unhideWhenUsed/>
    <w:rsid w:val="00290B34"/>
    <w:rPr>
      <w:vertAlign w:val="superscript"/>
    </w:rPr>
  </w:style>
  <w:style w:type="paragraph" w:styleId="Revision">
    <w:name w:val="Revision"/>
    <w:hidden/>
    <w:uiPriority w:val="99"/>
    <w:semiHidden/>
    <w:rsid w:val="00201322"/>
    <w:pPr>
      <w:spacing w:after="0" w:line="240" w:lineRule="auto"/>
    </w:pPr>
    <w:rPr>
      <w:lang w:val="hr-BA"/>
    </w:rPr>
  </w:style>
  <w:style w:type="table" w:styleId="GridTable4-Accent3">
    <w:name w:val="Grid Table 4 Accent 3"/>
    <w:basedOn w:val="TableNormal"/>
    <w:uiPriority w:val="49"/>
    <w:rsid w:val="00E378AE"/>
    <w:pPr>
      <w:spacing w:after="0" w:line="240" w:lineRule="auto"/>
    </w:pPr>
    <w:rPr>
      <w:lang w:val="bs-Latn-B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51">
    <w:name w:val="List Table 6 Colorful - Accent 51"/>
    <w:basedOn w:val="TableNormal"/>
    <w:uiPriority w:val="51"/>
    <w:rsid w:val="00383540"/>
    <w:pPr>
      <w:spacing w:after="0" w:line="240" w:lineRule="auto"/>
    </w:pPr>
    <w:rPr>
      <w:color w:val="31849B" w:themeColor="accent5" w:themeShade="BF"/>
      <w:lang w:val="bs-Latn-BA"/>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
    <w:name w:val="Table Grid"/>
    <w:basedOn w:val="TableNormal"/>
    <w:uiPriority w:val="59"/>
    <w:rsid w:val="00B85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35AE0"/>
    <w:rPr>
      <w:b/>
      <w:bCs/>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5B244F"/>
    <w:pPr>
      <w:spacing w:after="120" w:line="240" w:lineRule="exact"/>
    </w:pPr>
    <w:rPr>
      <w:vertAlign w:val="superscript"/>
      <w:lang w:val="en-GB"/>
    </w:rPr>
  </w:style>
  <w:style w:type="paragraph" w:styleId="IntenseQuote">
    <w:name w:val="Intense Quote"/>
    <w:basedOn w:val="Normal"/>
    <w:next w:val="Normal"/>
    <w:link w:val="IntenseQuoteChar"/>
    <w:uiPriority w:val="30"/>
    <w:qFormat/>
    <w:rsid w:val="005B244F"/>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B244F"/>
    <w:rPr>
      <w:rFonts w:asciiTheme="majorHAnsi" w:eastAsiaTheme="majorEastAsia" w:hAnsiTheme="majorHAnsi" w:cstheme="majorBidi"/>
      <w:color w:val="4F81BD" w:themeColor="accent1"/>
      <w:sz w:val="28"/>
      <w:szCs w:val="28"/>
      <w:lang w:val="hr-HR"/>
    </w:rPr>
  </w:style>
  <w:style w:type="character" w:styleId="IntenseReference">
    <w:name w:val="Intense Reference"/>
    <w:basedOn w:val="DefaultParagraphFont"/>
    <w:uiPriority w:val="32"/>
    <w:qFormat/>
    <w:rsid w:val="005B244F"/>
    <w:rPr>
      <w:b/>
      <w:bCs/>
      <w:smallCaps/>
      <w:spacing w:val="5"/>
      <w:u w:val="single"/>
    </w:rPr>
  </w:style>
  <w:style w:type="character" w:styleId="Emphasis">
    <w:name w:val="Emphasis"/>
    <w:basedOn w:val="DefaultParagraphFont"/>
    <w:uiPriority w:val="20"/>
    <w:rsid w:val="00066D60"/>
    <w:rPr>
      <w:i/>
      <w:iCs/>
    </w:rPr>
  </w:style>
  <w:style w:type="character" w:styleId="SubtleEmphasis">
    <w:name w:val="Subtle Emphasis"/>
    <w:basedOn w:val="DefaultParagraphFont"/>
    <w:uiPriority w:val="19"/>
    <w:qFormat/>
    <w:rsid w:val="005B200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992">
      <w:bodyDiv w:val="1"/>
      <w:marLeft w:val="0"/>
      <w:marRight w:val="0"/>
      <w:marTop w:val="0"/>
      <w:marBottom w:val="0"/>
      <w:divBdr>
        <w:top w:val="none" w:sz="0" w:space="0" w:color="auto"/>
        <w:left w:val="none" w:sz="0" w:space="0" w:color="auto"/>
        <w:bottom w:val="none" w:sz="0" w:space="0" w:color="auto"/>
        <w:right w:val="none" w:sz="0" w:space="0" w:color="auto"/>
      </w:divBdr>
    </w:div>
    <w:div w:id="11344646">
      <w:bodyDiv w:val="1"/>
      <w:marLeft w:val="0"/>
      <w:marRight w:val="0"/>
      <w:marTop w:val="0"/>
      <w:marBottom w:val="0"/>
      <w:divBdr>
        <w:top w:val="none" w:sz="0" w:space="0" w:color="auto"/>
        <w:left w:val="none" w:sz="0" w:space="0" w:color="auto"/>
        <w:bottom w:val="none" w:sz="0" w:space="0" w:color="auto"/>
        <w:right w:val="none" w:sz="0" w:space="0" w:color="auto"/>
      </w:divBdr>
    </w:div>
    <w:div w:id="21369547">
      <w:bodyDiv w:val="1"/>
      <w:marLeft w:val="0"/>
      <w:marRight w:val="0"/>
      <w:marTop w:val="0"/>
      <w:marBottom w:val="0"/>
      <w:divBdr>
        <w:top w:val="none" w:sz="0" w:space="0" w:color="auto"/>
        <w:left w:val="none" w:sz="0" w:space="0" w:color="auto"/>
        <w:bottom w:val="none" w:sz="0" w:space="0" w:color="auto"/>
        <w:right w:val="none" w:sz="0" w:space="0" w:color="auto"/>
      </w:divBdr>
    </w:div>
    <w:div w:id="34280174">
      <w:bodyDiv w:val="1"/>
      <w:marLeft w:val="0"/>
      <w:marRight w:val="0"/>
      <w:marTop w:val="0"/>
      <w:marBottom w:val="0"/>
      <w:divBdr>
        <w:top w:val="none" w:sz="0" w:space="0" w:color="auto"/>
        <w:left w:val="none" w:sz="0" w:space="0" w:color="auto"/>
        <w:bottom w:val="none" w:sz="0" w:space="0" w:color="auto"/>
        <w:right w:val="none" w:sz="0" w:space="0" w:color="auto"/>
      </w:divBdr>
    </w:div>
    <w:div w:id="67771484">
      <w:bodyDiv w:val="1"/>
      <w:marLeft w:val="0"/>
      <w:marRight w:val="0"/>
      <w:marTop w:val="0"/>
      <w:marBottom w:val="0"/>
      <w:divBdr>
        <w:top w:val="none" w:sz="0" w:space="0" w:color="auto"/>
        <w:left w:val="none" w:sz="0" w:space="0" w:color="auto"/>
        <w:bottom w:val="none" w:sz="0" w:space="0" w:color="auto"/>
        <w:right w:val="none" w:sz="0" w:space="0" w:color="auto"/>
      </w:divBdr>
    </w:div>
    <w:div w:id="76446129">
      <w:bodyDiv w:val="1"/>
      <w:marLeft w:val="0"/>
      <w:marRight w:val="0"/>
      <w:marTop w:val="0"/>
      <w:marBottom w:val="0"/>
      <w:divBdr>
        <w:top w:val="none" w:sz="0" w:space="0" w:color="auto"/>
        <w:left w:val="none" w:sz="0" w:space="0" w:color="auto"/>
        <w:bottom w:val="none" w:sz="0" w:space="0" w:color="auto"/>
        <w:right w:val="none" w:sz="0" w:space="0" w:color="auto"/>
      </w:divBdr>
    </w:div>
    <w:div w:id="131795165">
      <w:bodyDiv w:val="1"/>
      <w:marLeft w:val="0"/>
      <w:marRight w:val="0"/>
      <w:marTop w:val="0"/>
      <w:marBottom w:val="0"/>
      <w:divBdr>
        <w:top w:val="none" w:sz="0" w:space="0" w:color="auto"/>
        <w:left w:val="none" w:sz="0" w:space="0" w:color="auto"/>
        <w:bottom w:val="none" w:sz="0" w:space="0" w:color="auto"/>
        <w:right w:val="none" w:sz="0" w:space="0" w:color="auto"/>
      </w:divBdr>
    </w:div>
    <w:div w:id="245115257">
      <w:bodyDiv w:val="1"/>
      <w:marLeft w:val="0"/>
      <w:marRight w:val="0"/>
      <w:marTop w:val="0"/>
      <w:marBottom w:val="0"/>
      <w:divBdr>
        <w:top w:val="none" w:sz="0" w:space="0" w:color="auto"/>
        <w:left w:val="none" w:sz="0" w:space="0" w:color="auto"/>
        <w:bottom w:val="none" w:sz="0" w:space="0" w:color="auto"/>
        <w:right w:val="none" w:sz="0" w:space="0" w:color="auto"/>
      </w:divBdr>
    </w:div>
    <w:div w:id="270401607">
      <w:bodyDiv w:val="1"/>
      <w:marLeft w:val="0"/>
      <w:marRight w:val="0"/>
      <w:marTop w:val="0"/>
      <w:marBottom w:val="0"/>
      <w:divBdr>
        <w:top w:val="none" w:sz="0" w:space="0" w:color="auto"/>
        <w:left w:val="none" w:sz="0" w:space="0" w:color="auto"/>
        <w:bottom w:val="none" w:sz="0" w:space="0" w:color="auto"/>
        <w:right w:val="none" w:sz="0" w:space="0" w:color="auto"/>
      </w:divBdr>
    </w:div>
    <w:div w:id="316226472">
      <w:bodyDiv w:val="1"/>
      <w:marLeft w:val="0"/>
      <w:marRight w:val="0"/>
      <w:marTop w:val="0"/>
      <w:marBottom w:val="0"/>
      <w:divBdr>
        <w:top w:val="none" w:sz="0" w:space="0" w:color="auto"/>
        <w:left w:val="none" w:sz="0" w:space="0" w:color="auto"/>
        <w:bottom w:val="none" w:sz="0" w:space="0" w:color="auto"/>
        <w:right w:val="none" w:sz="0" w:space="0" w:color="auto"/>
      </w:divBdr>
    </w:div>
    <w:div w:id="344211528">
      <w:bodyDiv w:val="1"/>
      <w:marLeft w:val="0"/>
      <w:marRight w:val="0"/>
      <w:marTop w:val="0"/>
      <w:marBottom w:val="0"/>
      <w:divBdr>
        <w:top w:val="none" w:sz="0" w:space="0" w:color="auto"/>
        <w:left w:val="none" w:sz="0" w:space="0" w:color="auto"/>
        <w:bottom w:val="none" w:sz="0" w:space="0" w:color="auto"/>
        <w:right w:val="none" w:sz="0" w:space="0" w:color="auto"/>
      </w:divBdr>
    </w:div>
    <w:div w:id="372660108">
      <w:bodyDiv w:val="1"/>
      <w:marLeft w:val="0"/>
      <w:marRight w:val="0"/>
      <w:marTop w:val="0"/>
      <w:marBottom w:val="0"/>
      <w:divBdr>
        <w:top w:val="none" w:sz="0" w:space="0" w:color="auto"/>
        <w:left w:val="none" w:sz="0" w:space="0" w:color="auto"/>
        <w:bottom w:val="none" w:sz="0" w:space="0" w:color="auto"/>
        <w:right w:val="none" w:sz="0" w:space="0" w:color="auto"/>
      </w:divBdr>
    </w:div>
    <w:div w:id="396637243">
      <w:bodyDiv w:val="1"/>
      <w:marLeft w:val="0"/>
      <w:marRight w:val="0"/>
      <w:marTop w:val="0"/>
      <w:marBottom w:val="0"/>
      <w:divBdr>
        <w:top w:val="none" w:sz="0" w:space="0" w:color="auto"/>
        <w:left w:val="none" w:sz="0" w:space="0" w:color="auto"/>
        <w:bottom w:val="none" w:sz="0" w:space="0" w:color="auto"/>
        <w:right w:val="none" w:sz="0" w:space="0" w:color="auto"/>
      </w:divBdr>
    </w:div>
    <w:div w:id="399670705">
      <w:bodyDiv w:val="1"/>
      <w:marLeft w:val="0"/>
      <w:marRight w:val="0"/>
      <w:marTop w:val="0"/>
      <w:marBottom w:val="0"/>
      <w:divBdr>
        <w:top w:val="none" w:sz="0" w:space="0" w:color="auto"/>
        <w:left w:val="none" w:sz="0" w:space="0" w:color="auto"/>
        <w:bottom w:val="none" w:sz="0" w:space="0" w:color="auto"/>
        <w:right w:val="none" w:sz="0" w:space="0" w:color="auto"/>
      </w:divBdr>
    </w:div>
    <w:div w:id="402140984">
      <w:bodyDiv w:val="1"/>
      <w:marLeft w:val="0"/>
      <w:marRight w:val="0"/>
      <w:marTop w:val="0"/>
      <w:marBottom w:val="0"/>
      <w:divBdr>
        <w:top w:val="none" w:sz="0" w:space="0" w:color="auto"/>
        <w:left w:val="none" w:sz="0" w:space="0" w:color="auto"/>
        <w:bottom w:val="none" w:sz="0" w:space="0" w:color="auto"/>
        <w:right w:val="none" w:sz="0" w:space="0" w:color="auto"/>
      </w:divBdr>
    </w:div>
    <w:div w:id="458645557">
      <w:bodyDiv w:val="1"/>
      <w:marLeft w:val="0"/>
      <w:marRight w:val="0"/>
      <w:marTop w:val="0"/>
      <w:marBottom w:val="0"/>
      <w:divBdr>
        <w:top w:val="none" w:sz="0" w:space="0" w:color="auto"/>
        <w:left w:val="none" w:sz="0" w:space="0" w:color="auto"/>
        <w:bottom w:val="none" w:sz="0" w:space="0" w:color="auto"/>
        <w:right w:val="none" w:sz="0" w:space="0" w:color="auto"/>
      </w:divBdr>
    </w:div>
    <w:div w:id="475297054">
      <w:bodyDiv w:val="1"/>
      <w:marLeft w:val="0"/>
      <w:marRight w:val="0"/>
      <w:marTop w:val="0"/>
      <w:marBottom w:val="0"/>
      <w:divBdr>
        <w:top w:val="none" w:sz="0" w:space="0" w:color="auto"/>
        <w:left w:val="none" w:sz="0" w:space="0" w:color="auto"/>
        <w:bottom w:val="none" w:sz="0" w:space="0" w:color="auto"/>
        <w:right w:val="none" w:sz="0" w:space="0" w:color="auto"/>
      </w:divBdr>
    </w:div>
    <w:div w:id="480006019">
      <w:bodyDiv w:val="1"/>
      <w:marLeft w:val="0"/>
      <w:marRight w:val="0"/>
      <w:marTop w:val="0"/>
      <w:marBottom w:val="0"/>
      <w:divBdr>
        <w:top w:val="none" w:sz="0" w:space="0" w:color="auto"/>
        <w:left w:val="none" w:sz="0" w:space="0" w:color="auto"/>
        <w:bottom w:val="none" w:sz="0" w:space="0" w:color="auto"/>
        <w:right w:val="none" w:sz="0" w:space="0" w:color="auto"/>
      </w:divBdr>
    </w:div>
    <w:div w:id="494999477">
      <w:bodyDiv w:val="1"/>
      <w:marLeft w:val="0"/>
      <w:marRight w:val="0"/>
      <w:marTop w:val="0"/>
      <w:marBottom w:val="0"/>
      <w:divBdr>
        <w:top w:val="none" w:sz="0" w:space="0" w:color="auto"/>
        <w:left w:val="none" w:sz="0" w:space="0" w:color="auto"/>
        <w:bottom w:val="none" w:sz="0" w:space="0" w:color="auto"/>
        <w:right w:val="none" w:sz="0" w:space="0" w:color="auto"/>
      </w:divBdr>
    </w:div>
    <w:div w:id="496069124">
      <w:bodyDiv w:val="1"/>
      <w:marLeft w:val="0"/>
      <w:marRight w:val="0"/>
      <w:marTop w:val="0"/>
      <w:marBottom w:val="0"/>
      <w:divBdr>
        <w:top w:val="none" w:sz="0" w:space="0" w:color="auto"/>
        <w:left w:val="none" w:sz="0" w:space="0" w:color="auto"/>
        <w:bottom w:val="none" w:sz="0" w:space="0" w:color="auto"/>
        <w:right w:val="none" w:sz="0" w:space="0" w:color="auto"/>
      </w:divBdr>
    </w:div>
    <w:div w:id="522940851">
      <w:bodyDiv w:val="1"/>
      <w:marLeft w:val="0"/>
      <w:marRight w:val="0"/>
      <w:marTop w:val="0"/>
      <w:marBottom w:val="0"/>
      <w:divBdr>
        <w:top w:val="none" w:sz="0" w:space="0" w:color="auto"/>
        <w:left w:val="none" w:sz="0" w:space="0" w:color="auto"/>
        <w:bottom w:val="none" w:sz="0" w:space="0" w:color="auto"/>
        <w:right w:val="none" w:sz="0" w:space="0" w:color="auto"/>
      </w:divBdr>
    </w:div>
    <w:div w:id="531461603">
      <w:bodyDiv w:val="1"/>
      <w:marLeft w:val="0"/>
      <w:marRight w:val="0"/>
      <w:marTop w:val="0"/>
      <w:marBottom w:val="0"/>
      <w:divBdr>
        <w:top w:val="none" w:sz="0" w:space="0" w:color="auto"/>
        <w:left w:val="none" w:sz="0" w:space="0" w:color="auto"/>
        <w:bottom w:val="none" w:sz="0" w:space="0" w:color="auto"/>
        <w:right w:val="none" w:sz="0" w:space="0" w:color="auto"/>
      </w:divBdr>
    </w:div>
    <w:div w:id="534737486">
      <w:bodyDiv w:val="1"/>
      <w:marLeft w:val="0"/>
      <w:marRight w:val="0"/>
      <w:marTop w:val="0"/>
      <w:marBottom w:val="0"/>
      <w:divBdr>
        <w:top w:val="none" w:sz="0" w:space="0" w:color="auto"/>
        <w:left w:val="none" w:sz="0" w:space="0" w:color="auto"/>
        <w:bottom w:val="none" w:sz="0" w:space="0" w:color="auto"/>
        <w:right w:val="none" w:sz="0" w:space="0" w:color="auto"/>
      </w:divBdr>
    </w:div>
    <w:div w:id="591856632">
      <w:bodyDiv w:val="1"/>
      <w:marLeft w:val="0"/>
      <w:marRight w:val="0"/>
      <w:marTop w:val="0"/>
      <w:marBottom w:val="0"/>
      <w:divBdr>
        <w:top w:val="none" w:sz="0" w:space="0" w:color="auto"/>
        <w:left w:val="none" w:sz="0" w:space="0" w:color="auto"/>
        <w:bottom w:val="none" w:sz="0" w:space="0" w:color="auto"/>
        <w:right w:val="none" w:sz="0" w:space="0" w:color="auto"/>
      </w:divBdr>
    </w:div>
    <w:div w:id="631450149">
      <w:bodyDiv w:val="1"/>
      <w:marLeft w:val="0"/>
      <w:marRight w:val="0"/>
      <w:marTop w:val="0"/>
      <w:marBottom w:val="0"/>
      <w:divBdr>
        <w:top w:val="none" w:sz="0" w:space="0" w:color="auto"/>
        <w:left w:val="none" w:sz="0" w:space="0" w:color="auto"/>
        <w:bottom w:val="none" w:sz="0" w:space="0" w:color="auto"/>
        <w:right w:val="none" w:sz="0" w:space="0" w:color="auto"/>
      </w:divBdr>
    </w:div>
    <w:div w:id="632444836">
      <w:bodyDiv w:val="1"/>
      <w:marLeft w:val="0"/>
      <w:marRight w:val="0"/>
      <w:marTop w:val="0"/>
      <w:marBottom w:val="0"/>
      <w:divBdr>
        <w:top w:val="none" w:sz="0" w:space="0" w:color="auto"/>
        <w:left w:val="none" w:sz="0" w:space="0" w:color="auto"/>
        <w:bottom w:val="none" w:sz="0" w:space="0" w:color="auto"/>
        <w:right w:val="none" w:sz="0" w:space="0" w:color="auto"/>
      </w:divBdr>
    </w:div>
    <w:div w:id="651494369">
      <w:bodyDiv w:val="1"/>
      <w:marLeft w:val="0"/>
      <w:marRight w:val="0"/>
      <w:marTop w:val="0"/>
      <w:marBottom w:val="0"/>
      <w:divBdr>
        <w:top w:val="none" w:sz="0" w:space="0" w:color="auto"/>
        <w:left w:val="none" w:sz="0" w:space="0" w:color="auto"/>
        <w:bottom w:val="none" w:sz="0" w:space="0" w:color="auto"/>
        <w:right w:val="none" w:sz="0" w:space="0" w:color="auto"/>
      </w:divBdr>
    </w:div>
    <w:div w:id="653530252">
      <w:bodyDiv w:val="1"/>
      <w:marLeft w:val="0"/>
      <w:marRight w:val="0"/>
      <w:marTop w:val="0"/>
      <w:marBottom w:val="0"/>
      <w:divBdr>
        <w:top w:val="none" w:sz="0" w:space="0" w:color="auto"/>
        <w:left w:val="none" w:sz="0" w:space="0" w:color="auto"/>
        <w:bottom w:val="none" w:sz="0" w:space="0" w:color="auto"/>
        <w:right w:val="none" w:sz="0" w:space="0" w:color="auto"/>
      </w:divBdr>
    </w:div>
    <w:div w:id="666906875">
      <w:bodyDiv w:val="1"/>
      <w:marLeft w:val="0"/>
      <w:marRight w:val="0"/>
      <w:marTop w:val="0"/>
      <w:marBottom w:val="0"/>
      <w:divBdr>
        <w:top w:val="none" w:sz="0" w:space="0" w:color="auto"/>
        <w:left w:val="none" w:sz="0" w:space="0" w:color="auto"/>
        <w:bottom w:val="none" w:sz="0" w:space="0" w:color="auto"/>
        <w:right w:val="none" w:sz="0" w:space="0" w:color="auto"/>
      </w:divBdr>
    </w:div>
    <w:div w:id="710153975">
      <w:bodyDiv w:val="1"/>
      <w:marLeft w:val="0"/>
      <w:marRight w:val="0"/>
      <w:marTop w:val="0"/>
      <w:marBottom w:val="0"/>
      <w:divBdr>
        <w:top w:val="none" w:sz="0" w:space="0" w:color="auto"/>
        <w:left w:val="none" w:sz="0" w:space="0" w:color="auto"/>
        <w:bottom w:val="none" w:sz="0" w:space="0" w:color="auto"/>
        <w:right w:val="none" w:sz="0" w:space="0" w:color="auto"/>
      </w:divBdr>
    </w:div>
    <w:div w:id="733507963">
      <w:bodyDiv w:val="1"/>
      <w:marLeft w:val="0"/>
      <w:marRight w:val="0"/>
      <w:marTop w:val="0"/>
      <w:marBottom w:val="0"/>
      <w:divBdr>
        <w:top w:val="none" w:sz="0" w:space="0" w:color="auto"/>
        <w:left w:val="none" w:sz="0" w:space="0" w:color="auto"/>
        <w:bottom w:val="none" w:sz="0" w:space="0" w:color="auto"/>
        <w:right w:val="none" w:sz="0" w:space="0" w:color="auto"/>
      </w:divBdr>
    </w:div>
    <w:div w:id="770123657">
      <w:bodyDiv w:val="1"/>
      <w:marLeft w:val="0"/>
      <w:marRight w:val="0"/>
      <w:marTop w:val="0"/>
      <w:marBottom w:val="0"/>
      <w:divBdr>
        <w:top w:val="none" w:sz="0" w:space="0" w:color="auto"/>
        <w:left w:val="none" w:sz="0" w:space="0" w:color="auto"/>
        <w:bottom w:val="none" w:sz="0" w:space="0" w:color="auto"/>
        <w:right w:val="none" w:sz="0" w:space="0" w:color="auto"/>
      </w:divBdr>
    </w:div>
    <w:div w:id="788934585">
      <w:bodyDiv w:val="1"/>
      <w:marLeft w:val="0"/>
      <w:marRight w:val="0"/>
      <w:marTop w:val="0"/>
      <w:marBottom w:val="0"/>
      <w:divBdr>
        <w:top w:val="none" w:sz="0" w:space="0" w:color="auto"/>
        <w:left w:val="none" w:sz="0" w:space="0" w:color="auto"/>
        <w:bottom w:val="none" w:sz="0" w:space="0" w:color="auto"/>
        <w:right w:val="none" w:sz="0" w:space="0" w:color="auto"/>
      </w:divBdr>
    </w:div>
    <w:div w:id="828375047">
      <w:bodyDiv w:val="1"/>
      <w:marLeft w:val="0"/>
      <w:marRight w:val="0"/>
      <w:marTop w:val="0"/>
      <w:marBottom w:val="0"/>
      <w:divBdr>
        <w:top w:val="none" w:sz="0" w:space="0" w:color="auto"/>
        <w:left w:val="none" w:sz="0" w:space="0" w:color="auto"/>
        <w:bottom w:val="none" w:sz="0" w:space="0" w:color="auto"/>
        <w:right w:val="none" w:sz="0" w:space="0" w:color="auto"/>
      </w:divBdr>
    </w:div>
    <w:div w:id="840855906">
      <w:bodyDiv w:val="1"/>
      <w:marLeft w:val="0"/>
      <w:marRight w:val="0"/>
      <w:marTop w:val="0"/>
      <w:marBottom w:val="0"/>
      <w:divBdr>
        <w:top w:val="none" w:sz="0" w:space="0" w:color="auto"/>
        <w:left w:val="none" w:sz="0" w:space="0" w:color="auto"/>
        <w:bottom w:val="none" w:sz="0" w:space="0" w:color="auto"/>
        <w:right w:val="none" w:sz="0" w:space="0" w:color="auto"/>
      </w:divBdr>
    </w:div>
    <w:div w:id="872501056">
      <w:bodyDiv w:val="1"/>
      <w:marLeft w:val="0"/>
      <w:marRight w:val="0"/>
      <w:marTop w:val="0"/>
      <w:marBottom w:val="0"/>
      <w:divBdr>
        <w:top w:val="none" w:sz="0" w:space="0" w:color="auto"/>
        <w:left w:val="none" w:sz="0" w:space="0" w:color="auto"/>
        <w:bottom w:val="none" w:sz="0" w:space="0" w:color="auto"/>
        <w:right w:val="none" w:sz="0" w:space="0" w:color="auto"/>
      </w:divBdr>
    </w:div>
    <w:div w:id="939069986">
      <w:bodyDiv w:val="1"/>
      <w:marLeft w:val="0"/>
      <w:marRight w:val="0"/>
      <w:marTop w:val="0"/>
      <w:marBottom w:val="0"/>
      <w:divBdr>
        <w:top w:val="none" w:sz="0" w:space="0" w:color="auto"/>
        <w:left w:val="none" w:sz="0" w:space="0" w:color="auto"/>
        <w:bottom w:val="none" w:sz="0" w:space="0" w:color="auto"/>
        <w:right w:val="none" w:sz="0" w:space="0" w:color="auto"/>
      </w:divBdr>
    </w:div>
    <w:div w:id="949163242">
      <w:bodyDiv w:val="1"/>
      <w:marLeft w:val="0"/>
      <w:marRight w:val="0"/>
      <w:marTop w:val="0"/>
      <w:marBottom w:val="0"/>
      <w:divBdr>
        <w:top w:val="none" w:sz="0" w:space="0" w:color="auto"/>
        <w:left w:val="none" w:sz="0" w:space="0" w:color="auto"/>
        <w:bottom w:val="none" w:sz="0" w:space="0" w:color="auto"/>
        <w:right w:val="none" w:sz="0" w:space="0" w:color="auto"/>
      </w:divBdr>
    </w:div>
    <w:div w:id="949505703">
      <w:bodyDiv w:val="1"/>
      <w:marLeft w:val="0"/>
      <w:marRight w:val="0"/>
      <w:marTop w:val="0"/>
      <w:marBottom w:val="0"/>
      <w:divBdr>
        <w:top w:val="none" w:sz="0" w:space="0" w:color="auto"/>
        <w:left w:val="none" w:sz="0" w:space="0" w:color="auto"/>
        <w:bottom w:val="none" w:sz="0" w:space="0" w:color="auto"/>
        <w:right w:val="none" w:sz="0" w:space="0" w:color="auto"/>
      </w:divBdr>
    </w:div>
    <w:div w:id="1060396800">
      <w:bodyDiv w:val="1"/>
      <w:marLeft w:val="0"/>
      <w:marRight w:val="0"/>
      <w:marTop w:val="0"/>
      <w:marBottom w:val="0"/>
      <w:divBdr>
        <w:top w:val="none" w:sz="0" w:space="0" w:color="auto"/>
        <w:left w:val="none" w:sz="0" w:space="0" w:color="auto"/>
        <w:bottom w:val="none" w:sz="0" w:space="0" w:color="auto"/>
        <w:right w:val="none" w:sz="0" w:space="0" w:color="auto"/>
      </w:divBdr>
      <w:divsChild>
        <w:div w:id="35351343">
          <w:marLeft w:val="0"/>
          <w:marRight w:val="0"/>
          <w:marTop w:val="0"/>
          <w:marBottom w:val="0"/>
          <w:divBdr>
            <w:top w:val="none" w:sz="0" w:space="0" w:color="auto"/>
            <w:left w:val="none" w:sz="0" w:space="0" w:color="auto"/>
            <w:bottom w:val="none" w:sz="0" w:space="0" w:color="auto"/>
            <w:right w:val="none" w:sz="0" w:space="0" w:color="auto"/>
          </w:divBdr>
        </w:div>
        <w:div w:id="561058296">
          <w:marLeft w:val="0"/>
          <w:marRight w:val="0"/>
          <w:marTop w:val="0"/>
          <w:marBottom w:val="0"/>
          <w:divBdr>
            <w:top w:val="none" w:sz="0" w:space="0" w:color="auto"/>
            <w:left w:val="none" w:sz="0" w:space="0" w:color="auto"/>
            <w:bottom w:val="none" w:sz="0" w:space="0" w:color="auto"/>
            <w:right w:val="none" w:sz="0" w:space="0" w:color="auto"/>
          </w:divBdr>
        </w:div>
        <w:div w:id="1817837576">
          <w:marLeft w:val="0"/>
          <w:marRight w:val="0"/>
          <w:marTop w:val="0"/>
          <w:marBottom w:val="0"/>
          <w:divBdr>
            <w:top w:val="none" w:sz="0" w:space="0" w:color="auto"/>
            <w:left w:val="none" w:sz="0" w:space="0" w:color="auto"/>
            <w:bottom w:val="none" w:sz="0" w:space="0" w:color="auto"/>
            <w:right w:val="none" w:sz="0" w:space="0" w:color="auto"/>
          </w:divBdr>
        </w:div>
        <w:div w:id="1241253731">
          <w:marLeft w:val="0"/>
          <w:marRight w:val="0"/>
          <w:marTop w:val="0"/>
          <w:marBottom w:val="0"/>
          <w:divBdr>
            <w:top w:val="none" w:sz="0" w:space="0" w:color="auto"/>
            <w:left w:val="none" w:sz="0" w:space="0" w:color="auto"/>
            <w:bottom w:val="none" w:sz="0" w:space="0" w:color="auto"/>
            <w:right w:val="none" w:sz="0" w:space="0" w:color="auto"/>
          </w:divBdr>
        </w:div>
        <w:div w:id="1816682917">
          <w:marLeft w:val="0"/>
          <w:marRight w:val="0"/>
          <w:marTop w:val="0"/>
          <w:marBottom w:val="0"/>
          <w:divBdr>
            <w:top w:val="none" w:sz="0" w:space="0" w:color="auto"/>
            <w:left w:val="none" w:sz="0" w:space="0" w:color="auto"/>
            <w:bottom w:val="none" w:sz="0" w:space="0" w:color="auto"/>
            <w:right w:val="none" w:sz="0" w:space="0" w:color="auto"/>
          </w:divBdr>
        </w:div>
        <w:div w:id="477459929">
          <w:marLeft w:val="0"/>
          <w:marRight w:val="0"/>
          <w:marTop w:val="0"/>
          <w:marBottom w:val="0"/>
          <w:divBdr>
            <w:top w:val="none" w:sz="0" w:space="0" w:color="auto"/>
            <w:left w:val="none" w:sz="0" w:space="0" w:color="auto"/>
            <w:bottom w:val="none" w:sz="0" w:space="0" w:color="auto"/>
            <w:right w:val="none" w:sz="0" w:space="0" w:color="auto"/>
          </w:divBdr>
        </w:div>
        <w:div w:id="518617812">
          <w:marLeft w:val="0"/>
          <w:marRight w:val="0"/>
          <w:marTop w:val="0"/>
          <w:marBottom w:val="0"/>
          <w:divBdr>
            <w:top w:val="none" w:sz="0" w:space="0" w:color="auto"/>
            <w:left w:val="none" w:sz="0" w:space="0" w:color="auto"/>
            <w:bottom w:val="none" w:sz="0" w:space="0" w:color="auto"/>
            <w:right w:val="none" w:sz="0" w:space="0" w:color="auto"/>
          </w:divBdr>
        </w:div>
        <w:div w:id="1039430714">
          <w:marLeft w:val="0"/>
          <w:marRight w:val="0"/>
          <w:marTop w:val="0"/>
          <w:marBottom w:val="0"/>
          <w:divBdr>
            <w:top w:val="none" w:sz="0" w:space="0" w:color="auto"/>
            <w:left w:val="none" w:sz="0" w:space="0" w:color="auto"/>
            <w:bottom w:val="none" w:sz="0" w:space="0" w:color="auto"/>
            <w:right w:val="none" w:sz="0" w:space="0" w:color="auto"/>
          </w:divBdr>
        </w:div>
        <w:div w:id="290474810">
          <w:marLeft w:val="0"/>
          <w:marRight w:val="0"/>
          <w:marTop w:val="0"/>
          <w:marBottom w:val="0"/>
          <w:divBdr>
            <w:top w:val="none" w:sz="0" w:space="0" w:color="auto"/>
            <w:left w:val="none" w:sz="0" w:space="0" w:color="auto"/>
            <w:bottom w:val="none" w:sz="0" w:space="0" w:color="auto"/>
            <w:right w:val="none" w:sz="0" w:space="0" w:color="auto"/>
          </w:divBdr>
        </w:div>
        <w:div w:id="303198023">
          <w:marLeft w:val="0"/>
          <w:marRight w:val="0"/>
          <w:marTop w:val="0"/>
          <w:marBottom w:val="0"/>
          <w:divBdr>
            <w:top w:val="none" w:sz="0" w:space="0" w:color="auto"/>
            <w:left w:val="none" w:sz="0" w:space="0" w:color="auto"/>
            <w:bottom w:val="none" w:sz="0" w:space="0" w:color="auto"/>
            <w:right w:val="none" w:sz="0" w:space="0" w:color="auto"/>
          </w:divBdr>
        </w:div>
        <w:div w:id="380784059">
          <w:marLeft w:val="0"/>
          <w:marRight w:val="0"/>
          <w:marTop w:val="0"/>
          <w:marBottom w:val="0"/>
          <w:divBdr>
            <w:top w:val="none" w:sz="0" w:space="0" w:color="auto"/>
            <w:left w:val="none" w:sz="0" w:space="0" w:color="auto"/>
            <w:bottom w:val="none" w:sz="0" w:space="0" w:color="auto"/>
            <w:right w:val="none" w:sz="0" w:space="0" w:color="auto"/>
          </w:divBdr>
        </w:div>
        <w:div w:id="719748905">
          <w:marLeft w:val="0"/>
          <w:marRight w:val="0"/>
          <w:marTop w:val="0"/>
          <w:marBottom w:val="0"/>
          <w:divBdr>
            <w:top w:val="none" w:sz="0" w:space="0" w:color="auto"/>
            <w:left w:val="none" w:sz="0" w:space="0" w:color="auto"/>
            <w:bottom w:val="none" w:sz="0" w:space="0" w:color="auto"/>
            <w:right w:val="none" w:sz="0" w:space="0" w:color="auto"/>
          </w:divBdr>
        </w:div>
        <w:div w:id="3939034">
          <w:marLeft w:val="0"/>
          <w:marRight w:val="0"/>
          <w:marTop w:val="0"/>
          <w:marBottom w:val="0"/>
          <w:divBdr>
            <w:top w:val="none" w:sz="0" w:space="0" w:color="auto"/>
            <w:left w:val="none" w:sz="0" w:space="0" w:color="auto"/>
            <w:bottom w:val="none" w:sz="0" w:space="0" w:color="auto"/>
            <w:right w:val="none" w:sz="0" w:space="0" w:color="auto"/>
          </w:divBdr>
        </w:div>
        <w:div w:id="547764147">
          <w:marLeft w:val="0"/>
          <w:marRight w:val="0"/>
          <w:marTop w:val="0"/>
          <w:marBottom w:val="0"/>
          <w:divBdr>
            <w:top w:val="none" w:sz="0" w:space="0" w:color="auto"/>
            <w:left w:val="none" w:sz="0" w:space="0" w:color="auto"/>
            <w:bottom w:val="none" w:sz="0" w:space="0" w:color="auto"/>
            <w:right w:val="none" w:sz="0" w:space="0" w:color="auto"/>
          </w:divBdr>
        </w:div>
        <w:div w:id="1927959390">
          <w:marLeft w:val="0"/>
          <w:marRight w:val="0"/>
          <w:marTop w:val="0"/>
          <w:marBottom w:val="0"/>
          <w:divBdr>
            <w:top w:val="none" w:sz="0" w:space="0" w:color="auto"/>
            <w:left w:val="none" w:sz="0" w:space="0" w:color="auto"/>
            <w:bottom w:val="none" w:sz="0" w:space="0" w:color="auto"/>
            <w:right w:val="none" w:sz="0" w:space="0" w:color="auto"/>
          </w:divBdr>
        </w:div>
        <w:div w:id="1269503046">
          <w:marLeft w:val="0"/>
          <w:marRight w:val="0"/>
          <w:marTop w:val="0"/>
          <w:marBottom w:val="0"/>
          <w:divBdr>
            <w:top w:val="none" w:sz="0" w:space="0" w:color="auto"/>
            <w:left w:val="none" w:sz="0" w:space="0" w:color="auto"/>
            <w:bottom w:val="none" w:sz="0" w:space="0" w:color="auto"/>
            <w:right w:val="none" w:sz="0" w:space="0" w:color="auto"/>
          </w:divBdr>
        </w:div>
        <w:div w:id="1507473465">
          <w:marLeft w:val="0"/>
          <w:marRight w:val="0"/>
          <w:marTop w:val="0"/>
          <w:marBottom w:val="0"/>
          <w:divBdr>
            <w:top w:val="none" w:sz="0" w:space="0" w:color="auto"/>
            <w:left w:val="none" w:sz="0" w:space="0" w:color="auto"/>
            <w:bottom w:val="none" w:sz="0" w:space="0" w:color="auto"/>
            <w:right w:val="none" w:sz="0" w:space="0" w:color="auto"/>
          </w:divBdr>
        </w:div>
        <w:div w:id="61491729">
          <w:marLeft w:val="0"/>
          <w:marRight w:val="0"/>
          <w:marTop w:val="0"/>
          <w:marBottom w:val="0"/>
          <w:divBdr>
            <w:top w:val="none" w:sz="0" w:space="0" w:color="auto"/>
            <w:left w:val="none" w:sz="0" w:space="0" w:color="auto"/>
            <w:bottom w:val="none" w:sz="0" w:space="0" w:color="auto"/>
            <w:right w:val="none" w:sz="0" w:space="0" w:color="auto"/>
          </w:divBdr>
        </w:div>
        <w:div w:id="506557706">
          <w:marLeft w:val="0"/>
          <w:marRight w:val="0"/>
          <w:marTop w:val="0"/>
          <w:marBottom w:val="0"/>
          <w:divBdr>
            <w:top w:val="none" w:sz="0" w:space="0" w:color="auto"/>
            <w:left w:val="none" w:sz="0" w:space="0" w:color="auto"/>
            <w:bottom w:val="none" w:sz="0" w:space="0" w:color="auto"/>
            <w:right w:val="none" w:sz="0" w:space="0" w:color="auto"/>
          </w:divBdr>
        </w:div>
        <w:div w:id="900601601">
          <w:marLeft w:val="0"/>
          <w:marRight w:val="0"/>
          <w:marTop w:val="0"/>
          <w:marBottom w:val="0"/>
          <w:divBdr>
            <w:top w:val="none" w:sz="0" w:space="0" w:color="auto"/>
            <w:left w:val="none" w:sz="0" w:space="0" w:color="auto"/>
            <w:bottom w:val="none" w:sz="0" w:space="0" w:color="auto"/>
            <w:right w:val="none" w:sz="0" w:space="0" w:color="auto"/>
          </w:divBdr>
        </w:div>
        <w:div w:id="364911158">
          <w:marLeft w:val="0"/>
          <w:marRight w:val="0"/>
          <w:marTop w:val="0"/>
          <w:marBottom w:val="0"/>
          <w:divBdr>
            <w:top w:val="none" w:sz="0" w:space="0" w:color="auto"/>
            <w:left w:val="none" w:sz="0" w:space="0" w:color="auto"/>
            <w:bottom w:val="none" w:sz="0" w:space="0" w:color="auto"/>
            <w:right w:val="none" w:sz="0" w:space="0" w:color="auto"/>
          </w:divBdr>
        </w:div>
        <w:div w:id="414136580">
          <w:marLeft w:val="0"/>
          <w:marRight w:val="0"/>
          <w:marTop w:val="0"/>
          <w:marBottom w:val="0"/>
          <w:divBdr>
            <w:top w:val="none" w:sz="0" w:space="0" w:color="auto"/>
            <w:left w:val="none" w:sz="0" w:space="0" w:color="auto"/>
            <w:bottom w:val="none" w:sz="0" w:space="0" w:color="auto"/>
            <w:right w:val="none" w:sz="0" w:space="0" w:color="auto"/>
          </w:divBdr>
        </w:div>
        <w:div w:id="1991592699">
          <w:marLeft w:val="0"/>
          <w:marRight w:val="0"/>
          <w:marTop w:val="0"/>
          <w:marBottom w:val="0"/>
          <w:divBdr>
            <w:top w:val="none" w:sz="0" w:space="0" w:color="auto"/>
            <w:left w:val="none" w:sz="0" w:space="0" w:color="auto"/>
            <w:bottom w:val="none" w:sz="0" w:space="0" w:color="auto"/>
            <w:right w:val="none" w:sz="0" w:space="0" w:color="auto"/>
          </w:divBdr>
        </w:div>
        <w:div w:id="193226351">
          <w:marLeft w:val="0"/>
          <w:marRight w:val="0"/>
          <w:marTop w:val="0"/>
          <w:marBottom w:val="0"/>
          <w:divBdr>
            <w:top w:val="none" w:sz="0" w:space="0" w:color="auto"/>
            <w:left w:val="none" w:sz="0" w:space="0" w:color="auto"/>
            <w:bottom w:val="none" w:sz="0" w:space="0" w:color="auto"/>
            <w:right w:val="none" w:sz="0" w:space="0" w:color="auto"/>
          </w:divBdr>
        </w:div>
        <w:div w:id="1723944405">
          <w:marLeft w:val="0"/>
          <w:marRight w:val="0"/>
          <w:marTop w:val="0"/>
          <w:marBottom w:val="0"/>
          <w:divBdr>
            <w:top w:val="none" w:sz="0" w:space="0" w:color="auto"/>
            <w:left w:val="none" w:sz="0" w:space="0" w:color="auto"/>
            <w:bottom w:val="none" w:sz="0" w:space="0" w:color="auto"/>
            <w:right w:val="none" w:sz="0" w:space="0" w:color="auto"/>
          </w:divBdr>
        </w:div>
        <w:div w:id="30423876">
          <w:marLeft w:val="0"/>
          <w:marRight w:val="0"/>
          <w:marTop w:val="0"/>
          <w:marBottom w:val="0"/>
          <w:divBdr>
            <w:top w:val="none" w:sz="0" w:space="0" w:color="auto"/>
            <w:left w:val="none" w:sz="0" w:space="0" w:color="auto"/>
            <w:bottom w:val="none" w:sz="0" w:space="0" w:color="auto"/>
            <w:right w:val="none" w:sz="0" w:space="0" w:color="auto"/>
          </w:divBdr>
        </w:div>
        <w:div w:id="948121343">
          <w:marLeft w:val="0"/>
          <w:marRight w:val="0"/>
          <w:marTop w:val="0"/>
          <w:marBottom w:val="0"/>
          <w:divBdr>
            <w:top w:val="none" w:sz="0" w:space="0" w:color="auto"/>
            <w:left w:val="none" w:sz="0" w:space="0" w:color="auto"/>
            <w:bottom w:val="none" w:sz="0" w:space="0" w:color="auto"/>
            <w:right w:val="none" w:sz="0" w:space="0" w:color="auto"/>
          </w:divBdr>
        </w:div>
        <w:div w:id="282342976">
          <w:marLeft w:val="0"/>
          <w:marRight w:val="0"/>
          <w:marTop w:val="0"/>
          <w:marBottom w:val="0"/>
          <w:divBdr>
            <w:top w:val="none" w:sz="0" w:space="0" w:color="auto"/>
            <w:left w:val="none" w:sz="0" w:space="0" w:color="auto"/>
            <w:bottom w:val="none" w:sz="0" w:space="0" w:color="auto"/>
            <w:right w:val="none" w:sz="0" w:space="0" w:color="auto"/>
          </w:divBdr>
        </w:div>
        <w:div w:id="1592087467">
          <w:marLeft w:val="0"/>
          <w:marRight w:val="0"/>
          <w:marTop w:val="0"/>
          <w:marBottom w:val="0"/>
          <w:divBdr>
            <w:top w:val="none" w:sz="0" w:space="0" w:color="auto"/>
            <w:left w:val="none" w:sz="0" w:space="0" w:color="auto"/>
            <w:bottom w:val="none" w:sz="0" w:space="0" w:color="auto"/>
            <w:right w:val="none" w:sz="0" w:space="0" w:color="auto"/>
          </w:divBdr>
        </w:div>
        <w:div w:id="1631403463">
          <w:marLeft w:val="0"/>
          <w:marRight w:val="0"/>
          <w:marTop w:val="0"/>
          <w:marBottom w:val="0"/>
          <w:divBdr>
            <w:top w:val="none" w:sz="0" w:space="0" w:color="auto"/>
            <w:left w:val="none" w:sz="0" w:space="0" w:color="auto"/>
            <w:bottom w:val="none" w:sz="0" w:space="0" w:color="auto"/>
            <w:right w:val="none" w:sz="0" w:space="0" w:color="auto"/>
          </w:divBdr>
        </w:div>
        <w:div w:id="85880094">
          <w:marLeft w:val="0"/>
          <w:marRight w:val="0"/>
          <w:marTop w:val="0"/>
          <w:marBottom w:val="0"/>
          <w:divBdr>
            <w:top w:val="none" w:sz="0" w:space="0" w:color="auto"/>
            <w:left w:val="none" w:sz="0" w:space="0" w:color="auto"/>
            <w:bottom w:val="none" w:sz="0" w:space="0" w:color="auto"/>
            <w:right w:val="none" w:sz="0" w:space="0" w:color="auto"/>
          </w:divBdr>
        </w:div>
        <w:div w:id="1034699333">
          <w:marLeft w:val="0"/>
          <w:marRight w:val="0"/>
          <w:marTop w:val="0"/>
          <w:marBottom w:val="0"/>
          <w:divBdr>
            <w:top w:val="none" w:sz="0" w:space="0" w:color="auto"/>
            <w:left w:val="none" w:sz="0" w:space="0" w:color="auto"/>
            <w:bottom w:val="none" w:sz="0" w:space="0" w:color="auto"/>
            <w:right w:val="none" w:sz="0" w:space="0" w:color="auto"/>
          </w:divBdr>
        </w:div>
        <w:div w:id="1893148070">
          <w:marLeft w:val="0"/>
          <w:marRight w:val="0"/>
          <w:marTop w:val="0"/>
          <w:marBottom w:val="0"/>
          <w:divBdr>
            <w:top w:val="none" w:sz="0" w:space="0" w:color="auto"/>
            <w:left w:val="none" w:sz="0" w:space="0" w:color="auto"/>
            <w:bottom w:val="none" w:sz="0" w:space="0" w:color="auto"/>
            <w:right w:val="none" w:sz="0" w:space="0" w:color="auto"/>
          </w:divBdr>
        </w:div>
        <w:div w:id="1790657898">
          <w:marLeft w:val="0"/>
          <w:marRight w:val="0"/>
          <w:marTop w:val="0"/>
          <w:marBottom w:val="0"/>
          <w:divBdr>
            <w:top w:val="none" w:sz="0" w:space="0" w:color="auto"/>
            <w:left w:val="none" w:sz="0" w:space="0" w:color="auto"/>
            <w:bottom w:val="none" w:sz="0" w:space="0" w:color="auto"/>
            <w:right w:val="none" w:sz="0" w:space="0" w:color="auto"/>
          </w:divBdr>
        </w:div>
        <w:div w:id="455223485">
          <w:marLeft w:val="0"/>
          <w:marRight w:val="0"/>
          <w:marTop w:val="0"/>
          <w:marBottom w:val="0"/>
          <w:divBdr>
            <w:top w:val="none" w:sz="0" w:space="0" w:color="auto"/>
            <w:left w:val="none" w:sz="0" w:space="0" w:color="auto"/>
            <w:bottom w:val="none" w:sz="0" w:space="0" w:color="auto"/>
            <w:right w:val="none" w:sz="0" w:space="0" w:color="auto"/>
          </w:divBdr>
        </w:div>
        <w:div w:id="1916356711">
          <w:marLeft w:val="0"/>
          <w:marRight w:val="0"/>
          <w:marTop w:val="0"/>
          <w:marBottom w:val="0"/>
          <w:divBdr>
            <w:top w:val="none" w:sz="0" w:space="0" w:color="auto"/>
            <w:left w:val="none" w:sz="0" w:space="0" w:color="auto"/>
            <w:bottom w:val="none" w:sz="0" w:space="0" w:color="auto"/>
            <w:right w:val="none" w:sz="0" w:space="0" w:color="auto"/>
          </w:divBdr>
        </w:div>
        <w:div w:id="929198126">
          <w:marLeft w:val="0"/>
          <w:marRight w:val="0"/>
          <w:marTop w:val="0"/>
          <w:marBottom w:val="0"/>
          <w:divBdr>
            <w:top w:val="none" w:sz="0" w:space="0" w:color="auto"/>
            <w:left w:val="none" w:sz="0" w:space="0" w:color="auto"/>
            <w:bottom w:val="none" w:sz="0" w:space="0" w:color="auto"/>
            <w:right w:val="none" w:sz="0" w:space="0" w:color="auto"/>
          </w:divBdr>
        </w:div>
        <w:div w:id="735280950">
          <w:marLeft w:val="0"/>
          <w:marRight w:val="0"/>
          <w:marTop w:val="0"/>
          <w:marBottom w:val="0"/>
          <w:divBdr>
            <w:top w:val="none" w:sz="0" w:space="0" w:color="auto"/>
            <w:left w:val="none" w:sz="0" w:space="0" w:color="auto"/>
            <w:bottom w:val="none" w:sz="0" w:space="0" w:color="auto"/>
            <w:right w:val="none" w:sz="0" w:space="0" w:color="auto"/>
          </w:divBdr>
        </w:div>
        <w:div w:id="2038197652">
          <w:marLeft w:val="0"/>
          <w:marRight w:val="0"/>
          <w:marTop w:val="0"/>
          <w:marBottom w:val="0"/>
          <w:divBdr>
            <w:top w:val="none" w:sz="0" w:space="0" w:color="auto"/>
            <w:left w:val="none" w:sz="0" w:space="0" w:color="auto"/>
            <w:bottom w:val="none" w:sz="0" w:space="0" w:color="auto"/>
            <w:right w:val="none" w:sz="0" w:space="0" w:color="auto"/>
          </w:divBdr>
        </w:div>
        <w:div w:id="1689867253">
          <w:marLeft w:val="0"/>
          <w:marRight w:val="0"/>
          <w:marTop w:val="0"/>
          <w:marBottom w:val="0"/>
          <w:divBdr>
            <w:top w:val="none" w:sz="0" w:space="0" w:color="auto"/>
            <w:left w:val="none" w:sz="0" w:space="0" w:color="auto"/>
            <w:bottom w:val="none" w:sz="0" w:space="0" w:color="auto"/>
            <w:right w:val="none" w:sz="0" w:space="0" w:color="auto"/>
          </w:divBdr>
        </w:div>
        <w:div w:id="209461349">
          <w:marLeft w:val="0"/>
          <w:marRight w:val="0"/>
          <w:marTop w:val="0"/>
          <w:marBottom w:val="0"/>
          <w:divBdr>
            <w:top w:val="none" w:sz="0" w:space="0" w:color="auto"/>
            <w:left w:val="none" w:sz="0" w:space="0" w:color="auto"/>
            <w:bottom w:val="none" w:sz="0" w:space="0" w:color="auto"/>
            <w:right w:val="none" w:sz="0" w:space="0" w:color="auto"/>
          </w:divBdr>
        </w:div>
        <w:div w:id="1395082028">
          <w:marLeft w:val="0"/>
          <w:marRight w:val="0"/>
          <w:marTop w:val="0"/>
          <w:marBottom w:val="0"/>
          <w:divBdr>
            <w:top w:val="none" w:sz="0" w:space="0" w:color="auto"/>
            <w:left w:val="none" w:sz="0" w:space="0" w:color="auto"/>
            <w:bottom w:val="none" w:sz="0" w:space="0" w:color="auto"/>
            <w:right w:val="none" w:sz="0" w:space="0" w:color="auto"/>
          </w:divBdr>
        </w:div>
        <w:div w:id="51660796">
          <w:marLeft w:val="0"/>
          <w:marRight w:val="0"/>
          <w:marTop w:val="0"/>
          <w:marBottom w:val="0"/>
          <w:divBdr>
            <w:top w:val="none" w:sz="0" w:space="0" w:color="auto"/>
            <w:left w:val="none" w:sz="0" w:space="0" w:color="auto"/>
            <w:bottom w:val="none" w:sz="0" w:space="0" w:color="auto"/>
            <w:right w:val="none" w:sz="0" w:space="0" w:color="auto"/>
          </w:divBdr>
        </w:div>
        <w:div w:id="836654231">
          <w:marLeft w:val="0"/>
          <w:marRight w:val="0"/>
          <w:marTop w:val="0"/>
          <w:marBottom w:val="0"/>
          <w:divBdr>
            <w:top w:val="none" w:sz="0" w:space="0" w:color="auto"/>
            <w:left w:val="none" w:sz="0" w:space="0" w:color="auto"/>
            <w:bottom w:val="none" w:sz="0" w:space="0" w:color="auto"/>
            <w:right w:val="none" w:sz="0" w:space="0" w:color="auto"/>
          </w:divBdr>
        </w:div>
        <w:div w:id="1297953916">
          <w:marLeft w:val="0"/>
          <w:marRight w:val="0"/>
          <w:marTop w:val="0"/>
          <w:marBottom w:val="0"/>
          <w:divBdr>
            <w:top w:val="none" w:sz="0" w:space="0" w:color="auto"/>
            <w:left w:val="none" w:sz="0" w:space="0" w:color="auto"/>
            <w:bottom w:val="none" w:sz="0" w:space="0" w:color="auto"/>
            <w:right w:val="none" w:sz="0" w:space="0" w:color="auto"/>
          </w:divBdr>
        </w:div>
        <w:div w:id="92824673">
          <w:marLeft w:val="0"/>
          <w:marRight w:val="0"/>
          <w:marTop w:val="0"/>
          <w:marBottom w:val="0"/>
          <w:divBdr>
            <w:top w:val="none" w:sz="0" w:space="0" w:color="auto"/>
            <w:left w:val="none" w:sz="0" w:space="0" w:color="auto"/>
            <w:bottom w:val="none" w:sz="0" w:space="0" w:color="auto"/>
            <w:right w:val="none" w:sz="0" w:space="0" w:color="auto"/>
          </w:divBdr>
        </w:div>
        <w:div w:id="1901016291">
          <w:marLeft w:val="0"/>
          <w:marRight w:val="0"/>
          <w:marTop w:val="0"/>
          <w:marBottom w:val="0"/>
          <w:divBdr>
            <w:top w:val="none" w:sz="0" w:space="0" w:color="auto"/>
            <w:left w:val="none" w:sz="0" w:space="0" w:color="auto"/>
            <w:bottom w:val="none" w:sz="0" w:space="0" w:color="auto"/>
            <w:right w:val="none" w:sz="0" w:space="0" w:color="auto"/>
          </w:divBdr>
        </w:div>
        <w:div w:id="239682920">
          <w:marLeft w:val="0"/>
          <w:marRight w:val="0"/>
          <w:marTop w:val="0"/>
          <w:marBottom w:val="0"/>
          <w:divBdr>
            <w:top w:val="none" w:sz="0" w:space="0" w:color="auto"/>
            <w:left w:val="none" w:sz="0" w:space="0" w:color="auto"/>
            <w:bottom w:val="none" w:sz="0" w:space="0" w:color="auto"/>
            <w:right w:val="none" w:sz="0" w:space="0" w:color="auto"/>
          </w:divBdr>
        </w:div>
      </w:divsChild>
    </w:div>
    <w:div w:id="1139613764">
      <w:bodyDiv w:val="1"/>
      <w:marLeft w:val="0"/>
      <w:marRight w:val="0"/>
      <w:marTop w:val="0"/>
      <w:marBottom w:val="0"/>
      <w:divBdr>
        <w:top w:val="none" w:sz="0" w:space="0" w:color="auto"/>
        <w:left w:val="none" w:sz="0" w:space="0" w:color="auto"/>
        <w:bottom w:val="none" w:sz="0" w:space="0" w:color="auto"/>
        <w:right w:val="none" w:sz="0" w:space="0" w:color="auto"/>
      </w:divBdr>
    </w:div>
    <w:div w:id="1147436427">
      <w:bodyDiv w:val="1"/>
      <w:marLeft w:val="0"/>
      <w:marRight w:val="0"/>
      <w:marTop w:val="0"/>
      <w:marBottom w:val="0"/>
      <w:divBdr>
        <w:top w:val="none" w:sz="0" w:space="0" w:color="auto"/>
        <w:left w:val="none" w:sz="0" w:space="0" w:color="auto"/>
        <w:bottom w:val="none" w:sz="0" w:space="0" w:color="auto"/>
        <w:right w:val="none" w:sz="0" w:space="0" w:color="auto"/>
      </w:divBdr>
    </w:div>
    <w:div w:id="1151287577">
      <w:bodyDiv w:val="1"/>
      <w:marLeft w:val="0"/>
      <w:marRight w:val="0"/>
      <w:marTop w:val="0"/>
      <w:marBottom w:val="0"/>
      <w:divBdr>
        <w:top w:val="none" w:sz="0" w:space="0" w:color="auto"/>
        <w:left w:val="none" w:sz="0" w:space="0" w:color="auto"/>
        <w:bottom w:val="none" w:sz="0" w:space="0" w:color="auto"/>
        <w:right w:val="none" w:sz="0" w:space="0" w:color="auto"/>
      </w:divBdr>
    </w:div>
    <w:div w:id="1171990973">
      <w:bodyDiv w:val="1"/>
      <w:marLeft w:val="0"/>
      <w:marRight w:val="0"/>
      <w:marTop w:val="0"/>
      <w:marBottom w:val="0"/>
      <w:divBdr>
        <w:top w:val="none" w:sz="0" w:space="0" w:color="auto"/>
        <w:left w:val="none" w:sz="0" w:space="0" w:color="auto"/>
        <w:bottom w:val="none" w:sz="0" w:space="0" w:color="auto"/>
        <w:right w:val="none" w:sz="0" w:space="0" w:color="auto"/>
      </w:divBdr>
    </w:div>
    <w:div w:id="1184900724">
      <w:bodyDiv w:val="1"/>
      <w:marLeft w:val="0"/>
      <w:marRight w:val="0"/>
      <w:marTop w:val="0"/>
      <w:marBottom w:val="0"/>
      <w:divBdr>
        <w:top w:val="none" w:sz="0" w:space="0" w:color="auto"/>
        <w:left w:val="none" w:sz="0" w:space="0" w:color="auto"/>
        <w:bottom w:val="none" w:sz="0" w:space="0" w:color="auto"/>
        <w:right w:val="none" w:sz="0" w:space="0" w:color="auto"/>
      </w:divBdr>
    </w:div>
    <w:div w:id="1188759636">
      <w:bodyDiv w:val="1"/>
      <w:marLeft w:val="0"/>
      <w:marRight w:val="0"/>
      <w:marTop w:val="0"/>
      <w:marBottom w:val="0"/>
      <w:divBdr>
        <w:top w:val="none" w:sz="0" w:space="0" w:color="auto"/>
        <w:left w:val="none" w:sz="0" w:space="0" w:color="auto"/>
        <w:bottom w:val="none" w:sz="0" w:space="0" w:color="auto"/>
        <w:right w:val="none" w:sz="0" w:space="0" w:color="auto"/>
      </w:divBdr>
    </w:div>
    <w:div w:id="1215576846">
      <w:bodyDiv w:val="1"/>
      <w:marLeft w:val="0"/>
      <w:marRight w:val="0"/>
      <w:marTop w:val="0"/>
      <w:marBottom w:val="0"/>
      <w:divBdr>
        <w:top w:val="none" w:sz="0" w:space="0" w:color="auto"/>
        <w:left w:val="none" w:sz="0" w:space="0" w:color="auto"/>
        <w:bottom w:val="none" w:sz="0" w:space="0" w:color="auto"/>
        <w:right w:val="none" w:sz="0" w:space="0" w:color="auto"/>
      </w:divBdr>
    </w:div>
    <w:div w:id="1243179534">
      <w:bodyDiv w:val="1"/>
      <w:marLeft w:val="0"/>
      <w:marRight w:val="0"/>
      <w:marTop w:val="0"/>
      <w:marBottom w:val="0"/>
      <w:divBdr>
        <w:top w:val="none" w:sz="0" w:space="0" w:color="auto"/>
        <w:left w:val="none" w:sz="0" w:space="0" w:color="auto"/>
        <w:bottom w:val="none" w:sz="0" w:space="0" w:color="auto"/>
        <w:right w:val="none" w:sz="0" w:space="0" w:color="auto"/>
      </w:divBdr>
    </w:div>
    <w:div w:id="1275357559">
      <w:bodyDiv w:val="1"/>
      <w:marLeft w:val="0"/>
      <w:marRight w:val="0"/>
      <w:marTop w:val="0"/>
      <w:marBottom w:val="0"/>
      <w:divBdr>
        <w:top w:val="none" w:sz="0" w:space="0" w:color="auto"/>
        <w:left w:val="none" w:sz="0" w:space="0" w:color="auto"/>
        <w:bottom w:val="none" w:sz="0" w:space="0" w:color="auto"/>
        <w:right w:val="none" w:sz="0" w:space="0" w:color="auto"/>
      </w:divBdr>
    </w:div>
    <w:div w:id="1341930321">
      <w:bodyDiv w:val="1"/>
      <w:marLeft w:val="0"/>
      <w:marRight w:val="0"/>
      <w:marTop w:val="0"/>
      <w:marBottom w:val="0"/>
      <w:divBdr>
        <w:top w:val="none" w:sz="0" w:space="0" w:color="auto"/>
        <w:left w:val="none" w:sz="0" w:space="0" w:color="auto"/>
        <w:bottom w:val="none" w:sz="0" w:space="0" w:color="auto"/>
        <w:right w:val="none" w:sz="0" w:space="0" w:color="auto"/>
      </w:divBdr>
    </w:div>
    <w:div w:id="1356805887">
      <w:bodyDiv w:val="1"/>
      <w:marLeft w:val="0"/>
      <w:marRight w:val="0"/>
      <w:marTop w:val="0"/>
      <w:marBottom w:val="0"/>
      <w:divBdr>
        <w:top w:val="none" w:sz="0" w:space="0" w:color="auto"/>
        <w:left w:val="none" w:sz="0" w:space="0" w:color="auto"/>
        <w:bottom w:val="none" w:sz="0" w:space="0" w:color="auto"/>
        <w:right w:val="none" w:sz="0" w:space="0" w:color="auto"/>
      </w:divBdr>
    </w:div>
    <w:div w:id="1362898051">
      <w:bodyDiv w:val="1"/>
      <w:marLeft w:val="0"/>
      <w:marRight w:val="0"/>
      <w:marTop w:val="0"/>
      <w:marBottom w:val="0"/>
      <w:divBdr>
        <w:top w:val="none" w:sz="0" w:space="0" w:color="auto"/>
        <w:left w:val="none" w:sz="0" w:space="0" w:color="auto"/>
        <w:bottom w:val="none" w:sz="0" w:space="0" w:color="auto"/>
        <w:right w:val="none" w:sz="0" w:space="0" w:color="auto"/>
      </w:divBdr>
    </w:div>
    <w:div w:id="1378166356">
      <w:bodyDiv w:val="1"/>
      <w:marLeft w:val="0"/>
      <w:marRight w:val="0"/>
      <w:marTop w:val="0"/>
      <w:marBottom w:val="0"/>
      <w:divBdr>
        <w:top w:val="none" w:sz="0" w:space="0" w:color="auto"/>
        <w:left w:val="none" w:sz="0" w:space="0" w:color="auto"/>
        <w:bottom w:val="none" w:sz="0" w:space="0" w:color="auto"/>
        <w:right w:val="none" w:sz="0" w:space="0" w:color="auto"/>
      </w:divBdr>
    </w:div>
    <w:div w:id="1430924594">
      <w:bodyDiv w:val="1"/>
      <w:marLeft w:val="0"/>
      <w:marRight w:val="0"/>
      <w:marTop w:val="0"/>
      <w:marBottom w:val="0"/>
      <w:divBdr>
        <w:top w:val="none" w:sz="0" w:space="0" w:color="auto"/>
        <w:left w:val="none" w:sz="0" w:space="0" w:color="auto"/>
        <w:bottom w:val="none" w:sz="0" w:space="0" w:color="auto"/>
        <w:right w:val="none" w:sz="0" w:space="0" w:color="auto"/>
      </w:divBdr>
    </w:div>
    <w:div w:id="1461799408">
      <w:bodyDiv w:val="1"/>
      <w:marLeft w:val="0"/>
      <w:marRight w:val="0"/>
      <w:marTop w:val="0"/>
      <w:marBottom w:val="0"/>
      <w:divBdr>
        <w:top w:val="none" w:sz="0" w:space="0" w:color="auto"/>
        <w:left w:val="none" w:sz="0" w:space="0" w:color="auto"/>
        <w:bottom w:val="none" w:sz="0" w:space="0" w:color="auto"/>
        <w:right w:val="none" w:sz="0" w:space="0" w:color="auto"/>
      </w:divBdr>
    </w:div>
    <w:div w:id="1537425898">
      <w:bodyDiv w:val="1"/>
      <w:marLeft w:val="0"/>
      <w:marRight w:val="0"/>
      <w:marTop w:val="0"/>
      <w:marBottom w:val="0"/>
      <w:divBdr>
        <w:top w:val="none" w:sz="0" w:space="0" w:color="auto"/>
        <w:left w:val="none" w:sz="0" w:space="0" w:color="auto"/>
        <w:bottom w:val="none" w:sz="0" w:space="0" w:color="auto"/>
        <w:right w:val="none" w:sz="0" w:space="0" w:color="auto"/>
      </w:divBdr>
    </w:div>
    <w:div w:id="1562717914">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609921340">
      <w:bodyDiv w:val="1"/>
      <w:marLeft w:val="0"/>
      <w:marRight w:val="0"/>
      <w:marTop w:val="0"/>
      <w:marBottom w:val="0"/>
      <w:divBdr>
        <w:top w:val="none" w:sz="0" w:space="0" w:color="auto"/>
        <w:left w:val="none" w:sz="0" w:space="0" w:color="auto"/>
        <w:bottom w:val="none" w:sz="0" w:space="0" w:color="auto"/>
        <w:right w:val="none" w:sz="0" w:space="0" w:color="auto"/>
      </w:divBdr>
    </w:div>
    <w:div w:id="1626617397">
      <w:bodyDiv w:val="1"/>
      <w:marLeft w:val="0"/>
      <w:marRight w:val="0"/>
      <w:marTop w:val="0"/>
      <w:marBottom w:val="0"/>
      <w:divBdr>
        <w:top w:val="none" w:sz="0" w:space="0" w:color="auto"/>
        <w:left w:val="none" w:sz="0" w:space="0" w:color="auto"/>
        <w:bottom w:val="none" w:sz="0" w:space="0" w:color="auto"/>
        <w:right w:val="none" w:sz="0" w:space="0" w:color="auto"/>
      </w:divBdr>
    </w:div>
    <w:div w:id="1644888263">
      <w:bodyDiv w:val="1"/>
      <w:marLeft w:val="0"/>
      <w:marRight w:val="0"/>
      <w:marTop w:val="0"/>
      <w:marBottom w:val="0"/>
      <w:divBdr>
        <w:top w:val="none" w:sz="0" w:space="0" w:color="auto"/>
        <w:left w:val="none" w:sz="0" w:space="0" w:color="auto"/>
        <w:bottom w:val="none" w:sz="0" w:space="0" w:color="auto"/>
        <w:right w:val="none" w:sz="0" w:space="0" w:color="auto"/>
      </w:divBdr>
    </w:div>
    <w:div w:id="1645232096">
      <w:bodyDiv w:val="1"/>
      <w:marLeft w:val="0"/>
      <w:marRight w:val="0"/>
      <w:marTop w:val="0"/>
      <w:marBottom w:val="0"/>
      <w:divBdr>
        <w:top w:val="none" w:sz="0" w:space="0" w:color="auto"/>
        <w:left w:val="none" w:sz="0" w:space="0" w:color="auto"/>
        <w:bottom w:val="none" w:sz="0" w:space="0" w:color="auto"/>
        <w:right w:val="none" w:sz="0" w:space="0" w:color="auto"/>
      </w:divBdr>
    </w:div>
    <w:div w:id="1665353060">
      <w:bodyDiv w:val="1"/>
      <w:marLeft w:val="0"/>
      <w:marRight w:val="0"/>
      <w:marTop w:val="0"/>
      <w:marBottom w:val="0"/>
      <w:divBdr>
        <w:top w:val="none" w:sz="0" w:space="0" w:color="auto"/>
        <w:left w:val="none" w:sz="0" w:space="0" w:color="auto"/>
        <w:bottom w:val="none" w:sz="0" w:space="0" w:color="auto"/>
        <w:right w:val="none" w:sz="0" w:space="0" w:color="auto"/>
      </w:divBdr>
    </w:div>
    <w:div w:id="1698237448">
      <w:bodyDiv w:val="1"/>
      <w:marLeft w:val="0"/>
      <w:marRight w:val="0"/>
      <w:marTop w:val="0"/>
      <w:marBottom w:val="0"/>
      <w:divBdr>
        <w:top w:val="none" w:sz="0" w:space="0" w:color="auto"/>
        <w:left w:val="none" w:sz="0" w:space="0" w:color="auto"/>
        <w:bottom w:val="none" w:sz="0" w:space="0" w:color="auto"/>
        <w:right w:val="none" w:sz="0" w:space="0" w:color="auto"/>
      </w:divBdr>
    </w:div>
    <w:div w:id="1719165874">
      <w:bodyDiv w:val="1"/>
      <w:marLeft w:val="0"/>
      <w:marRight w:val="0"/>
      <w:marTop w:val="0"/>
      <w:marBottom w:val="0"/>
      <w:divBdr>
        <w:top w:val="none" w:sz="0" w:space="0" w:color="auto"/>
        <w:left w:val="none" w:sz="0" w:space="0" w:color="auto"/>
        <w:bottom w:val="none" w:sz="0" w:space="0" w:color="auto"/>
        <w:right w:val="none" w:sz="0" w:space="0" w:color="auto"/>
      </w:divBdr>
    </w:div>
    <w:div w:id="1750149514">
      <w:bodyDiv w:val="1"/>
      <w:marLeft w:val="0"/>
      <w:marRight w:val="0"/>
      <w:marTop w:val="0"/>
      <w:marBottom w:val="0"/>
      <w:divBdr>
        <w:top w:val="none" w:sz="0" w:space="0" w:color="auto"/>
        <w:left w:val="none" w:sz="0" w:space="0" w:color="auto"/>
        <w:bottom w:val="none" w:sz="0" w:space="0" w:color="auto"/>
        <w:right w:val="none" w:sz="0" w:space="0" w:color="auto"/>
      </w:divBdr>
    </w:div>
    <w:div w:id="1753241202">
      <w:bodyDiv w:val="1"/>
      <w:marLeft w:val="0"/>
      <w:marRight w:val="0"/>
      <w:marTop w:val="0"/>
      <w:marBottom w:val="0"/>
      <w:divBdr>
        <w:top w:val="none" w:sz="0" w:space="0" w:color="auto"/>
        <w:left w:val="none" w:sz="0" w:space="0" w:color="auto"/>
        <w:bottom w:val="none" w:sz="0" w:space="0" w:color="auto"/>
        <w:right w:val="none" w:sz="0" w:space="0" w:color="auto"/>
      </w:divBdr>
    </w:div>
    <w:div w:id="1797916162">
      <w:bodyDiv w:val="1"/>
      <w:marLeft w:val="0"/>
      <w:marRight w:val="0"/>
      <w:marTop w:val="0"/>
      <w:marBottom w:val="0"/>
      <w:divBdr>
        <w:top w:val="none" w:sz="0" w:space="0" w:color="auto"/>
        <w:left w:val="none" w:sz="0" w:space="0" w:color="auto"/>
        <w:bottom w:val="none" w:sz="0" w:space="0" w:color="auto"/>
        <w:right w:val="none" w:sz="0" w:space="0" w:color="auto"/>
      </w:divBdr>
    </w:div>
    <w:div w:id="1798915390">
      <w:bodyDiv w:val="1"/>
      <w:marLeft w:val="0"/>
      <w:marRight w:val="0"/>
      <w:marTop w:val="0"/>
      <w:marBottom w:val="0"/>
      <w:divBdr>
        <w:top w:val="none" w:sz="0" w:space="0" w:color="auto"/>
        <w:left w:val="none" w:sz="0" w:space="0" w:color="auto"/>
        <w:bottom w:val="none" w:sz="0" w:space="0" w:color="auto"/>
        <w:right w:val="none" w:sz="0" w:space="0" w:color="auto"/>
      </w:divBdr>
    </w:div>
    <w:div w:id="1842769243">
      <w:bodyDiv w:val="1"/>
      <w:marLeft w:val="0"/>
      <w:marRight w:val="0"/>
      <w:marTop w:val="0"/>
      <w:marBottom w:val="0"/>
      <w:divBdr>
        <w:top w:val="none" w:sz="0" w:space="0" w:color="auto"/>
        <w:left w:val="none" w:sz="0" w:space="0" w:color="auto"/>
        <w:bottom w:val="none" w:sz="0" w:space="0" w:color="auto"/>
        <w:right w:val="none" w:sz="0" w:space="0" w:color="auto"/>
      </w:divBdr>
    </w:div>
    <w:div w:id="1907449808">
      <w:bodyDiv w:val="1"/>
      <w:marLeft w:val="0"/>
      <w:marRight w:val="0"/>
      <w:marTop w:val="0"/>
      <w:marBottom w:val="0"/>
      <w:divBdr>
        <w:top w:val="none" w:sz="0" w:space="0" w:color="auto"/>
        <w:left w:val="none" w:sz="0" w:space="0" w:color="auto"/>
        <w:bottom w:val="none" w:sz="0" w:space="0" w:color="auto"/>
        <w:right w:val="none" w:sz="0" w:space="0" w:color="auto"/>
      </w:divBdr>
    </w:div>
    <w:div w:id="1945459826">
      <w:bodyDiv w:val="1"/>
      <w:marLeft w:val="0"/>
      <w:marRight w:val="0"/>
      <w:marTop w:val="0"/>
      <w:marBottom w:val="0"/>
      <w:divBdr>
        <w:top w:val="none" w:sz="0" w:space="0" w:color="auto"/>
        <w:left w:val="none" w:sz="0" w:space="0" w:color="auto"/>
        <w:bottom w:val="none" w:sz="0" w:space="0" w:color="auto"/>
        <w:right w:val="none" w:sz="0" w:space="0" w:color="auto"/>
      </w:divBdr>
    </w:div>
    <w:div w:id="2028411793">
      <w:bodyDiv w:val="1"/>
      <w:marLeft w:val="0"/>
      <w:marRight w:val="0"/>
      <w:marTop w:val="0"/>
      <w:marBottom w:val="0"/>
      <w:divBdr>
        <w:top w:val="none" w:sz="0" w:space="0" w:color="auto"/>
        <w:left w:val="none" w:sz="0" w:space="0" w:color="auto"/>
        <w:bottom w:val="none" w:sz="0" w:space="0" w:color="auto"/>
        <w:right w:val="none" w:sz="0" w:space="0" w:color="auto"/>
      </w:divBdr>
    </w:div>
    <w:div w:id="2053192551">
      <w:bodyDiv w:val="1"/>
      <w:marLeft w:val="0"/>
      <w:marRight w:val="0"/>
      <w:marTop w:val="0"/>
      <w:marBottom w:val="0"/>
      <w:divBdr>
        <w:top w:val="none" w:sz="0" w:space="0" w:color="auto"/>
        <w:left w:val="none" w:sz="0" w:space="0" w:color="auto"/>
        <w:bottom w:val="none" w:sz="0" w:space="0" w:color="auto"/>
        <w:right w:val="none" w:sz="0" w:space="0" w:color="auto"/>
      </w:divBdr>
      <w:divsChild>
        <w:div w:id="268707745">
          <w:marLeft w:val="0"/>
          <w:marRight w:val="0"/>
          <w:marTop w:val="0"/>
          <w:marBottom w:val="0"/>
          <w:divBdr>
            <w:top w:val="none" w:sz="0" w:space="0" w:color="auto"/>
            <w:left w:val="none" w:sz="0" w:space="0" w:color="auto"/>
            <w:bottom w:val="none" w:sz="0" w:space="0" w:color="auto"/>
            <w:right w:val="none" w:sz="0" w:space="0" w:color="auto"/>
          </w:divBdr>
        </w:div>
        <w:div w:id="1869489655">
          <w:marLeft w:val="0"/>
          <w:marRight w:val="0"/>
          <w:marTop w:val="0"/>
          <w:marBottom w:val="0"/>
          <w:divBdr>
            <w:top w:val="none" w:sz="0" w:space="0" w:color="auto"/>
            <w:left w:val="none" w:sz="0" w:space="0" w:color="auto"/>
            <w:bottom w:val="none" w:sz="0" w:space="0" w:color="auto"/>
            <w:right w:val="none" w:sz="0" w:space="0" w:color="auto"/>
          </w:divBdr>
        </w:div>
        <w:div w:id="55712859">
          <w:marLeft w:val="0"/>
          <w:marRight w:val="0"/>
          <w:marTop w:val="0"/>
          <w:marBottom w:val="0"/>
          <w:divBdr>
            <w:top w:val="none" w:sz="0" w:space="0" w:color="auto"/>
            <w:left w:val="none" w:sz="0" w:space="0" w:color="auto"/>
            <w:bottom w:val="none" w:sz="0" w:space="0" w:color="auto"/>
            <w:right w:val="none" w:sz="0" w:space="0" w:color="auto"/>
          </w:divBdr>
        </w:div>
        <w:div w:id="1667587872">
          <w:marLeft w:val="0"/>
          <w:marRight w:val="0"/>
          <w:marTop w:val="0"/>
          <w:marBottom w:val="0"/>
          <w:divBdr>
            <w:top w:val="none" w:sz="0" w:space="0" w:color="auto"/>
            <w:left w:val="none" w:sz="0" w:space="0" w:color="auto"/>
            <w:bottom w:val="none" w:sz="0" w:space="0" w:color="auto"/>
            <w:right w:val="none" w:sz="0" w:space="0" w:color="auto"/>
          </w:divBdr>
        </w:div>
        <w:div w:id="1954247637">
          <w:marLeft w:val="0"/>
          <w:marRight w:val="0"/>
          <w:marTop w:val="0"/>
          <w:marBottom w:val="0"/>
          <w:divBdr>
            <w:top w:val="none" w:sz="0" w:space="0" w:color="auto"/>
            <w:left w:val="none" w:sz="0" w:space="0" w:color="auto"/>
            <w:bottom w:val="none" w:sz="0" w:space="0" w:color="auto"/>
            <w:right w:val="none" w:sz="0" w:space="0" w:color="auto"/>
          </w:divBdr>
        </w:div>
        <w:div w:id="1769495770">
          <w:marLeft w:val="0"/>
          <w:marRight w:val="0"/>
          <w:marTop w:val="0"/>
          <w:marBottom w:val="0"/>
          <w:divBdr>
            <w:top w:val="none" w:sz="0" w:space="0" w:color="auto"/>
            <w:left w:val="none" w:sz="0" w:space="0" w:color="auto"/>
            <w:bottom w:val="none" w:sz="0" w:space="0" w:color="auto"/>
            <w:right w:val="none" w:sz="0" w:space="0" w:color="auto"/>
          </w:divBdr>
        </w:div>
        <w:div w:id="794561747">
          <w:marLeft w:val="0"/>
          <w:marRight w:val="0"/>
          <w:marTop w:val="0"/>
          <w:marBottom w:val="0"/>
          <w:divBdr>
            <w:top w:val="none" w:sz="0" w:space="0" w:color="auto"/>
            <w:left w:val="none" w:sz="0" w:space="0" w:color="auto"/>
            <w:bottom w:val="none" w:sz="0" w:space="0" w:color="auto"/>
            <w:right w:val="none" w:sz="0" w:space="0" w:color="auto"/>
          </w:divBdr>
        </w:div>
      </w:divsChild>
    </w:div>
    <w:div w:id="2127965725">
      <w:bodyDiv w:val="1"/>
      <w:marLeft w:val="0"/>
      <w:marRight w:val="0"/>
      <w:marTop w:val="0"/>
      <w:marBottom w:val="0"/>
      <w:divBdr>
        <w:top w:val="none" w:sz="0" w:space="0" w:color="auto"/>
        <w:left w:val="none" w:sz="0" w:space="0" w:color="auto"/>
        <w:bottom w:val="none" w:sz="0" w:space="0" w:color="auto"/>
        <w:right w:val="none" w:sz="0" w:space="0" w:color="auto"/>
      </w:divBdr>
    </w:div>
    <w:div w:id="21407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mft.gov.ba"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www.macrotrends.net/2548/euro-dollar-exchange-rate-historical-chart%20"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hart" Target="charts/chart3.xm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I.LJ\10.%20BILTEN\2021\Q4%202021\Grafikon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I.LJ\13.%20MTDS%20FBiH\Book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I.LJ\13.%20MTDS%20FBiH\FINALNO\Copy%20of%20MTDSAT%20%202022_2024%20FINAL.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I.LJ\13.%20MTDS%20FBiH\FINALNO\Copy%20of%20MTDSAT%20%202022_2024%20FINAL.xlsm"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I.LJ\10.%20BILTEN\2021\Q4%202021\Copy%20of%20LOAN%20data%20End%20Dec_2021%20Bilten%2025.01.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I.LJ\10.%20BILTEN\2021\Q4%202021\Copy%20of%20LOAN%20data%20End%20Dec_2021%20Bilten%2025.01.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I.LJ\10.%20BILTEN\2021\Q4%202021\Copy%20of%20LOAN%20data%20End%20Dec_2021%20Bilten%2001.02.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I.LJ\10.%20BILTEN\2021\Q4%202021\Grafikon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I.LJ\13.%20MTDS%20FBiH\Grafikoni\Grafikoni%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I.LJ\10.%20BILTEN\2021\Q4%202021\Grafikon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I.LJ\13.%20MTDS%20FBiH\Book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I.LJ\13.%20MTDS%20FBiH\Book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VANJSKI!$W$5</c:f>
              <c:strCache>
                <c:ptCount val="1"/>
                <c:pt idx="0">
                  <c:v>KM</c:v>
                </c:pt>
              </c:strCache>
            </c:strRef>
          </c:tx>
          <c:spPr>
            <a:solidFill>
              <a:schemeClr val="accent1"/>
            </a:solidFill>
            <a:ln>
              <a:noFill/>
            </a:ln>
            <a:effectLst/>
          </c:spPr>
          <c:invertIfNegative val="0"/>
          <c:cat>
            <c:strRef>
              <c:f>VANJSKI!$S$6:$S$14</c:f>
              <c:strCache>
                <c:ptCount val="9"/>
                <c:pt idx="0">
                  <c:v>Svjetska banka  (WB IDA)</c:v>
                </c:pt>
                <c:pt idx="1">
                  <c:v>Europska Investicijska banka</c:v>
                </c:pt>
                <c:pt idx="2">
                  <c:v>Međunarodni monetarni fond</c:v>
                </c:pt>
                <c:pt idx="3">
                  <c:v>EBRD</c:v>
                </c:pt>
                <c:pt idx="4">
                  <c:v>Pariški klub</c:v>
                </c:pt>
                <c:pt idx="5">
                  <c:v>Svjetska banka  (WB IBRD)</c:v>
                </c:pt>
                <c:pt idx="6">
                  <c:v>Europska Komisija</c:v>
                </c:pt>
                <c:pt idx="7">
                  <c:v>Vlada Kraljevine Španjolske</c:v>
                </c:pt>
                <c:pt idx="8">
                  <c:v>Ostali kreditori</c:v>
                </c:pt>
              </c:strCache>
            </c:strRef>
          </c:cat>
          <c:val>
            <c:numRef>
              <c:f>VANJSKI!$W$6:$W$14</c:f>
              <c:numCache>
                <c:formatCode>0.00</c:formatCode>
                <c:ptCount val="9"/>
                <c:pt idx="0">
                  <c:v>974.85018924906512</c:v>
                </c:pt>
                <c:pt idx="1">
                  <c:v>1069.8296569775291</c:v>
                </c:pt>
                <c:pt idx="2">
                  <c:v>582.32966539226697</c:v>
                </c:pt>
                <c:pt idx="3">
                  <c:v>611.92841996238997</c:v>
                </c:pt>
                <c:pt idx="4">
                  <c:v>337.39877058713188</c:v>
                </c:pt>
                <c:pt idx="5">
                  <c:v>674.47057049052501</c:v>
                </c:pt>
                <c:pt idx="6">
                  <c:v>232.49929125</c:v>
                </c:pt>
                <c:pt idx="7">
                  <c:v>63.395448259739993</c:v>
                </c:pt>
                <c:pt idx="8">
                  <c:v>855.30355723588571</c:v>
                </c:pt>
              </c:numCache>
            </c:numRef>
          </c:val>
          <c:extLst xmlns:c16r2="http://schemas.microsoft.com/office/drawing/2015/06/chart">
            <c:ext xmlns:c16="http://schemas.microsoft.com/office/drawing/2014/chart" uri="{C3380CC4-5D6E-409C-BE32-E72D297353CC}">
              <c16:uniqueId val="{00000000-0C40-461C-BDD1-EB3B7CA2BB74}"/>
            </c:ext>
          </c:extLst>
        </c:ser>
        <c:dLbls>
          <c:showLegendKey val="0"/>
          <c:showVal val="0"/>
          <c:showCatName val="0"/>
          <c:showSerName val="0"/>
          <c:showPercent val="0"/>
          <c:showBubbleSize val="0"/>
        </c:dLbls>
        <c:gapWidth val="182"/>
        <c:axId val="398496960"/>
        <c:axId val="398499312"/>
      </c:barChart>
      <c:catAx>
        <c:axId val="39849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98499312"/>
        <c:crosses val="autoZero"/>
        <c:auto val="1"/>
        <c:lblAlgn val="ctr"/>
        <c:lblOffset val="100"/>
        <c:noMultiLvlLbl val="0"/>
      </c:catAx>
      <c:valAx>
        <c:axId val="398499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96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Sheet8!$H$28</c:f>
              <c:strCache>
                <c:ptCount val="1"/>
                <c:pt idx="0">
                  <c:v>Trezorski zapisi</c:v>
                </c:pt>
              </c:strCache>
            </c:strRef>
          </c:tx>
          <c:spPr>
            <a:pattFill prst="wdUpDiag">
              <a:fgClr>
                <a:schemeClr val="accent1"/>
              </a:fgClr>
              <a:bgClr>
                <a:schemeClr val="bg1"/>
              </a:bgClr>
            </a:pattFill>
            <a:ln>
              <a:solidFill>
                <a:schemeClr val="accent1"/>
              </a:solidFill>
            </a:ln>
            <a:effectLst/>
          </c:spPr>
          <c:invertIfNegative val="0"/>
          <c:cat>
            <c:numRef>
              <c:f>Sheet8!$G$29:$G$38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Sheet8!$H$29:$H$38</c:f>
              <c:numCache>
                <c:formatCode>General</c:formatCode>
                <c:ptCount val="10"/>
                <c:pt idx="0">
                  <c:v>60</c:v>
                </c:pt>
                <c:pt idx="1">
                  <c:v>50</c:v>
                </c:pt>
                <c:pt idx="2">
                  <c:v>100</c:v>
                </c:pt>
                <c:pt idx="3">
                  <c:v>100</c:v>
                </c:pt>
                <c:pt idx="4">
                  <c:v>120.8</c:v>
                </c:pt>
                <c:pt idx="5">
                  <c:v>100</c:v>
                </c:pt>
                <c:pt idx="6">
                  <c:v>40</c:v>
                </c:pt>
                <c:pt idx="7">
                  <c:v>20</c:v>
                </c:pt>
                <c:pt idx="8">
                  <c:v>100</c:v>
                </c:pt>
                <c:pt idx="9">
                  <c:v>50</c:v>
                </c:pt>
              </c:numCache>
            </c:numRef>
          </c:val>
          <c:extLst xmlns:c16r2="http://schemas.microsoft.com/office/drawing/2015/06/chart">
            <c:ext xmlns:c16="http://schemas.microsoft.com/office/drawing/2014/chart" uri="{C3380CC4-5D6E-409C-BE32-E72D297353CC}">
              <c16:uniqueId val="{00000000-BA32-4356-A153-852DFC6A75AA}"/>
            </c:ext>
          </c:extLst>
        </c:ser>
        <c:ser>
          <c:idx val="1"/>
          <c:order val="1"/>
          <c:tx>
            <c:strRef>
              <c:f>Sheet8!$I$28</c:f>
              <c:strCache>
                <c:ptCount val="1"/>
                <c:pt idx="0">
                  <c:v>Trezorske obveznice</c:v>
                </c:pt>
              </c:strCache>
            </c:strRef>
          </c:tx>
          <c:spPr>
            <a:noFill/>
            <a:ln>
              <a:solidFill>
                <a:schemeClr val="accent1"/>
              </a:solidFill>
            </a:ln>
            <a:effectLst/>
          </c:spPr>
          <c:invertIfNegative val="0"/>
          <c:cat>
            <c:numRef>
              <c:f>Sheet8!$G$29:$G$38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Sheet8!$I$29:$I$38</c:f>
              <c:numCache>
                <c:formatCode>General</c:formatCode>
                <c:ptCount val="10"/>
                <c:pt idx="0">
                  <c:v>130</c:v>
                </c:pt>
                <c:pt idx="1">
                  <c:v>170</c:v>
                </c:pt>
                <c:pt idx="2">
                  <c:v>290</c:v>
                </c:pt>
                <c:pt idx="3">
                  <c:v>520</c:v>
                </c:pt>
                <c:pt idx="4">
                  <c:v>620</c:v>
                </c:pt>
                <c:pt idx="5">
                  <c:v>530</c:v>
                </c:pt>
                <c:pt idx="6">
                  <c:v>430</c:v>
                </c:pt>
                <c:pt idx="7">
                  <c:v>540</c:v>
                </c:pt>
                <c:pt idx="8">
                  <c:v>640</c:v>
                </c:pt>
                <c:pt idx="9">
                  <c:v>630</c:v>
                </c:pt>
              </c:numCache>
            </c:numRef>
          </c:val>
          <c:extLst xmlns:c16r2="http://schemas.microsoft.com/office/drawing/2015/06/chart">
            <c:ext xmlns:c16="http://schemas.microsoft.com/office/drawing/2014/chart" uri="{C3380CC4-5D6E-409C-BE32-E72D297353CC}">
              <c16:uniqueId val="{00000001-BA32-4356-A153-852DFC6A75AA}"/>
            </c:ext>
          </c:extLst>
        </c:ser>
        <c:dLbls>
          <c:showLegendKey val="0"/>
          <c:showVal val="0"/>
          <c:showCatName val="0"/>
          <c:showSerName val="0"/>
          <c:showPercent val="0"/>
          <c:showBubbleSize val="0"/>
        </c:dLbls>
        <c:gapWidth val="150"/>
        <c:overlap val="100"/>
        <c:axId val="398484024"/>
        <c:axId val="398488336"/>
      </c:barChart>
      <c:catAx>
        <c:axId val="39848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88336"/>
        <c:crosses val="autoZero"/>
        <c:auto val="1"/>
        <c:lblAlgn val="ctr"/>
        <c:lblOffset val="100"/>
        <c:noMultiLvlLbl val="0"/>
      </c:catAx>
      <c:valAx>
        <c:axId val="398488336"/>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84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11491450492489"/>
          <c:y val="0.16368130858519822"/>
          <c:w val="0.80062816428336014"/>
          <c:h val="0.65414825319460757"/>
        </c:manualLayout>
      </c:layout>
      <c:scatterChart>
        <c:scatterStyle val="lineMarker"/>
        <c:varyColors val="0"/>
        <c:ser>
          <c:idx val="0"/>
          <c:order val="0"/>
          <c:tx>
            <c:strRef>
              <c:f>Tables!$C$192</c:f>
              <c:strCache>
                <c:ptCount val="1"/>
                <c:pt idx="0">
                  <c:v>S1</c:v>
                </c:pt>
              </c:strCache>
            </c:strRef>
          </c:tx>
          <c:spPr>
            <a:ln w="25400">
              <a:noFill/>
            </a:ln>
            <a:effectLst/>
          </c:spPr>
          <c:marker>
            <c:symbol val="circle"/>
            <c:size val="5"/>
            <c:spPr>
              <a:solidFill>
                <a:srgbClr val="4B8CAD"/>
              </a:solidFill>
              <a:ln w="9525">
                <a:noFill/>
              </a:ln>
            </c:spPr>
          </c:marker>
          <c:dLbls>
            <c:dLbl>
              <c:idx val="0"/>
              <c:layout>
                <c:manualLayout>
                  <c:x val="-5.658940037000762E-2"/>
                  <c:y val="-7.621951219512195E-2"/>
                </c:manualLayout>
              </c:layout>
              <c:spPr>
                <a:noFill/>
                <a:ln w="25400">
                  <a:noFill/>
                </a:ln>
              </c:spPr>
              <c:txPr>
                <a:bodyPr/>
                <a:lstStyle/>
                <a:p>
                  <a:pPr>
                    <a:defRPr sz="9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0-307A-4696-9769-3751F7C7C7AA}"/>
                </c:ext>
                <c:ext xmlns:c15="http://schemas.microsoft.com/office/drawing/2012/chart" uri="{CE6537A1-D6FC-4f65-9D91-7224C49458BB}"/>
              </c:extLst>
            </c:dLbl>
            <c:spPr>
              <a:noFill/>
              <a:ln w="25400">
                <a:noFill/>
              </a:ln>
            </c:spPr>
            <c:txPr>
              <a:bodyPr/>
              <a:lstStyle/>
              <a:p>
                <a:pPr>
                  <a:defRPr sz="105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Tables!$C$198</c:f>
              <c:numCache>
                <c:formatCode>0.0000_);[Red]\(0.0000\)</c:formatCode>
                <c:ptCount val="1"/>
                <c:pt idx="0">
                  <c:v>0.44882977067031593</c:v>
                </c:pt>
              </c:numCache>
            </c:numRef>
          </c:xVal>
          <c:yVal>
            <c:numRef>
              <c:f>Tables!$C$193</c:f>
              <c:numCache>
                <c:formatCode>0.0000_);[Red]\(0.0000\)</c:formatCode>
                <c:ptCount val="1"/>
                <c:pt idx="0">
                  <c:v>0.30934542985109592</c:v>
                </c:pt>
              </c:numCache>
            </c:numRef>
          </c:yVal>
          <c:smooth val="0"/>
          <c:extLst xmlns:c16r2="http://schemas.microsoft.com/office/drawing/2015/06/chart">
            <c:ext xmlns:c16="http://schemas.microsoft.com/office/drawing/2014/chart" uri="{C3380CC4-5D6E-409C-BE32-E72D297353CC}">
              <c16:uniqueId val="{00000000-7627-475C-AEC0-6AD4148B66F3}"/>
            </c:ext>
          </c:extLst>
        </c:ser>
        <c:ser>
          <c:idx val="1"/>
          <c:order val="1"/>
          <c:tx>
            <c:strRef>
              <c:f>Tables!$D$192</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9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Tables!$D$198</c:f>
              <c:numCache>
                <c:formatCode>0.0000_);[Red]\(0.0000\)</c:formatCode>
                <c:ptCount val="1"/>
                <c:pt idx="0">
                  <c:v>0.44968234967334414</c:v>
                </c:pt>
              </c:numCache>
            </c:numRef>
          </c:xVal>
          <c:yVal>
            <c:numRef>
              <c:f>Tables!$D$193</c:f>
              <c:numCache>
                <c:formatCode>0.0000_);[Red]\(0.0000\)</c:formatCode>
                <c:ptCount val="1"/>
                <c:pt idx="0">
                  <c:v>0.30110340950127296</c:v>
                </c:pt>
              </c:numCache>
            </c:numRef>
          </c:yVal>
          <c:smooth val="0"/>
          <c:extLst xmlns:c16r2="http://schemas.microsoft.com/office/drawing/2015/06/chart">
            <c:ext xmlns:c16="http://schemas.microsoft.com/office/drawing/2014/chart" uri="{C3380CC4-5D6E-409C-BE32-E72D297353CC}">
              <c16:uniqueId val="{00000001-7627-475C-AEC0-6AD4148B66F3}"/>
            </c:ext>
          </c:extLst>
        </c:ser>
        <c:ser>
          <c:idx val="3"/>
          <c:order val="2"/>
          <c:tx>
            <c:strRef>
              <c:f>Tables!$E$192</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9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Tables!$E$198</c:f>
              <c:numCache>
                <c:formatCode>0.0000_);[Red]\(0.0000\)</c:formatCode>
                <c:ptCount val="1"/>
                <c:pt idx="0">
                  <c:v>0.43531319293022841</c:v>
                </c:pt>
              </c:numCache>
            </c:numRef>
          </c:xVal>
          <c:yVal>
            <c:numRef>
              <c:f>Tables!$E$193</c:f>
              <c:numCache>
                <c:formatCode>0.0000_);[Red]\(0.0000\)</c:formatCode>
                <c:ptCount val="1"/>
                <c:pt idx="0">
                  <c:v>0.32413301012163287</c:v>
                </c:pt>
              </c:numCache>
            </c:numRef>
          </c:yVal>
          <c:smooth val="0"/>
          <c:extLst xmlns:c16r2="http://schemas.microsoft.com/office/drawing/2015/06/chart">
            <c:ext xmlns:c16="http://schemas.microsoft.com/office/drawing/2014/chart" uri="{C3380CC4-5D6E-409C-BE32-E72D297353CC}">
              <c16:uniqueId val="{00000002-7627-475C-AEC0-6AD4148B66F3}"/>
            </c:ext>
          </c:extLst>
        </c:ser>
        <c:ser>
          <c:idx val="2"/>
          <c:order val="3"/>
          <c:tx>
            <c:strRef>
              <c:f>Tables!$F$192</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9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Tables!$F$198</c:f>
              <c:numCache>
                <c:formatCode>0.0000_);[Red]\(0.0000\)</c:formatCode>
                <c:ptCount val="1"/>
                <c:pt idx="0">
                  <c:v>0.42861708513625252</c:v>
                </c:pt>
              </c:numCache>
            </c:numRef>
          </c:xVal>
          <c:yVal>
            <c:numRef>
              <c:f>Tables!$F$193</c:f>
              <c:numCache>
                <c:formatCode>0.0000_);[Red]\(0.0000\)</c:formatCode>
                <c:ptCount val="1"/>
                <c:pt idx="0">
                  <c:v>0.41905537309020424</c:v>
                </c:pt>
              </c:numCache>
            </c:numRef>
          </c:yVal>
          <c:smooth val="0"/>
          <c:extLst xmlns:c16r2="http://schemas.microsoft.com/office/drawing/2015/06/chart">
            <c:ext xmlns:c16="http://schemas.microsoft.com/office/drawing/2014/chart" uri="{C3380CC4-5D6E-409C-BE32-E72D297353CC}">
              <c16:uniqueId val="{00000003-7627-475C-AEC0-6AD4148B66F3}"/>
            </c:ext>
          </c:extLst>
        </c:ser>
        <c:dLbls>
          <c:showLegendKey val="0"/>
          <c:showVal val="0"/>
          <c:showCatName val="0"/>
          <c:showSerName val="0"/>
          <c:showPercent val="0"/>
          <c:showBubbleSize val="0"/>
        </c:dLbls>
        <c:axId val="398484416"/>
        <c:axId val="398484808"/>
      </c:scatterChart>
      <c:valAx>
        <c:axId val="398484416"/>
        <c:scaling>
          <c:orientation val="minMax"/>
        </c:scaling>
        <c:delete val="0"/>
        <c:axPos val="b"/>
        <c:title>
          <c:tx>
            <c:rich>
              <a:bodyPr/>
              <a:lstStyle/>
              <a:p>
                <a:pPr>
                  <a:defRPr sz="1000" b="1" i="0" u="none" strike="noStrike" baseline="0">
                    <a:solidFill>
                      <a:srgbClr val="000000"/>
                    </a:solidFill>
                    <a:latin typeface="Arial Narrow" pitchFamily="34" charset="0"/>
                    <a:ea typeface="Calibri"/>
                    <a:cs typeface="Calibri"/>
                  </a:defRPr>
                </a:pPr>
                <a:r>
                  <a:rPr lang="bs-Latn-BA" sz="900" b="0">
                    <a:latin typeface="Arial Narrow" pitchFamily="34" charset="0"/>
                  </a:rPr>
                  <a:t>Rizik</a:t>
                </a:r>
                <a:endParaRPr lang="en-US" b="0">
                  <a:latin typeface="Arial Narrow" pitchFamily="34" charset="0"/>
                </a:endParaRPr>
              </a:p>
            </c:rich>
          </c:tx>
          <c:layout>
            <c:manualLayout>
              <c:xMode val="edge"/>
              <c:yMode val="edge"/>
              <c:x val="0.45822641415660448"/>
              <c:y val="0.86794939504513158"/>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600" b="0" i="0" u="none" strike="noStrike" baseline="0">
                <a:solidFill>
                  <a:srgbClr val="000000"/>
                </a:solidFill>
                <a:latin typeface="Segoe UI"/>
                <a:ea typeface="Segoe UI"/>
                <a:cs typeface="Segoe UI"/>
              </a:defRPr>
            </a:pPr>
            <a:endParaRPr lang="en-US"/>
          </a:p>
        </c:txPr>
        <c:crossAx val="398484808"/>
        <c:crosses val="autoZero"/>
        <c:crossBetween val="midCat"/>
        <c:majorUnit val="5.000000000000001E-3"/>
      </c:valAx>
      <c:valAx>
        <c:axId val="398484808"/>
        <c:scaling>
          <c:orientation val="minMax"/>
        </c:scaling>
        <c:delete val="0"/>
        <c:axPos val="l"/>
        <c:title>
          <c:tx>
            <c:rich>
              <a:bodyPr/>
              <a:lstStyle/>
              <a:p>
                <a:pPr>
                  <a:defRPr sz="1050" b="1" i="0" u="none" strike="noStrike" baseline="0">
                    <a:solidFill>
                      <a:srgbClr val="000000"/>
                    </a:solidFill>
                    <a:latin typeface="Calibri"/>
                    <a:ea typeface="Calibri"/>
                    <a:cs typeface="Calibri"/>
                  </a:defRPr>
                </a:pPr>
                <a:r>
                  <a:rPr lang="bs-Latn-BA" sz="800" b="0"/>
                  <a:t>Trošak</a:t>
                </a:r>
                <a:endParaRPr lang="en-US" sz="800" b="0"/>
              </a:p>
            </c:rich>
          </c:tx>
          <c:layout>
            <c:manualLayout>
              <c:xMode val="edge"/>
              <c:yMode val="edge"/>
              <c:x val="1.630329999151673E-2"/>
              <c:y val="0.39230242942193211"/>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600" b="0" i="0" u="none" strike="noStrike" baseline="0">
                <a:solidFill>
                  <a:srgbClr val="000000"/>
                </a:solidFill>
                <a:latin typeface="Segoe UI"/>
                <a:ea typeface="Segoe UI"/>
                <a:cs typeface="Segoe UI"/>
              </a:defRPr>
            </a:pPr>
            <a:endParaRPr lang="en-US"/>
          </a:p>
        </c:txPr>
        <c:crossAx val="398484416"/>
        <c:crossesAt val="0"/>
        <c:crossBetween val="midCat"/>
        <c:majorUnit val="0.1"/>
        <c:minorUnit val="5.000000000000001E-2"/>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63168196602084"/>
          <c:y val="0.17469025462726281"/>
          <c:w val="0.75911161665297477"/>
          <c:h val="0.64313978934451455"/>
        </c:manualLayout>
      </c:layout>
      <c:scatterChart>
        <c:scatterStyle val="lineMarker"/>
        <c:varyColors val="0"/>
        <c:ser>
          <c:idx val="0"/>
          <c:order val="0"/>
          <c:tx>
            <c:strRef>
              <c:f>Tables!$C$181</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Tables!$C$187</c:f>
              <c:numCache>
                <c:formatCode>0.0000_);[Red]\(0.0000\)</c:formatCode>
                <c:ptCount val="1"/>
                <c:pt idx="0">
                  <c:v>5.9783839011976774</c:v>
                </c:pt>
              </c:numCache>
            </c:numRef>
          </c:xVal>
          <c:yVal>
            <c:numRef>
              <c:f>Tables!$C$182</c:f>
              <c:numCache>
                <c:formatCode>0.0000_);[Red]\(0.0000\)</c:formatCode>
                <c:ptCount val="1"/>
                <c:pt idx="0">
                  <c:v>24.445064952765932</c:v>
                </c:pt>
              </c:numCache>
            </c:numRef>
          </c:yVal>
          <c:smooth val="0"/>
          <c:extLst xmlns:c16r2="http://schemas.microsoft.com/office/drawing/2015/06/chart">
            <c:ext xmlns:c16="http://schemas.microsoft.com/office/drawing/2014/chart" uri="{C3380CC4-5D6E-409C-BE32-E72D297353CC}">
              <c16:uniqueId val="{00000000-55CF-419D-A2CA-C1A19F9E08DB}"/>
            </c:ext>
          </c:extLst>
        </c:ser>
        <c:ser>
          <c:idx val="1"/>
          <c:order val="1"/>
          <c:tx>
            <c:strRef>
              <c:f>Tables!$D$181</c:f>
              <c:strCache>
                <c:ptCount val="1"/>
                <c:pt idx="0">
                  <c:v>S2</c:v>
                </c:pt>
              </c:strCache>
            </c:strRef>
          </c:tx>
          <c:spPr>
            <a:ln w="25400">
              <a:noFill/>
            </a:ln>
            <a:effectLst/>
          </c:spPr>
          <c:marker>
            <c:symbol val="diamond"/>
            <c:size val="5"/>
            <c:spPr>
              <a:solidFill>
                <a:srgbClr val="C00000"/>
              </a:solidFill>
              <a:ln w="9525">
                <a:noFill/>
              </a:ln>
            </c:spPr>
          </c:marker>
          <c:dLbls>
            <c:dLbl>
              <c:idx val="0"/>
              <c:layout>
                <c:manualLayout>
                  <c:x val="-5.9334139105592792E-2"/>
                  <c:y val="3.769140164899891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0-CA63-4521-A372-2E2CBB4F71DA}"/>
                </c:ex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Tables!$D$187</c:f>
              <c:numCache>
                <c:formatCode>0.0000_);[Red]\(0.0000\)</c:formatCode>
                <c:ptCount val="1"/>
                <c:pt idx="0">
                  <c:v>5.9778835046174024</c:v>
                </c:pt>
              </c:numCache>
            </c:numRef>
          </c:xVal>
          <c:yVal>
            <c:numRef>
              <c:f>Tables!$D$182</c:f>
              <c:numCache>
                <c:formatCode>0.0000_);[Red]\(0.0000\)</c:formatCode>
                <c:ptCount val="1"/>
                <c:pt idx="0">
                  <c:v>24.436735520245829</c:v>
                </c:pt>
              </c:numCache>
            </c:numRef>
          </c:yVal>
          <c:smooth val="0"/>
          <c:extLst xmlns:c16r2="http://schemas.microsoft.com/office/drawing/2015/06/chart">
            <c:ext xmlns:c16="http://schemas.microsoft.com/office/drawing/2014/chart" uri="{C3380CC4-5D6E-409C-BE32-E72D297353CC}">
              <c16:uniqueId val="{00000001-55CF-419D-A2CA-C1A19F9E08DB}"/>
            </c:ext>
          </c:extLst>
        </c:ser>
        <c:ser>
          <c:idx val="3"/>
          <c:order val="2"/>
          <c:tx>
            <c:strRef>
              <c:f>Tables!$E$181</c:f>
              <c:strCache>
                <c:ptCount val="1"/>
                <c:pt idx="0">
                  <c:v>S3</c:v>
                </c:pt>
              </c:strCache>
            </c:strRef>
          </c:tx>
          <c:spPr>
            <a:ln w="25400">
              <a:noFill/>
            </a:ln>
            <a:effectLst/>
          </c:spPr>
          <c:marker>
            <c:symbol val="square"/>
            <c:size val="5"/>
            <c:spPr>
              <a:solidFill>
                <a:srgbClr val="231F20"/>
              </a:solidFill>
              <a:ln w="9525">
                <a:noFill/>
              </a:ln>
            </c:spPr>
          </c:marker>
          <c:dLbls>
            <c:dLbl>
              <c:idx val="0"/>
              <c:layout>
                <c:manualLayout>
                  <c:x val="-5.05438962751346E-2"/>
                  <c:y val="-7.5382803297997736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1-CA63-4521-A372-2E2CBB4F71DA}"/>
                </c:ex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Tables!$E$187</c:f>
              <c:numCache>
                <c:formatCode>0.0000_);[Red]\(0.0000\)</c:formatCode>
                <c:ptCount val="1"/>
                <c:pt idx="0">
                  <c:v>5.9856581438239083</c:v>
                </c:pt>
              </c:numCache>
            </c:numRef>
          </c:xVal>
          <c:yVal>
            <c:numRef>
              <c:f>Tables!$E$182</c:f>
              <c:numCache>
                <c:formatCode>0.0000_);[Red]\(0.0000\)</c:formatCode>
                <c:ptCount val="1"/>
                <c:pt idx="0">
                  <c:v>24.463779656244022</c:v>
                </c:pt>
              </c:numCache>
            </c:numRef>
          </c:yVal>
          <c:smooth val="0"/>
          <c:extLst xmlns:c16r2="http://schemas.microsoft.com/office/drawing/2015/06/chart">
            <c:ext xmlns:c16="http://schemas.microsoft.com/office/drawing/2014/chart" uri="{C3380CC4-5D6E-409C-BE32-E72D297353CC}">
              <c16:uniqueId val="{00000002-55CF-419D-A2CA-C1A19F9E08DB}"/>
            </c:ext>
          </c:extLst>
        </c:ser>
        <c:ser>
          <c:idx val="2"/>
          <c:order val="3"/>
          <c:tx>
            <c:strRef>
              <c:f>Tables!$F$181</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Tables!$F$187</c:f>
              <c:numCache>
                <c:formatCode>0.0000_);[Red]\(0.0000\)</c:formatCode>
                <c:ptCount val="1"/>
                <c:pt idx="0">
                  <c:v>6.5551887878304278</c:v>
                </c:pt>
              </c:numCache>
            </c:numRef>
          </c:xVal>
          <c:yVal>
            <c:numRef>
              <c:f>Tables!$F$182</c:f>
              <c:numCache>
                <c:formatCode>0.0000_);[Red]\(0.0000\)</c:formatCode>
                <c:ptCount val="1"/>
                <c:pt idx="0">
                  <c:v>24.61426863341666</c:v>
                </c:pt>
              </c:numCache>
            </c:numRef>
          </c:yVal>
          <c:smooth val="0"/>
          <c:extLst xmlns:c16r2="http://schemas.microsoft.com/office/drawing/2015/06/chart">
            <c:ext xmlns:c16="http://schemas.microsoft.com/office/drawing/2014/chart" uri="{C3380CC4-5D6E-409C-BE32-E72D297353CC}">
              <c16:uniqueId val="{00000003-55CF-419D-A2CA-C1A19F9E08DB}"/>
            </c:ext>
          </c:extLst>
        </c:ser>
        <c:dLbls>
          <c:showLegendKey val="0"/>
          <c:showVal val="0"/>
          <c:showCatName val="0"/>
          <c:showSerName val="0"/>
          <c:showPercent val="0"/>
          <c:showBubbleSize val="0"/>
        </c:dLbls>
        <c:axId val="398488728"/>
        <c:axId val="398493040"/>
      </c:scatterChart>
      <c:valAx>
        <c:axId val="398488728"/>
        <c:scaling>
          <c:orientation val="minMax"/>
        </c:scaling>
        <c:delete val="0"/>
        <c:axPos val="b"/>
        <c:title>
          <c:tx>
            <c:rich>
              <a:bodyPr/>
              <a:lstStyle/>
              <a:p>
                <a:pPr>
                  <a:defRPr sz="80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bs-Latn-BA" sz="800" b="0">
                    <a:latin typeface="Segoe UI" panose="020B0502040204020203" pitchFamily="34" charset="0"/>
                    <a:ea typeface="Segoe UI" panose="020B0502040204020203" pitchFamily="34" charset="0"/>
                    <a:cs typeface="Segoe UI" panose="020B0502040204020203" pitchFamily="34" charset="0"/>
                  </a:rPr>
                  <a:t>Rizik</a:t>
                </a:r>
              </a:p>
            </c:rich>
          </c:tx>
          <c:layout>
            <c:manualLayout>
              <c:xMode val="edge"/>
              <c:yMode val="edge"/>
              <c:x val="0.48434458278527687"/>
              <c:y val="0.90543782027246456"/>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800" b="0" i="0" u="none" strike="noStrike" baseline="0">
                <a:solidFill>
                  <a:srgbClr val="000000"/>
                </a:solidFill>
                <a:latin typeface="Segoe UI"/>
                <a:ea typeface="Segoe UI"/>
                <a:cs typeface="Segoe UI"/>
              </a:defRPr>
            </a:pPr>
            <a:endParaRPr lang="en-US"/>
          </a:p>
        </c:txPr>
        <c:crossAx val="398493040"/>
        <c:crosses val="autoZero"/>
        <c:crossBetween val="midCat"/>
      </c:valAx>
      <c:valAx>
        <c:axId val="398493040"/>
        <c:scaling>
          <c:orientation val="minMax"/>
        </c:scaling>
        <c:delete val="0"/>
        <c:axPos val="l"/>
        <c:title>
          <c:tx>
            <c:rich>
              <a:bodyPr/>
              <a:lstStyle/>
              <a:p>
                <a:pPr>
                  <a:defRPr sz="80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bs-Latn-BA" sz="800" b="0">
                    <a:latin typeface="Segoe UI" panose="020B0502040204020203" pitchFamily="34" charset="0"/>
                    <a:ea typeface="Segoe UI" panose="020B0502040204020203" pitchFamily="34" charset="0"/>
                    <a:cs typeface="Segoe UI" panose="020B0502040204020203" pitchFamily="34" charset="0"/>
                  </a:rPr>
                  <a:t>Trošak</a:t>
                </a:r>
                <a:endParaRPr lang="en-US" sz="800" b="0">
                  <a:latin typeface="Segoe UI" panose="020B0502040204020203" pitchFamily="34" charset="0"/>
                  <a:ea typeface="Segoe UI" panose="020B0502040204020203" pitchFamily="34" charset="0"/>
                  <a:cs typeface="Segoe UI" panose="020B0502040204020203" pitchFamily="34" charset="0"/>
                </a:endParaRPr>
              </a:p>
            </c:rich>
          </c:tx>
          <c:layout>
            <c:manualLayout>
              <c:xMode val="edge"/>
              <c:yMode val="edge"/>
              <c:x val="2.5219864218434074E-2"/>
              <c:y val="0.37378426655001457"/>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800" b="0"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398488728"/>
        <c:crossesAt val="0"/>
        <c:crossBetween val="midCat"/>
        <c:majorUnit val="5.000000000000001E-2"/>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sz="700">
                <a:latin typeface="Arial Narrow" panose="020B0606020202030204" pitchFamily="34" charset="0"/>
              </a:rPr>
              <a:t>Prije dekompozicije SDR-a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51C-4B56-A9FC-1C2AC858C2B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51C-4B56-A9FC-1C2AC858C2B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51C-4B56-A9FC-1C2AC858C2B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51C-4B56-A9FC-1C2AC858C2BD}"/>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51C-4B56-A9FC-1C2AC858C2BD}"/>
              </c:ext>
            </c:extLst>
          </c:dPt>
          <c:dLbls>
            <c:dLbl>
              <c:idx val="0"/>
              <c:layout>
                <c:manualLayout>
                  <c:x val="1.463397709787268E-2"/>
                  <c:y val="-9.7763973648132205E-3"/>
                </c:manualLayout>
              </c:layout>
              <c:tx>
                <c:rich>
                  <a:bodyPr/>
                  <a:lstStyle/>
                  <a:p>
                    <a:fld id="{E0420838-EF83-4C65-A98E-1AFA020C861D}" type="CELLRANGE">
                      <a:rPr lang="en-US" baseline="0"/>
                      <a:pPr/>
                      <a:t>[CELLRANGE]</a:t>
                    </a:fld>
                    <a:r>
                      <a:rPr lang="en-US" baseline="0"/>
                      <a:t>; </a:t>
                    </a:r>
                    <a:fld id="{A200DCD3-51FA-42A8-AC42-A7F02F410614}" type="VALUE">
                      <a:rPr lang="en-US" baseline="0"/>
                      <a:pPr/>
                      <a:t>[VALUE]</a:t>
                    </a:fld>
                    <a:endParaRPr lang="en-US" baseline="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1C-4B56-A9FC-1C2AC858C2BD}"/>
                </c:ext>
                <c:ext xmlns:c15="http://schemas.microsoft.com/office/drawing/2012/chart" uri="{CE6537A1-D6FC-4f65-9D91-7224C49458BB}">
                  <c15:dlblFieldTable/>
                  <c15:showDataLabelsRange val="1"/>
                </c:ext>
              </c:extLst>
            </c:dLbl>
            <c:dLbl>
              <c:idx val="1"/>
              <c:tx>
                <c:rich>
                  <a:bodyPr/>
                  <a:lstStyle/>
                  <a:p>
                    <a:fld id="{31B2B2FD-D13C-465B-BCFD-9774926DC772}" type="CELLRANGE">
                      <a:rPr lang="en-US"/>
                      <a:pPr/>
                      <a:t>[CELLRANGE]</a:t>
                    </a:fld>
                    <a:r>
                      <a:rPr lang="en-US" baseline="0"/>
                      <a:t>; </a:t>
                    </a:r>
                    <a:fld id="{BBB63809-2A60-4E98-9EE4-59E03FC85F64}"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dLbl>
              <c:idx val="2"/>
              <c:layout>
                <c:manualLayout>
                  <c:x val="2.0004406256884776E-2"/>
                  <c:y val="-0.2793492107785448"/>
                </c:manualLayout>
              </c:layout>
              <c:tx>
                <c:rich>
                  <a:bodyPr/>
                  <a:lstStyle/>
                  <a:p>
                    <a:fld id="{FC909DB4-4870-4653-A6A0-2EA55ABB7E47}" type="CELLRANGE">
                      <a:rPr lang="en-US" baseline="0"/>
                      <a:pPr/>
                      <a:t>[CELLRANGE]</a:t>
                    </a:fld>
                    <a:r>
                      <a:rPr lang="en-US" baseline="0"/>
                      <a:t>; </a:t>
                    </a:r>
                    <a:fld id="{78BF957F-B672-430A-B46E-6B19244003F2}" type="VALUE">
                      <a:rPr lang="en-US" baseline="0"/>
                      <a:pPr/>
                      <a:t>[VALUE]</a:t>
                    </a:fld>
                    <a:endParaRPr lang="en-US" baseline="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51C-4B56-A9FC-1C2AC858C2BD}"/>
                </c:ext>
                <c:ext xmlns:c15="http://schemas.microsoft.com/office/drawing/2012/chart" uri="{CE6537A1-D6FC-4f65-9D91-7224C49458BB}">
                  <c15:dlblFieldTable/>
                  <c15:showDataLabelsRange val="1"/>
                </c:ext>
              </c:extLst>
            </c:dLbl>
            <c:dLbl>
              <c:idx val="3"/>
              <c:layout>
                <c:manualLayout>
                  <c:x val="-0.25147306024949129"/>
                  <c:y val="2.846098783106657E-2"/>
                </c:manualLayout>
              </c:layout>
              <c:tx>
                <c:rich>
                  <a:bodyPr/>
                  <a:lstStyle/>
                  <a:p>
                    <a:fld id="{EBE67E43-3B1F-47D1-9440-B609FD5A6CEB}" type="CELLRANGE">
                      <a:rPr lang="en-US" baseline="0"/>
                      <a:pPr/>
                      <a:t>[CELLRANGE]</a:t>
                    </a:fld>
                    <a:r>
                      <a:rPr lang="en-US" baseline="0"/>
                      <a:t>; </a:t>
                    </a:r>
                    <a:fld id="{4F6931FC-75C7-4CFE-97A9-8A09332472B5}" type="VALUE">
                      <a:rPr lang="en-US" baseline="0"/>
                      <a:pPr/>
                      <a:t>[VALUE]</a:t>
                    </a:fld>
                    <a:endParaRPr lang="en-US" baseline="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51C-4B56-A9FC-1C2AC858C2BD}"/>
                </c:ext>
                <c:ext xmlns:c15="http://schemas.microsoft.com/office/drawing/2012/chart" uri="{CE6537A1-D6FC-4f65-9D91-7224C49458BB}">
                  <c15:dlblFieldTable/>
                  <c15:showDataLabelsRange val="1"/>
                </c:ext>
              </c:extLst>
            </c:dLbl>
            <c:dLbl>
              <c:idx val="4"/>
              <c:tx>
                <c:rich>
                  <a:bodyPr/>
                  <a:lstStyle/>
                  <a:p>
                    <a:fld id="{3748AE32-ECE9-457E-9D6D-5533D367B2EB}" type="CELLRANGE">
                      <a:rPr lang="en-US"/>
                      <a:pPr/>
                      <a:t>[CELLRANGE]</a:t>
                    </a:fld>
                    <a:r>
                      <a:rPr lang="en-US" baseline="0"/>
                      <a:t>; </a:t>
                    </a:r>
                    <a:fld id="{5EFFA71F-82A0-4A2B-A332-DBDDBC8F33E0}"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val>
            <c:numRef>
              <c:f>'LOANS External &amp; Domestic'!$U$1403:$U$1407</c:f>
              <c:numCache>
                <c:formatCode>0.00%</c:formatCode>
                <c:ptCount val="5"/>
                <c:pt idx="0">
                  <c:v>0.27429558079223998</c:v>
                </c:pt>
                <c:pt idx="1">
                  <c:v>0.11726199614518477</c:v>
                </c:pt>
                <c:pt idx="2">
                  <c:v>0.60311777772319497</c:v>
                </c:pt>
                <c:pt idx="3">
                  <c:v>0</c:v>
                </c:pt>
                <c:pt idx="4">
                  <c:v>5.3246453393801683E-3</c:v>
                </c:pt>
              </c:numCache>
            </c:numRef>
          </c:val>
          <c:extLst xmlns:c16r2="http://schemas.microsoft.com/office/drawing/2015/06/chart">
            <c:ext xmlns:c16="http://schemas.microsoft.com/office/drawing/2014/chart" uri="{C3380CC4-5D6E-409C-BE32-E72D297353CC}">
              <c16:uniqueId val="{0000000A-E51C-4B56-A9FC-1C2AC858C2BD}"/>
            </c:ext>
            <c:ext xmlns:c15="http://schemas.microsoft.com/office/drawing/2012/chart" uri="{02D57815-91ED-43cb-92C2-25804820EDAC}">
              <c15:filteredCategoryTitle>
                <c15:cat>
                  <c:strRef>
                    <c:extLst xmlns:c16="http://schemas.microsoft.com/office/drawing/2014/chart" xmlns:c16r2="http://schemas.microsoft.com/office/drawing/2015/06/chart">
                      <c:ext uri="{02D57815-91ED-43cb-92C2-25804820EDAC}">
                        <c15:formulaRef>
                          <c15:sqref>'LOANS External &amp; Domestic'!$T$1403:$T$1407</c15:sqref>
                        </c15:formulaRef>
                      </c:ext>
                    </c:extLst>
                    <c:strCache>
                      <c:ptCount val="5"/>
                      <c:pt idx="0">
                        <c:v>SDR</c:v>
                      </c:pt>
                      <c:pt idx="1">
                        <c:v>USD</c:v>
                      </c:pt>
                      <c:pt idx="2">
                        <c:v>EUR</c:v>
                      </c:pt>
                      <c:pt idx="3">
                        <c:v>GBP</c:v>
                      </c:pt>
                      <c:pt idx="4">
                        <c:v>JPY</c:v>
                      </c:pt>
                    </c:strCache>
                  </c:strRef>
                </c15:cat>
              </c15:filteredCategoryTitle>
            </c:ext>
            <c:ext xmlns:c15="http://schemas.microsoft.com/office/drawing/2012/chart" uri="{02D57815-91ED-43cb-92C2-25804820EDAC}">
              <c15:datalabelsRange>
                <c15:f>'LOANS External &amp; Domestic'!$T$1403:$T$1407</c15:f>
                <c15:dlblRangeCache>
                  <c:ptCount val="5"/>
                  <c:pt idx="0">
                    <c:v>SDR</c:v>
                  </c:pt>
                  <c:pt idx="1">
                    <c:v>USD</c:v>
                  </c:pt>
                  <c:pt idx="2">
                    <c:v>EUR</c:v>
                  </c:pt>
                  <c:pt idx="3">
                    <c:v>GBP</c:v>
                  </c:pt>
                  <c:pt idx="4">
                    <c:v>JPY</c:v>
                  </c:pt>
                </c15:dlblRangeCache>
              </c15:datalabelsRang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bs-Latn-BA" sz="105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bs-Latn-BA" sz="700" b="0" i="0" u="none" strike="noStrike" kern="1200" spc="0" baseline="0">
                <a:solidFill>
                  <a:sysClr val="windowText" lastClr="000000">
                    <a:lumMod val="65000"/>
                    <a:lumOff val="35000"/>
                  </a:sysClr>
                </a:solidFill>
                <a:latin typeface="Arial Narrow" panose="020B0606020202030204" pitchFamily="34" charset="0"/>
                <a:ea typeface="+mn-ea"/>
                <a:cs typeface="Arial" panose="020B0604020202020204" pitchFamily="34" charset="0"/>
              </a:rPr>
              <a:t>Poslije dekompozicije SDR-a</a:t>
            </a:r>
          </a:p>
        </c:rich>
      </c:tx>
      <c:overlay val="0"/>
      <c:spPr>
        <a:noFill/>
        <a:ln>
          <a:noFill/>
        </a:ln>
        <a:effectLst/>
      </c:spPr>
      <c:txPr>
        <a:bodyPr rot="0" spcFirstLastPara="1" vertOverflow="ellipsis" vert="horz" wrap="square" anchor="ctr" anchorCtr="1"/>
        <a:lstStyle/>
        <a:p>
          <a:pPr algn="ctr" rtl="0">
            <a:defRPr lang="bs-Latn-BA" sz="105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autoTitleDeleted val="0"/>
    <c:view3D>
      <c:rotX val="30"/>
      <c:rotY val="1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F1E-4A9B-A17E-55534A58C17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F1E-4A9B-A17E-55534A58C17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F1E-4A9B-A17E-55534A58C17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F1E-4A9B-A17E-55534A58C17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F1E-4A9B-A17E-55534A58C17E}"/>
              </c:ext>
            </c:extLst>
          </c:dPt>
          <c:dLbls>
            <c:dLbl>
              <c:idx val="0"/>
              <c:layout>
                <c:manualLayout>
                  <c:x val="7.4664484394480674E-2"/>
                  <c:y val="5.3545240546589136E-2"/>
                </c:manualLayout>
              </c:layout>
              <c:tx>
                <c:rich>
                  <a:bodyPr/>
                  <a:lstStyle/>
                  <a:p>
                    <a:fld id="{8394548B-B6E6-4055-B72D-F496C52806E0}" type="CELLRANGE">
                      <a:rPr lang="en-US" baseline="0"/>
                      <a:pPr/>
                      <a:t>[CELLRANGE]</a:t>
                    </a:fld>
                    <a:r>
                      <a:rPr lang="en-US" baseline="0"/>
                      <a:t>; </a:t>
                    </a:r>
                    <a:fld id="{45C2B1B8-D1AD-41BA-B972-253CDFF90522}" type="PERCENTAGE">
                      <a:rPr lang="en-US" baseline="0"/>
                      <a:pPr/>
                      <a:t>[PERCENTAGE]</a:t>
                    </a:fld>
                    <a:endParaRPr lang="en-US" baseline="0"/>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7F1E-4A9B-A17E-55534A58C17E}"/>
                </c:ext>
                <c:ext xmlns:c15="http://schemas.microsoft.com/office/drawing/2012/chart" uri="{CE6537A1-D6FC-4f65-9D91-7224C49458BB}">
                  <c15:dlblFieldTable/>
                  <c15:showDataLabelsRange val="1"/>
                </c:ext>
              </c:extLst>
            </c:dLbl>
            <c:dLbl>
              <c:idx val="1"/>
              <c:layout>
                <c:manualLayout>
                  <c:x val="3.9626425777390749E-2"/>
                  <c:y val="6.5188053150814718E-2"/>
                </c:manualLayout>
              </c:layout>
              <c:tx>
                <c:rich>
                  <a:bodyPr/>
                  <a:lstStyle/>
                  <a:p>
                    <a:fld id="{04AEC76D-597A-4408-B6DE-13FDEDA8A503}" type="CELLRANGE">
                      <a:rPr lang="en-US" baseline="0"/>
                      <a:pPr/>
                      <a:t>[CELLRANGE]</a:t>
                    </a:fld>
                    <a:r>
                      <a:rPr lang="en-US" baseline="0"/>
                      <a:t>; </a:t>
                    </a:r>
                    <a:fld id="{064057E2-6883-4573-BACC-A1628CBE9C08}" type="PERCENTAGE">
                      <a:rPr lang="en-US" baseline="0"/>
                      <a:pPr/>
                      <a:t>[PERCENTAGE]</a:t>
                    </a:fld>
                    <a:endParaRPr lang="en-US" baseline="0"/>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7F1E-4A9B-A17E-55534A58C17E}"/>
                </c:ext>
                <c:ext xmlns:c15="http://schemas.microsoft.com/office/drawing/2012/chart" uri="{CE6537A1-D6FC-4f65-9D91-7224C49458BB}">
                  <c15:dlblFieldTable/>
                  <c15:showDataLabelsRange val="1"/>
                </c:ext>
              </c:extLst>
            </c:dLbl>
            <c:dLbl>
              <c:idx val="2"/>
              <c:tx>
                <c:rich>
                  <a:bodyPr/>
                  <a:lstStyle/>
                  <a:p>
                    <a:fld id="{947FD423-8E60-4732-851D-AC6ECE286E2D}" type="CELLRANGE">
                      <a:rPr lang="en-US"/>
                      <a:pPr/>
                      <a:t>[CELLRANGE]</a:t>
                    </a:fld>
                    <a:r>
                      <a:rPr lang="en-US" baseline="0"/>
                      <a:t>; </a:t>
                    </a:r>
                    <a:fld id="{CB71D810-3C7A-46E0-A1D4-92B24BA08CA1}" type="PERCENTAGE">
                      <a:rPr lang="en-US" baseline="0"/>
                      <a:pPr/>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Lst>
            </c:dLbl>
            <c:dLbl>
              <c:idx val="3"/>
              <c:tx>
                <c:rich>
                  <a:bodyPr/>
                  <a:lstStyle/>
                  <a:p>
                    <a:fld id="{086D96F9-80BA-4929-BFDA-BD0DE2E0D65E}" type="CELLRANGE">
                      <a:rPr lang="en-US"/>
                      <a:pPr/>
                      <a:t>[CELLRANGE]</a:t>
                    </a:fld>
                    <a:r>
                      <a:rPr lang="en-US" baseline="0"/>
                      <a:t>; </a:t>
                    </a:r>
                    <a:fld id="{4D33BE1A-6F81-4F59-9570-A485C8185DB5}" type="PERCENTAGE">
                      <a:rPr lang="en-US" baseline="0"/>
                      <a:pPr/>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Lst>
            </c:dLbl>
            <c:dLbl>
              <c:idx val="4"/>
              <c:tx>
                <c:rich>
                  <a:bodyPr/>
                  <a:lstStyle/>
                  <a:p>
                    <a:fld id="{5BE62257-B768-4A7C-8380-A69CD86F2664}" type="CELLRANGE">
                      <a:rPr lang="en-US"/>
                      <a:pPr/>
                      <a:t>[CELLRANGE]</a:t>
                    </a:fld>
                    <a:r>
                      <a:rPr lang="en-US" baseline="0"/>
                      <a:t>; </a:t>
                    </a:r>
                    <a:fld id="{284C0538-2857-451B-9B57-219CAC6D1874}" type="PERCENTAGE">
                      <a:rPr lang="en-US" baseline="0"/>
                      <a:pPr/>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val>
            <c:numRef>
              <c:f>'LOANS External &amp; Domestic'!$T$1412:$T$1416</c:f>
              <c:numCache>
                <c:formatCode>#,##0.00</c:formatCode>
                <c:ptCount val="5"/>
                <c:pt idx="0">
                  <c:v>725406922.30020428</c:v>
                </c:pt>
                <c:pt idx="1">
                  <c:v>2153621290.535358</c:v>
                </c:pt>
                <c:pt idx="2">
                  <c:v>69466452.542036012</c:v>
                </c:pt>
                <c:pt idx="3">
                  <c:v>88195837.061710194</c:v>
                </c:pt>
                <c:pt idx="4">
                  <c:v>93766830.872562841</c:v>
                </c:pt>
              </c:numCache>
            </c:numRef>
          </c:val>
          <c:extLst xmlns:c16r2="http://schemas.microsoft.com/office/drawing/2015/06/chart">
            <c:ext xmlns:c16="http://schemas.microsoft.com/office/drawing/2014/chart" uri="{C3380CC4-5D6E-409C-BE32-E72D297353CC}">
              <c16:uniqueId val="{0000000A-7F1E-4A9B-A17E-55534A58C17E}"/>
            </c:ext>
            <c:ext xmlns:c15="http://schemas.microsoft.com/office/drawing/2012/chart" uri="{02D57815-91ED-43cb-92C2-25804820EDAC}">
              <c15:filteredCategoryTitle>
                <c15:cat>
                  <c:strRef>
                    <c:extLst xmlns:c16="http://schemas.microsoft.com/office/drawing/2014/chart" xmlns:c16r2="http://schemas.microsoft.com/office/drawing/2015/06/chart">
                      <c:ext uri="{02D57815-91ED-43cb-92C2-25804820EDAC}">
                        <c15:formulaRef>
                          <c15:sqref>'LOANS External &amp; Domestic'!$S$1412:$S$1416</c15:sqref>
                        </c15:formulaRef>
                      </c:ext>
                    </c:extLst>
                    <c:strCache>
                      <c:ptCount val="5"/>
                      <c:pt idx="0">
                        <c:v>USD</c:v>
                      </c:pt>
                      <c:pt idx="1">
                        <c:v>EUR</c:v>
                      </c:pt>
                      <c:pt idx="2">
                        <c:v>GBP</c:v>
                      </c:pt>
                      <c:pt idx="3">
                        <c:v>JPY</c:v>
                      </c:pt>
                      <c:pt idx="4">
                        <c:v>CHY</c:v>
                      </c:pt>
                    </c:strCache>
                  </c:strRef>
                </c15:cat>
              </c15:filteredCategoryTitle>
            </c:ext>
            <c:ext xmlns:c15="http://schemas.microsoft.com/office/drawing/2012/chart" uri="{02D57815-91ED-43cb-92C2-25804820EDAC}">
              <c15:datalabelsRange>
                <c15:f>'LOANS External &amp; Domestic'!$S$1412:$S$1416</c15:f>
                <c15:dlblRangeCache>
                  <c:ptCount val="5"/>
                  <c:pt idx="0">
                    <c:v>USD</c:v>
                  </c:pt>
                  <c:pt idx="1">
                    <c:v>EUR</c:v>
                  </c:pt>
                  <c:pt idx="2">
                    <c:v>GBP</c:v>
                  </c:pt>
                  <c:pt idx="3">
                    <c:v>JPY</c:v>
                  </c:pt>
                  <c:pt idx="4">
                    <c:v>CHY</c:v>
                  </c:pt>
                </c15:dlblRangeCache>
              </c15:datalabelsRang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846270798452004"/>
          <c:y val="9.854710983069126E-2"/>
          <c:w val="0.47408752818057592"/>
          <c:h val="0.77587031491704861"/>
        </c:manualLayout>
      </c:layout>
      <c:pie3DChart>
        <c:varyColors val="1"/>
        <c:ser>
          <c:idx val="0"/>
          <c:order val="0"/>
          <c:explosion val="5"/>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FB1-4093-9123-EA8B6AC3E78D}"/>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FB1-4093-9123-EA8B6AC3E78D}"/>
              </c:ext>
            </c:extLst>
          </c:dPt>
          <c:dLbls>
            <c:dLbl>
              <c:idx val="0"/>
              <c:layout>
                <c:manualLayout>
                  <c:x val="1.2421771142243583E-2"/>
                  <c:y val="-4.5130918110727884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AFB1-4093-9123-EA8B6AC3E78D}"/>
                </c:ext>
                <c:ext xmlns:c15="http://schemas.microsoft.com/office/drawing/2012/chart" uri="{CE6537A1-D6FC-4f65-9D91-7224C49458BB}"/>
              </c:extLst>
            </c:dLbl>
            <c:dLbl>
              <c:idx val="1"/>
              <c:layout>
                <c:manualLayout>
                  <c:x val="-1.7776527934008239E-2"/>
                  <c:y val="-0.38590494639621808"/>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AFB1-4093-9123-EA8B6AC3E78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'LOANS External &amp; Domestic'!$Q$1378:$Q$1379</c:f>
              <c:strCache>
                <c:ptCount val="2"/>
                <c:pt idx="0">
                  <c:v>Varijabilna</c:v>
                </c:pt>
                <c:pt idx="1">
                  <c:v>Fiksna kamata</c:v>
                </c:pt>
              </c:strCache>
            </c:strRef>
          </c:cat>
          <c:val>
            <c:numRef>
              <c:f>'LOANS External &amp; Domestic'!$R$1378:$R$1379</c:f>
              <c:numCache>
                <c:formatCode>0.00%</c:formatCode>
                <c:ptCount val="2"/>
                <c:pt idx="0">
                  <c:v>0.37706088128711862</c:v>
                </c:pt>
                <c:pt idx="1">
                  <c:v>0.62293911871288143</c:v>
                </c:pt>
              </c:numCache>
            </c:numRef>
          </c:val>
          <c:extLst xmlns:c16r2="http://schemas.microsoft.com/office/drawing/2015/06/chart">
            <c:ext xmlns:c16="http://schemas.microsoft.com/office/drawing/2014/chart" uri="{C3380CC4-5D6E-409C-BE32-E72D297353CC}">
              <c16:uniqueId val="{00000004-AFB1-4093-9123-EA8B6AC3E78D}"/>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UNUTRAŠNJI!$T$62</c:f>
              <c:strCache>
                <c:ptCount val="1"/>
                <c:pt idx="0">
                  <c:v>Iznos duga</c:v>
                </c:pt>
              </c:strCache>
            </c:strRef>
          </c:tx>
          <c:spPr>
            <a:solidFill>
              <a:schemeClr val="accent1"/>
            </a:solidFill>
            <a:ln>
              <a:noFill/>
            </a:ln>
            <a:effectLst/>
          </c:spPr>
          <c:invertIfNegative val="0"/>
          <c:cat>
            <c:strRef>
              <c:f>UNUTRAŠNJI!$S$63:$S$66</c:f>
              <c:strCache>
                <c:ptCount val="4"/>
                <c:pt idx="0">
                  <c:v>(0 - 1) %</c:v>
                </c:pt>
                <c:pt idx="1">
                  <c:v>(1 - 2) %</c:v>
                </c:pt>
                <c:pt idx="2">
                  <c:v>(2 - 3) %</c:v>
                </c:pt>
                <c:pt idx="3">
                  <c:v>(3 - 4) %</c:v>
                </c:pt>
              </c:strCache>
            </c:strRef>
          </c:cat>
          <c:val>
            <c:numRef>
              <c:f>UNUTRAŠNJI!$T$63:$T$66</c:f>
              <c:numCache>
                <c:formatCode>#,##0</c:formatCode>
                <c:ptCount val="4"/>
                <c:pt idx="0">
                  <c:v>420</c:v>
                </c:pt>
                <c:pt idx="1">
                  <c:v>160</c:v>
                </c:pt>
                <c:pt idx="2">
                  <c:v>74.277457999999996</c:v>
                </c:pt>
                <c:pt idx="3">
                  <c:v>100</c:v>
                </c:pt>
              </c:numCache>
            </c:numRef>
          </c:val>
          <c:extLst xmlns:c16r2="http://schemas.microsoft.com/office/drawing/2015/06/chart">
            <c:ext xmlns:c16="http://schemas.microsoft.com/office/drawing/2014/chart" uri="{C3380CC4-5D6E-409C-BE32-E72D297353CC}">
              <c16:uniqueId val="{00000000-99DD-4A2E-AF42-475120FF54FB}"/>
            </c:ext>
          </c:extLst>
        </c:ser>
        <c:dLbls>
          <c:showLegendKey val="0"/>
          <c:showVal val="0"/>
          <c:showCatName val="0"/>
          <c:showSerName val="0"/>
          <c:showPercent val="0"/>
          <c:showBubbleSize val="0"/>
        </c:dLbls>
        <c:gapWidth val="182"/>
        <c:axId val="398486768"/>
        <c:axId val="398489512"/>
      </c:barChart>
      <c:catAx>
        <c:axId val="398486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98489512"/>
        <c:crosses val="autoZero"/>
        <c:auto val="1"/>
        <c:lblAlgn val="ctr"/>
        <c:lblOffset val="100"/>
        <c:noMultiLvlLbl val="0"/>
      </c:catAx>
      <c:valAx>
        <c:axId val="3984895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98486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Vanjski dug</c:v>
          </c:tx>
          <c:spPr>
            <a:pattFill prst="wdDnDiag">
              <a:fgClr>
                <a:schemeClr val="accent1"/>
              </a:fgClr>
              <a:bgClr>
                <a:schemeClr val="bg1"/>
              </a:bgClr>
            </a:pattFill>
            <a:ln>
              <a:solidFill>
                <a:schemeClr val="accent1"/>
              </a:solidFill>
            </a:ln>
            <a:effectLst/>
          </c:spPr>
          <c:invertIfNegative val="0"/>
          <c:cat>
            <c:numRef>
              <c:f>[1]VANJSKI!$E$103:$AI$103</c:f>
              <c:numCache>
                <c:formatCode>0</c:formatCode>
                <c:ptCount val="31"/>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pt idx="29">
                  <c:v>2051</c:v>
                </c:pt>
                <c:pt idx="30">
                  <c:v>2052</c:v>
                </c:pt>
              </c:numCache>
            </c:numRef>
          </c:cat>
          <c:val>
            <c:numRef>
              <c:f>[1]VANJSKI!$E$105:$AI$105</c:f>
              <c:numCache>
                <c:formatCode>0</c:formatCode>
                <c:ptCount val="31"/>
                <c:pt idx="0">
                  <c:v>445.16536506058884</c:v>
                </c:pt>
                <c:pt idx="1">
                  <c:v>646.51436465758309</c:v>
                </c:pt>
                <c:pt idx="2">
                  <c:v>664.50923909654068</c:v>
                </c:pt>
                <c:pt idx="3">
                  <c:v>524.94395285197379</c:v>
                </c:pt>
                <c:pt idx="4">
                  <c:v>406.64317771231998</c:v>
                </c:pt>
                <c:pt idx="5">
                  <c:v>349.71112589659475</c:v>
                </c:pt>
                <c:pt idx="6">
                  <c:v>326.74749833625566</c:v>
                </c:pt>
                <c:pt idx="7">
                  <c:v>304.9576581884221</c:v>
                </c:pt>
                <c:pt idx="8">
                  <c:v>286.91494800014436</c:v>
                </c:pt>
                <c:pt idx="9">
                  <c:v>236.41290905129225</c:v>
                </c:pt>
                <c:pt idx="10">
                  <c:v>174.07531310670487</c:v>
                </c:pt>
                <c:pt idx="11">
                  <c:v>149.30111499272385</c:v>
                </c:pt>
                <c:pt idx="12">
                  <c:v>131.03946273868578</c:v>
                </c:pt>
                <c:pt idx="13">
                  <c:v>118.26842538170018</c:v>
                </c:pt>
                <c:pt idx="14">
                  <c:v>251.00265299793315</c:v>
                </c:pt>
                <c:pt idx="15">
                  <c:v>80.410394576861478</c:v>
                </c:pt>
                <c:pt idx="16">
                  <c:v>65.756650052783883</c:v>
                </c:pt>
                <c:pt idx="17">
                  <c:v>42.542866071221262</c:v>
                </c:pt>
                <c:pt idx="18">
                  <c:v>31.276117231566168</c:v>
                </c:pt>
                <c:pt idx="19">
                  <c:v>27.160915939593313</c:v>
                </c:pt>
                <c:pt idx="20">
                  <c:v>25.308176132155612</c:v>
                </c:pt>
                <c:pt idx="21">
                  <c:v>23.764583206325785</c:v>
                </c:pt>
                <c:pt idx="22">
                  <c:v>22.297450383692869</c:v>
                </c:pt>
                <c:pt idx="23">
                  <c:v>20.487414934205969</c:v>
                </c:pt>
                <c:pt idx="24">
                  <c:v>16.113003141508941</c:v>
                </c:pt>
                <c:pt idx="25">
                  <c:v>9.2241576828553153</c:v>
                </c:pt>
                <c:pt idx="26">
                  <c:v>9.2241576828553153</c:v>
                </c:pt>
                <c:pt idx="27">
                  <c:v>7.4935012954905167</c:v>
                </c:pt>
                <c:pt idx="28">
                  <c:v>1.6755916642237176</c:v>
                </c:pt>
                <c:pt idx="29">
                  <c:v>1.5687056329569176</c:v>
                </c:pt>
                <c:pt idx="30">
                  <c:v>1.5034345398155178</c:v>
                </c:pt>
              </c:numCache>
            </c:numRef>
          </c:val>
          <c:extLst xmlns:c16r2="http://schemas.microsoft.com/office/drawing/2015/06/chart">
            <c:ext xmlns:c16="http://schemas.microsoft.com/office/drawing/2014/chart" uri="{C3380CC4-5D6E-409C-BE32-E72D297353CC}">
              <c16:uniqueId val="{00000000-C3D1-416F-AF97-A1E3368B1BD6}"/>
            </c:ext>
          </c:extLst>
        </c:ser>
        <c:ser>
          <c:idx val="1"/>
          <c:order val="1"/>
          <c:tx>
            <c:strRef>
              <c:f>[Grafikoni.xlsx]VANJSKI!$D$104</c:f>
              <c:strCache>
                <c:ptCount val="1"/>
                <c:pt idx="0">
                  <c:v>Unutarnji dug</c:v>
                </c:pt>
              </c:strCache>
            </c:strRef>
          </c:tx>
          <c:spPr>
            <a:noFill/>
            <a:ln>
              <a:solidFill>
                <a:schemeClr val="accent1"/>
              </a:solidFill>
            </a:ln>
            <a:effectLst/>
          </c:spPr>
          <c:invertIfNegative val="0"/>
          <c:cat>
            <c:numRef>
              <c:f>[1]VANJSKI!$E$103:$AI$103</c:f>
              <c:numCache>
                <c:formatCode>0</c:formatCode>
                <c:ptCount val="31"/>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pt idx="29">
                  <c:v>2051</c:v>
                </c:pt>
                <c:pt idx="30">
                  <c:v>2052</c:v>
                </c:pt>
              </c:numCache>
            </c:numRef>
          </c:cat>
          <c:val>
            <c:numRef>
              <c:f>[1]VANJSKI!$E$104:$AI$104</c:f>
              <c:numCache>
                <c:formatCode>0</c:formatCode>
                <c:ptCount val="31"/>
                <c:pt idx="0">
                  <c:v>255.58548999999999</c:v>
                </c:pt>
                <c:pt idx="1">
                  <c:v>55.798144000000001</c:v>
                </c:pt>
                <c:pt idx="2">
                  <c:v>30.659859999999998</c:v>
                </c:pt>
                <c:pt idx="3">
                  <c:v>71.362015999999997</c:v>
                </c:pt>
                <c:pt idx="4">
                  <c:v>120.36000900000001</c:v>
                </c:pt>
                <c:pt idx="5">
                  <c:v>100.511939</c:v>
                </c:pt>
                <c:pt idx="6">
                  <c:v>30</c:v>
                </c:pt>
                <c:pt idx="7">
                  <c:v>30</c:v>
                </c:pt>
                <c:pt idx="8">
                  <c:v>0</c:v>
                </c:pt>
                <c:pt idx="9">
                  <c:v>30</c:v>
                </c:pt>
                <c:pt idx="10">
                  <c:v>0</c:v>
                </c:pt>
                <c:pt idx="11">
                  <c:v>0</c:v>
                </c:pt>
                <c:pt idx="12">
                  <c:v>0</c:v>
                </c:pt>
                <c:pt idx="13">
                  <c:v>30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extLst xmlns:c16r2="http://schemas.microsoft.com/office/drawing/2015/06/chart">
            <c:ext xmlns:c16="http://schemas.microsoft.com/office/drawing/2014/chart" uri="{C3380CC4-5D6E-409C-BE32-E72D297353CC}">
              <c16:uniqueId val="{00000001-C3D1-416F-AF97-A1E3368B1BD6}"/>
            </c:ext>
          </c:extLst>
        </c:ser>
        <c:dLbls>
          <c:showLegendKey val="0"/>
          <c:showVal val="0"/>
          <c:showCatName val="0"/>
          <c:showSerName val="0"/>
          <c:showPercent val="0"/>
          <c:showBubbleSize val="0"/>
        </c:dLbls>
        <c:gapWidth val="219"/>
        <c:overlap val="100"/>
        <c:axId val="398492256"/>
        <c:axId val="398495000"/>
      </c:barChart>
      <c:catAx>
        <c:axId val="39849225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95000"/>
        <c:crosses val="autoZero"/>
        <c:auto val="1"/>
        <c:lblAlgn val="ctr"/>
        <c:lblOffset val="100"/>
        <c:noMultiLvlLbl val="0"/>
      </c:catAx>
      <c:valAx>
        <c:axId val="398495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98492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Sheet4!$J$20</c:f>
              <c:strCache>
                <c:ptCount val="1"/>
                <c:pt idx="0">
                  <c:v>Dospijeća glavnica RFI</c:v>
                </c:pt>
              </c:strCache>
            </c:strRef>
          </c:tx>
          <c:spPr>
            <a:pattFill prst="wdDnDiag">
              <a:fgClr>
                <a:schemeClr val="accent1"/>
              </a:fgClr>
              <a:bgClr>
                <a:schemeClr val="bg1"/>
              </a:bgClr>
            </a:pattFill>
            <a:ln>
              <a:solidFill>
                <a:schemeClr val="accent1"/>
              </a:solidFill>
            </a:ln>
            <a:effectLst/>
          </c:spPr>
          <c:invertIfNegative val="0"/>
          <c:cat>
            <c:numRef>
              <c:f>Sheet4!$K$19:$Q$19</c:f>
              <c:numCache>
                <c:formatCode>General</c:formatCode>
                <c:ptCount val="7"/>
                <c:pt idx="0">
                  <c:v>2022</c:v>
                </c:pt>
                <c:pt idx="1">
                  <c:v>2023</c:v>
                </c:pt>
                <c:pt idx="2">
                  <c:v>2024</c:v>
                </c:pt>
                <c:pt idx="3">
                  <c:v>2025</c:v>
                </c:pt>
                <c:pt idx="4">
                  <c:v>2026</c:v>
                </c:pt>
                <c:pt idx="5">
                  <c:v>2027</c:v>
                </c:pt>
                <c:pt idx="6">
                  <c:v>2028</c:v>
                </c:pt>
              </c:numCache>
            </c:numRef>
          </c:cat>
          <c:val>
            <c:numRef>
              <c:f>Sheet4!$K$20:$Q$20</c:f>
              <c:numCache>
                <c:formatCode>#,##0</c:formatCode>
                <c:ptCount val="7"/>
                <c:pt idx="0">
                  <c:v>0</c:v>
                </c:pt>
                <c:pt idx="1">
                  <c:v>98.686563124499983</c:v>
                </c:pt>
                <c:pt idx="2">
                  <c:v>197.37312624899997</c:v>
                </c:pt>
                <c:pt idx="3">
                  <c:v>98.686563124499983</c:v>
                </c:pt>
                <c:pt idx="4">
                  <c:v>0</c:v>
                </c:pt>
                <c:pt idx="5">
                  <c:v>0</c:v>
                </c:pt>
                <c:pt idx="6">
                  <c:v>0</c:v>
                </c:pt>
              </c:numCache>
            </c:numRef>
          </c:val>
          <c:extLst xmlns:c16r2="http://schemas.microsoft.com/office/drawing/2015/06/chart">
            <c:ext xmlns:c16="http://schemas.microsoft.com/office/drawing/2014/chart" uri="{C3380CC4-5D6E-409C-BE32-E72D297353CC}">
              <c16:uniqueId val="{00000000-E993-4D61-A84B-E97FA7627FE8}"/>
            </c:ext>
          </c:extLst>
        </c:ser>
        <c:ser>
          <c:idx val="1"/>
          <c:order val="1"/>
          <c:tx>
            <c:strRef>
              <c:f>Sheet4!$J$21</c:f>
              <c:strCache>
                <c:ptCount val="1"/>
                <c:pt idx="0">
                  <c:v>Dospijeća glavnica EFF</c:v>
                </c:pt>
              </c:strCache>
            </c:strRef>
          </c:tx>
          <c:spPr>
            <a:noFill/>
            <a:ln>
              <a:solidFill>
                <a:schemeClr val="accent1"/>
              </a:solidFill>
            </a:ln>
            <a:effectLst/>
          </c:spPr>
          <c:invertIfNegative val="0"/>
          <c:cat>
            <c:numRef>
              <c:f>Sheet4!$K$19:$Q$19</c:f>
              <c:numCache>
                <c:formatCode>General</c:formatCode>
                <c:ptCount val="7"/>
                <c:pt idx="0">
                  <c:v>2022</c:v>
                </c:pt>
                <c:pt idx="1">
                  <c:v>2023</c:v>
                </c:pt>
                <c:pt idx="2">
                  <c:v>2024</c:v>
                </c:pt>
                <c:pt idx="3">
                  <c:v>2025</c:v>
                </c:pt>
                <c:pt idx="4">
                  <c:v>2026</c:v>
                </c:pt>
                <c:pt idx="5">
                  <c:v>2027</c:v>
                </c:pt>
                <c:pt idx="6">
                  <c:v>2028</c:v>
                </c:pt>
              </c:numCache>
            </c:numRef>
          </c:cat>
          <c:val>
            <c:numRef>
              <c:f>Sheet4!$K$21:$Q$21</c:f>
              <c:numCache>
                <c:formatCode>#,##0</c:formatCode>
                <c:ptCount val="7"/>
                <c:pt idx="0">
                  <c:v>25.579556201817667</c:v>
                </c:pt>
                <c:pt idx="1">
                  <c:v>34.10607494113534</c:v>
                </c:pt>
                <c:pt idx="2">
                  <c:v>34.10607494113534</c:v>
                </c:pt>
                <c:pt idx="3">
                  <c:v>34.10607494113534</c:v>
                </c:pt>
                <c:pt idx="4">
                  <c:v>34.10607494113534</c:v>
                </c:pt>
                <c:pt idx="5">
                  <c:v>17.053037478635339</c:v>
                </c:pt>
                <c:pt idx="6">
                  <c:v>8.5265186425056285</c:v>
                </c:pt>
              </c:numCache>
            </c:numRef>
          </c:val>
          <c:extLst xmlns:c16r2="http://schemas.microsoft.com/office/drawing/2015/06/chart">
            <c:ext xmlns:c16="http://schemas.microsoft.com/office/drawing/2014/chart" uri="{C3380CC4-5D6E-409C-BE32-E72D297353CC}">
              <c16:uniqueId val="{00000001-E993-4D61-A84B-E97FA7627FE8}"/>
            </c:ext>
          </c:extLst>
        </c:ser>
        <c:dLbls>
          <c:showLegendKey val="0"/>
          <c:showVal val="0"/>
          <c:showCatName val="0"/>
          <c:showSerName val="0"/>
          <c:showPercent val="0"/>
          <c:showBubbleSize val="0"/>
        </c:dLbls>
        <c:gapWidth val="299"/>
        <c:overlap val="100"/>
        <c:axId val="398494608"/>
        <c:axId val="398493432"/>
      </c:barChart>
      <c:catAx>
        <c:axId val="39849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93432"/>
        <c:crosses val="autoZero"/>
        <c:auto val="1"/>
        <c:lblAlgn val="ctr"/>
        <c:lblOffset val="100"/>
        <c:noMultiLvlLbl val="0"/>
      </c:catAx>
      <c:valAx>
        <c:axId val="398493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984946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077-4006-864C-9271E88ECA3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077-4006-864C-9271E88ECA3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077-4006-864C-9271E88ECA3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077-4006-864C-9271E88ECA3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077-4006-864C-9271E88ECA3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D077-4006-864C-9271E88ECA36}"/>
              </c:ext>
            </c:extLst>
          </c:dPt>
          <c:dLbls>
            <c:dLbl>
              <c:idx val="0"/>
              <c:layout>
                <c:manualLayout>
                  <c:x val="6.4725088975528547E-2"/>
                  <c:y val="4.2628774422735348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D077-4006-864C-9271E88ECA36}"/>
                </c:ext>
                <c:ext xmlns:c15="http://schemas.microsoft.com/office/drawing/2012/chart" uri="{CE6537A1-D6FC-4f65-9D91-7224C49458BB}">
                  <c15:layout>
                    <c:manualLayout>
                      <c:w val="0.24560949298813373"/>
                      <c:h val="0.17740674955595026"/>
                    </c:manualLayout>
                  </c15:layout>
                </c:ext>
              </c:extLst>
            </c:dLbl>
            <c:dLbl>
              <c:idx val="1"/>
              <c:layout>
                <c:manualLayout>
                  <c:x val="4.3149946062565839E-3"/>
                  <c:y val="-2.8419182948490232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D077-4006-864C-9271E88ECA36}"/>
                </c:ext>
                <c:ext xmlns:c15="http://schemas.microsoft.com/office/drawing/2012/chart" uri="{CE6537A1-D6FC-4f65-9D91-7224C49458BB}">
                  <c15:layout>
                    <c:manualLayout>
                      <c:w val="0.26577954454722286"/>
                      <c:h val="0.17740674955595026"/>
                    </c:manualLayout>
                  </c15:layout>
                </c:ext>
              </c:extLst>
            </c:dLbl>
            <c:dLbl>
              <c:idx val="2"/>
              <c:layout>
                <c:manualLayout>
                  <c:x val="-0.10571736785329018"/>
                  <c:y val="0.10657193605683823"/>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D077-4006-864C-9271E88ECA36}"/>
                </c:ext>
                <c:ext xmlns:c15="http://schemas.microsoft.com/office/drawing/2012/chart" uri="{CE6537A1-D6FC-4f65-9D91-7224C49458BB}">
                  <c15:layout>
                    <c:manualLayout>
                      <c:w val="0.25613807982740022"/>
                      <c:h val="0.17740674955595026"/>
                    </c:manualLayout>
                  </c15:layout>
                </c:ext>
              </c:extLst>
            </c:dLbl>
            <c:dLbl>
              <c:idx val="3"/>
              <c:layout>
                <c:manualLayout>
                  <c:x val="3.8834951456310524E-2"/>
                  <c:y val="-2.1314387211367674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D077-4006-864C-9271E88ECA36}"/>
                </c:ext>
                <c:ext xmlns:c15="http://schemas.microsoft.com/office/drawing/2012/chart" uri="{CE6537A1-D6FC-4f65-9D91-7224C49458BB}"/>
              </c:extLst>
            </c:dLbl>
            <c:dLbl>
              <c:idx val="4"/>
              <c:layout>
                <c:manualLayout>
                  <c:x val="-3.4519956850053955E-2"/>
                  <c:y val="-4.9733570159857902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D077-4006-864C-9271E88ECA36}"/>
                </c:ext>
                <c:ext xmlns:c15="http://schemas.microsoft.com/office/drawing/2012/chart" uri="{CE6537A1-D6FC-4f65-9D91-7224C49458BB}"/>
              </c:extLst>
            </c:dLbl>
            <c:dLbl>
              <c:idx val="5"/>
              <c:spPr>
                <a:noFill/>
                <a:ln>
                  <a:noFill/>
                </a:ln>
                <a:effectLst/>
              </c:spPr>
              <c:txPr>
                <a:bodyPr rot="0" spcFirstLastPara="1" vertOverflow="ellipsis" horzOverflow="clip"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D077-4006-864C-9271E88ECA36}"/>
                </c:ex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Sheet5!$B$24:$B$29</c:f>
              <c:strCache>
                <c:ptCount val="6"/>
                <c:pt idx="0">
                  <c:v>SDR</c:v>
                </c:pt>
                <c:pt idx="1">
                  <c:v>USD</c:v>
                </c:pt>
                <c:pt idx="2">
                  <c:v>GBP</c:v>
                </c:pt>
                <c:pt idx="3">
                  <c:v>JPY</c:v>
                </c:pt>
                <c:pt idx="4">
                  <c:v>EUR</c:v>
                </c:pt>
                <c:pt idx="5">
                  <c:v>BAM</c:v>
                </c:pt>
              </c:strCache>
            </c:strRef>
          </c:cat>
          <c:val>
            <c:numRef>
              <c:f>Sheet5!$E$24:$E$29</c:f>
              <c:numCache>
                <c:formatCode>0.00%</c:formatCode>
                <c:ptCount val="6"/>
                <c:pt idx="0">
                  <c:v>0.24068884007476682</c:v>
                </c:pt>
                <c:pt idx="1">
                  <c:v>0.10289323190732801</c:v>
                </c:pt>
                <c:pt idx="2">
                  <c:v>0</c:v>
                </c:pt>
                <c:pt idx="3">
                  <c:v>4.672268916808186E-3</c:v>
                </c:pt>
                <c:pt idx="4">
                  <c:v>0.52922408973166524</c:v>
                </c:pt>
                <c:pt idx="5">
                  <c:v>0.12252156936943182</c:v>
                </c:pt>
              </c:numCache>
            </c:numRef>
          </c:val>
          <c:extLst xmlns:c16r2="http://schemas.microsoft.com/office/drawing/2015/06/chart">
            <c:ext xmlns:c16="http://schemas.microsoft.com/office/drawing/2014/chart" uri="{C3380CC4-5D6E-409C-BE32-E72D297353CC}">
              <c16:uniqueId val="{0000000C-D077-4006-864C-9271E88ECA36}"/>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7F3-4663-813D-6BDC4F65E28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7F3-4663-813D-6BDC4F65E28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7F3-4663-813D-6BDC4F65E28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7F3-4663-813D-6BDC4F65E28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7F3-4663-813D-6BDC4F65E28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7F3-4663-813D-6BDC4F65E281}"/>
              </c:ext>
            </c:extLst>
          </c:dPt>
          <c:dLbls>
            <c:dLbl>
              <c:idx val="0"/>
              <c:layout>
                <c:manualLayout>
                  <c:x val="2.6513136354415837E-2"/>
                  <c:y val="-1.4209311757877516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97F3-4663-813D-6BDC4F65E281}"/>
                </c:ext>
                <c:ext xmlns:c15="http://schemas.microsoft.com/office/drawing/2012/chart" uri="{CE6537A1-D6FC-4f65-9D91-7224C49458BB}">
                  <c15:layout>
                    <c:manualLayout>
                      <c:w val="0.22949346339847609"/>
                      <c:h val="0.1600710479573712"/>
                    </c:manualLayout>
                  </c15:layout>
                </c:ext>
              </c:extLst>
            </c:dLbl>
            <c:dLbl>
              <c:idx val="1"/>
              <c:layout>
                <c:manualLayout>
                  <c:x val="4.8607416649762508E-2"/>
                  <c:y val="-6.3943161634103046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97F3-4663-813D-6BDC4F65E281}"/>
                </c:ext>
                <c:ext xmlns:c15="http://schemas.microsoft.com/office/drawing/2012/chart" uri="{CE6537A1-D6FC-4f65-9D91-7224C49458BB}"/>
              </c:extLst>
            </c:dLbl>
            <c:dLbl>
              <c:idx val="2"/>
              <c:layout>
                <c:manualLayout>
                  <c:x val="1.8017102712655709E-2"/>
                  <c:y val="0.13499111900532859"/>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97F3-4663-813D-6BDC4F65E281}"/>
                </c:ext>
                <c:ext xmlns:c15="http://schemas.microsoft.com/office/drawing/2012/chart" uri="{CE6537A1-D6FC-4f65-9D91-7224C49458BB}"/>
              </c:extLst>
            </c:dLbl>
            <c:dLbl>
              <c:idx val="3"/>
              <c:layout>
                <c:manualLayout>
                  <c:x val="-0.12372796965394092"/>
                  <c:y val="-0.12078152753108348"/>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97F3-4663-813D-6BDC4F65E281}"/>
                </c:ext>
                <c:ext xmlns:c15="http://schemas.microsoft.com/office/drawing/2012/chart" uri="{CE6537A1-D6FC-4f65-9D91-7224C49458BB}">
                  <c15:layout>
                    <c:manualLayout>
                      <c:w val="0.21175158235060179"/>
                      <c:h val="0.17740674955595026"/>
                    </c:manualLayout>
                  </c15:layout>
                </c:ext>
              </c:extLst>
            </c:dLbl>
            <c:dLbl>
              <c:idx val="4"/>
              <c:layout>
                <c:manualLayout>
                  <c:x val="2.2094280295346581E-2"/>
                  <c:y val="2.1314387211367657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97F3-4663-813D-6BDC4F65E281}"/>
                </c:ext>
                <c:ext xmlns:c15="http://schemas.microsoft.com/office/drawing/2012/chart" uri="{CE6537A1-D6FC-4f65-9D91-7224C49458BB}">
                  <c15:layout>
                    <c:manualLayout>
                      <c:w val="0.22253359113473092"/>
                      <c:h val="0.17740674955595026"/>
                    </c:manualLayout>
                  </c15:layout>
                </c:ext>
              </c:extLst>
            </c:dLbl>
            <c:dLbl>
              <c:idx val="5"/>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Sheet5!$G$24:$G$29</c:f>
              <c:strCache>
                <c:ptCount val="6"/>
                <c:pt idx="0">
                  <c:v>USD</c:v>
                </c:pt>
                <c:pt idx="1">
                  <c:v>GBP</c:v>
                </c:pt>
                <c:pt idx="2">
                  <c:v>JPY</c:v>
                </c:pt>
                <c:pt idx="3">
                  <c:v>EUR</c:v>
                </c:pt>
                <c:pt idx="4">
                  <c:v>CHY</c:v>
                </c:pt>
                <c:pt idx="5">
                  <c:v>BAM</c:v>
                </c:pt>
              </c:strCache>
            </c:strRef>
          </c:cat>
          <c:val>
            <c:numRef>
              <c:f>Sheet5!$I$24:$I$29</c:f>
              <c:numCache>
                <c:formatCode>0.00%</c:formatCode>
                <c:ptCount val="6"/>
                <c:pt idx="0">
                  <c:v>0.20333268487052816</c:v>
                </c:pt>
                <c:pt idx="1">
                  <c:v>1.9471727162048633E-2</c:v>
                </c:pt>
                <c:pt idx="2">
                  <c:v>2.4721649295036258E-2</c:v>
                </c:pt>
                <c:pt idx="3">
                  <c:v>0.60366914796679061</c:v>
                </c:pt>
                <c:pt idx="4">
                  <c:v>2.6283221336164533E-2</c:v>
                </c:pt>
                <c:pt idx="5">
                  <c:v>0.1225215693694318</c:v>
                </c:pt>
              </c:numCache>
            </c:numRef>
          </c:val>
          <c:extLst xmlns:c16r2="http://schemas.microsoft.com/office/drawing/2015/06/chart">
            <c:ext xmlns:c16="http://schemas.microsoft.com/office/drawing/2014/chart" uri="{C3380CC4-5D6E-409C-BE32-E72D297353CC}">
              <c16:uniqueId val="{0000000C-97F3-4663-813D-6BDC4F65E281}"/>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0.01014</cdr:x>
      <cdr:y>0.00851</cdr:y>
    </cdr:from>
    <cdr:to>
      <cdr:x>0.05797</cdr:x>
      <cdr:y>0.15605</cdr:y>
    </cdr:to>
    <cdr:sp macro="" textlink="">
      <cdr:nvSpPr>
        <cdr:cNvPr id="2" name="TextBox 1">
          <a:extLst xmlns:a="http://schemas.openxmlformats.org/drawingml/2006/main">
            <a:ext uri="{FF2B5EF4-FFF2-40B4-BE49-F238E27FC236}">
              <a16:creationId xmlns="" xmlns:a16="http://schemas.microsoft.com/office/drawing/2014/main" id="{CB6506F7-655E-4158-842D-84423CD0F672}"/>
            </a:ext>
          </a:extLst>
        </cdr:cNvPr>
        <cdr:cNvSpPr txBox="1"/>
      </cdr:nvSpPr>
      <cdr:spPr>
        <a:xfrm xmlns:a="http://schemas.openxmlformats.org/drawingml/2006/main">
          <a:off x="59167" y="14180"/>
          <a:ext cx="279115" cy="245837"/>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bs-Latn-BA" sz="900" b="0">
              <a:solidFill>
                <a:srgbClr val="4B82AD"/>
              </a:solidFill>
              <a:latin typeface="Segoe UI" panose="020B0502040204020203" pitchFamily="34" charset="0"/>
            </a:rPr>
            <a:t>%</a:t>
          </a:r>
          <a:endParaRPr lang="en-US" sz="900" b="0">
            <a:solidFill>
              <a:srgbClr val="4B82AD"/>
            </a:solidFill>
            <a:latin typeface="Segoe UI" panose="020B0502040204020203"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0.01477</cdr:x>
      <cdr:y>0.01333</cdr:y>
    </cdr:from>
    <cdr:to>
      <cdr:x>0.0667</cdr:x>
      <cdr:y>0.11538</cdr:y>
    </cdr:to>
    <cdr:sp macro="" textlink="">
      <cdr:nvSpPr>
        <cdr:cNvPr id="2" name="TextBox 1">
          <a:extLst xmlns:a="http://schemas.openxmlformats.org/drawingml/2006/main">
            <a:ext uri="{FF2B5EF4-FFF2-40B4-BE49-F238E27FC236}">
              <a16:creationId xmlns="" xmlns:a16="http://schemas.microsoft.com/office/drawing/2014/main" id="{C5CD35B2-0EB9-49C9-B347-212315F43E9D}"/>
            </a:ext>
          </a:extLst>
        </cdr:cNvPr>
        <cdr:cNvSpPr txBox="1"/>
      </cdr:nvSpPr>
      <cdr:spPr>
        <a:xfrm xmlns:a="http://schemas.openxmlformats.org/drawingml/2006/main">
          <a:off x="85382" y="36576"/>
          <a:ext cx="300082" cy="279948"/>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bs-Latn-BA" sz="1100" b="0">
              <a:solidFill>
                <a:srgbClr val="4B82AD"/>
              </a:solidFill>
              <a:latin typeface="Segoe UI" panose="020B0502040204020203" pitchFamily="34" charset="0"/>
            </a:rPr>
            <a:t>%</a:t>
          </a:r>
          <a:endParaRPr lang="en-US" sz="1100" b="0">
            <a:solidFill>
              <a:srgbClr val="4B82AD"/>
            </a:solidFill>
            <a:latin typeface="Segoe UI" panose="020B0502040204020203"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F02F-7377-4D9D-936F-9315A097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7563</Words>
  <Characters>43111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Strategija upravljanja dugom                                 2022.-2024.</vt:lpstr>
    </vt:vector>
  </TitlesOfParts>
  <Company>BOSNA I HERCEGOVINA                                                                                                                                  fEDERACIJA BOSNE I HERCEGOVINE                                                                                                        FEDERALNO MINISTARSTVO FINANSIJA                                                                                                  FEDERALNO MINISTARSTVO FINANCIJA</Company>
  <LinksUpToDate>false</LinksUpToDate>
  <CharactersWithSpaces>50573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upravljanja dugom                                 2022.-2024.</dc:title>
  <dc:creator>Pasalic Besim</dc:creator>
  <cp:lastModifiedBy>Igor Ljubas</cp:lastModifiedBy>
  <cp:revision>9</cp:revision>
  <cp:lastPrinted>2022-04-13T12:50:00Z</cp:lastPrinted>
  <dcterms:created xsi:type="dcterms:W3CDTF">2022-04-21T08:25:00Z</dcterms:created>
  <dcterms:modified xsi:type="dcterms:W3CDTF">2022-04-25T10:27:00Z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-999192908</vt:i4>
  </property>
</Properties>
</file>