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drawings/drawing1.xml" ContentType="application/vnd.openxmlformats-officedocument.drawingml.chartshapes+xml"/>
  <Override PartName="/word/charts/chart12.xml" ContentType="application/vnd.openxmlformats-officedocument.drawingml.chart+xml"/>
  <Override PartName="/word/drawings/drawing2.xml" ContentType="application/vnd.openxmlformats-officedocument.drawingml.chartshape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E36C0A" w:themeColor="accent6" w:themeShade="BF"/>
        </w:rPr>
        <w:id w:val="1295100865"/>
        <w:docPartObj>
          <w:docPartGallery w:val="Cover Pages"/>
          <w:docPartUnique/>
        </w:docPartObj>
      </w:sdtPr>
      <w:sdtEndPr>
        <w:rPr>
          <w:rFonts w:ascii="Arial" w:hAnsi="Arial" w:cs="Arial"/>
          <w:sz w:val="24"/>
          <w:szCs w:val="24"/>
        </w:rPr>
      </w:sdtEndPr>
      <w:sdtContent>
        <w:p w14:paraId="18977C32" w14:textId="7820CB3B" w:rsidR="0059009B" w:rsidRPr="00AF7CAC" w:rsidRDefault="00F038BE" w:rsidP="0059009B">
          <w:pPr>
            <w:tabs>
              <w:tab w:val="left" w:pos="1605"/>
            </w:tabs>
            <w:jc w:val="center"/>
            <w:rPr>
              <w:caps/>
              <w:color w:val="FFFFFF" w:themeColor="background1"/>
            </w:rPr>
          </w:pPr>
          <w:r w:rsidRPr="00AF7CAC">
            <w:rPr>
              <w:rFonts w:ascii="Arial" w:hAnsi="Arial" w:cs="Arial"/>
              <w:noProof/>
              <w:color w:val="FFFFFF" w:themeColor="background1"/>
              <w:sz w:val="24"/>
              <w:szCs w:val="24"/>
              <w:lang w:val="en-US"/>
            </w:rPr>
            <mc:AlternateContent>
              <mc:Choice Requires="wpg">
                <w:drawing>
                  <wp:anchor distT="0" distB="0" distL="114300" distR="114300" simplePos="0" relativeHeight="251669504" behindDoc="1" locked="0" layoutInCell="1" allowOverlap="1" wp14:anchorId="10C147E1" wp14:editId="25CDC1EF">
                    <wp:simplePos x="0" y="0"/>
                    <wp:positionH relativeFrom="margin">
                      <wp:posOffset>-668867</wp:posOffset>
                    </wp:positionH>
                    <wp:positionV relativeFrom="margin">
                      <wp:posOffset>-441326</wp:posOffset>
                    </wp:positionV>
                    <wp:extent cx="7058025" cy="9863667"/>
                    <wp:effectExtent l="0" t="0" r="9525" b="4445"/>
                    <wp:wrapNone/>
                    <wp:docPr id="193" name="Group 193"/>
                    <wp:cNvGraphicFramePr/>
                    <a:graphic xmlns:a="http://schemas.openxmlformats.org/drawingml/2006/main">
                      <a:graphicData uri="http://schemas.microsoft.com/office/word/2010/wordprocessingGroup">
                        <wpg:wgp>
                          <wpg:cNvGrpSpPr/>
                          <wpg:grpSpPr>
                            <a:xfrm>
                              <a:off x="0" y="0"/>
                              <a:ext cx="7058025" cy="9863667"/>
                              <a:chOff x="-28575" y="0"/>
                              <a:chExt cx="7058025" cy="9724395"/>
                            </a:xfrm>
                          </wpg:grpSpPr>
                          <wps:wsp>
                            <wps:cNvPr id="194" name="Rectangle 194"/>
                            <wps:cNvSpPr/>
                            <wps:spPr>
                              <a:xfrm>
                                <a:off x="6824" y="0"/>
                                <a:ext cx="7022626" cy="13716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28575" y="7427595"/>
                                <a:ext cx="6933600" cy="22968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C83CB6" w14:textId="77777777" w:rsidR="00832522" w:rsidRDefault="00832522">
                                  <w:pPr>
                                    <w:pStyle w:val="NoSpacing"/>
                                    <w:spacing w:before="120"/>
                                    <w:jc w:val="center"/>
                                    <w:rPr>
                                      <w:color w:val="FFFFFF" w:themeColor="background1"/>
                                    </w:rPr>
                                  </w:pPr>
                                </w:p>
                                <w:p w14:paraId="01CDDC13" w14:textId="77777777" w:rsidR="00832522" w:rsidRDefault="00832522">
                                  <w:pPr>
                                    <w:pStyle w:val="NoSpacing"/>
                                    <w:spacing w:before="120"/>
                                    <w:jc w:val="center"/>
                                    <w:rPr>
                                      <w:color w:val="FFFFFF" w:themeColor="background1"/>
                                    </w:rPr>
                                  </w:pPr>
                                  <w:r>
                                    <w:rPr>
                                      <w:color w:val="FFFFFF" w:themeColor="background1"/>
                                    </w:rPr>
                                    <w:t> </w:t>
                                  </w:r>
                                </w:p>
                                <w:p w14:paraId="51808318" w14:textId="2790E9E7" w:rsidR="00832522" w:rsidRDefault="00832522">
                                  <w:pPr>
                                    <w:pStyle w:val="NoSpacing"/>
                                    <w:spacing w:before="120"/>
                                    <w:jc w:val="center"/>
                                    <w:rPr>
                                      <w:color w:val="FFFFFF" w:themeColor="background1"/>
                                    </w:rPr>
                                  </w:pPr>
                                  <w:r>
                                    <w:rPr>
                                      <w:color w:val="FFFFFF" w:themeColor="background1"/>
                                    </w:rPr>
                                    <w:t>Sarajevo</w:t>
                                  </w:r>
                                  <w:r w:rsidRPr="00FB6FC8">
                                    <w:rPr>
                                      <w:color w:val="FFFFFF" w:themeColor="background1"/>
                                    </w:rPr>
                                    <w:t xml:space="preserve">, </w:t>
                                  </w:r>
                                  <w:r>
                                    <w:rPr>
                                      <w:color w:val="FFFFFF" w:themeColor="background1"/>
                                    </w:rPr>
                                    <w:t>travanj</w:t>
                                  </w:r>
                                  <w:r w:rsidRPr="00D912D1">
                                    <w:rPr>
                                      <w:color w:val="FFFFFF" w:themeColor="background1"/>
                                      <w:lang w:val="hr-BA"/>
                                    </w:rPr>
                                    <w:t xml:space="preserve"> </w:t>
                                  </w:r>
                                  <w:r w:rsidRPr="00FB6FC8">
                                    <w:rPr>
                                      <w:color w:val="FFFFFF" w:themeColor="background1"/>
                                    </w:rPr>
                                    <w:t>202</w:t>
                                  </w:r>
                                  <w:r w:rsidRPr="00445180">
                                    <w:rPr>
                                      <w:color w:val="FFFFFF" w:themeColor="background1"/>
                                    </w:rPr>
                                    <w:t>2</w:t>
                                  </w:r>
                                  <w:r w:rsidRPr="00FB6FC8">
                                    <w:rPr>
                                      <w:color w:val="FFFFFF" w:themeColor="background1"/>
                                    </w:rPr>
                                    <w:t>.</w:t>
                                  </w:r>
                                </w:p>
                                <w:p w14:paraId="4A32006B" w14:textId="77777777" w:rsidR="00832522" w:rsidRDefault="00832522">
                                  <w:pPr>
                                    <w:pStyle w:val="NoSpacing"/>
                                    <w:spacing w:before="120"/>
                                    <w:jc w:val="center"/>
                                    <w:rPr>
                                      <w:color w:val="FFFFFF" w:themeColor="background1"/>
                                    </w:rPr>
                                  </w:pPr>
                                  <w:r>
                                    <w:rPr>
                                      <w:color w:val="FFFFFF" w:themeColor="background1"/>
                                    </w:rPr>
                                    <w:t> www.fmf.gov.ba</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lang w:val="hr-HR"/>
                                    </w:rPr>
                                    <w:alias w:val="Title"/>
                                    <w:tag w:val=""/>
                                    <w:id w:val="926461990"/>
                                    <w:dataBinding w:prefixMappings="xmlns:ns0='http://purl.org/dc/elements/1.1/' xmlns:ns1='http://schemas.openxmlformats.org/package/2006/metadata/core-properties' " w:xpath="/ns1:coreProperties[1]/ns0:title[1]" w:storeItemID="{6C3C8BC8-F283-45AE-878A-BAB7291924A1}"/>
                                    <w:text/>
                                  </w:sdtPr>
                                  <w:sdtContent>
                                    <w:p w14:paraId="6AC1A2C9" w14:textId="30D70798" w:rsidR="00832522" w:rsidRPr="00445180" w:rsidRDefault="00832522">
                                      <w:pPr>
                                        <w:pStyle w:val="NoSpacing"/>
                                        <w:jc w:val="center"/>
                                        <w:rPr>
                                          <w:rFonts w:asciiTheme="majorHAnsi" w:eastAsiaTheme="majorEastAsia" w:hAnsiTheme="majorHAnsi" w:cstheme="majorBidi"/>
                                          <w:caps/>
                                          <w:color w:val="4F81BD" w:themeColor="accent1"/>
                                          <w:sz w:val="72"/>
                                          <w:szCs w:val="72"/>
                                          <w:lang w:val="hr-HR"/>
                                        </w:rPr>
                                      </w:pPr>
                                      <w:r w:rsidRPr="00FB6FC8">
                                        <w:rPr>
                                          <w:rFonts w:asciiTheme="majorHAnsi" w:eastAsiaTheme="majorEastAsia" w:hAnsiTheme="majorHAnsi" w:cstheme="majorBidi"/>
                                          <w:caps/>
                                          <w:color w:val="4F81BD" w:themeColor="accent1"/>
                                          <w:sz w:val="72"/>
                                          <w:szCs w:val="72"/>
                                          <w:lang w:val="hr-HR"/>
                                        </w:rPr>
                                        <w:t>Strategija upravljanja dugom                                 2022-2024</w:t>
                                      </w:r>
                                      <w:r>
                                        <w:rPr>
                                          <w:rFonts w:asciiTheme="majorHAnsi" w:eastAsiaTheme="majorEastAsia" w:hAnsiTheme="majorHAnsi" w:cstheme="majorBidi"/>
                                          <w:caps/>
                                          <w:color w:val="4F81BD" w:themeColor="accent1"/>
                                          <w:sz w:val="72"/>
                                          <w:szCs w:val="72"/>
                                          <w:lang w:val="hr-HR"/>
                                        </w:rPr>
                                        <w: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0C147E1" id="Group 193" o:spid="_x0000_s1026" style="position:absolute;left:0;text-align:left;margin-left:-52.65pt;margin-top:-34.75pt;width:555.75pt;height:776.65pt;z-index:-251646976;mso-position-horizontal-relative:margin;mso-position-vertical-relative:margin" coordorigin="-285" coordsize="70580,9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">
                    <v:rect id="Rectangle 194" o:spid="_x0000_s1027" style="position:absolute;left:68;width:70226;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QOhcIA&#10;AADcAAAADwAAAGRycy9kb3ducmV2LnhtbERPzWrCQBC+C77DMkJvummopaauEguBXDyofYBpdkxC&#10;s7Mxu02iT+8KQm/z8f3OejuaRvTUudqygtdFBIK4sLrmUsH3KZt/gHAeWWNjmRRcycF2M52sMdF2&#10;4AP1R1+KEMIuQQWV920ipSsqMugWtiUO3Nl2Bn2AXSl1h0MIN42Mo+hdGqw5NFTY0ldFxe/xzygo&#10;Dj9pn/c649t+GS/Pl9WwG71SL7Mx/QThafT/4qc712H+6g0ez4QL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A6FwgAAANwAAAAPAAAAAAAAAAAAAAAAAJgCAABkcnMvZG93&#10;bnJldi54bWxQSwUGAAAAAAQABAD1AAAAhwMAAAAA&#10;" fillcolor="#b8cce4 [1300]" stroked="f" strokeweight="2pt"/>
                    <v:rect id="Rectangle 195" o:spid="_x0000_s1028" style="position:absolute;left:-285;top:74275;width:69335;height:229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3MQA&#10;AADcAAAADwAAAGRycy9kb3ducmV2LnhtbERPTWvCQBC9F/wPywje6iZKShNdg1gE6UVq20NvQ3ZM&#10;gtnZJLtN4r/vFgq9zeN9zjafTCMG6l1tWUG8jEAQF1bXXCr4eD8+PoNwHlljY5kU3MlBvps9bDHT&#10;duQ3Gi6+FCGEXYYKKu/bTEpXVGTQLW1LHLir7Q36APtS6h7HEG4auYqiJ2mw5tBQYUuHiorb5dso&#10;eD2vz8XXuov28UuSdl2cdtdPr9RiPu03IDxN/l/85z7pMD9N4PeZcIH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8TdzEAAAA3AAAAA8AAAAAAAAAAAAAAAAAmAIAAGRycy9k&#10;b3ducmV2LnhtbFBLBQYAAAAABAAEAPUAAACJAwAAAAA=&#10;" fillcolor="#b8cce4 [1300]" stroked="f" strokeweight="2pt">
                      <v:textbox inset="36pt,57.6pt,36pt,36pt">
                        <w:txbxContent>
                          <w:p w14:paraId="29C83CB6" w14:textId="77777777" w:rsidR="00832522" w:rsidRDefault="00832522">
                            <w:pPr>
                              <w:pStyle w:val="NoSpacing"/>
                              <w:spacing w:before="120"/>
                              <w:jc w:val="center"/>
                              <w:rPr>
                                <w:color w:val="FFFFFF" w:themeColor="background1"/>
                              </w:rPr>
                            </w:pPr>
                          </w:p>
                          <w:p w14:paraId="01CDDC13" w14:textId="77777777" w:rsidR="00832522" w:rsidRDefault="00832522">
                            <w:pPr>
                              <w:pStyle w:val="NoSpacing"/>
                              <w:spacing w:before="120"/>
                              <w:jc w:val="center"/>
                              <w:rPr>
                                <w:color w:val="FFFFFF" w:themeColor="background1"/>
                              </w:rPr>
                            </w:pPr>
                            <w:r>
                              <w:rPr>
                                <w:color w:val="FFFFFF" w:themeColor="background1"/>
                              </w:rPr>
                              <w:t> </w:t>
                            </w:r>
                          </w:p>
                          <w:p w14:paraId="51808318" w14:textId="2790E9E7" w:rsidR="00832522" w:rsidRDefault="00832522">
                            <w:pPr>
                              <w:pStyle w:val="NoSpacing"/>
                              <w:spacing w:before="120"/>
                              <w:jc w:val="center"/>
                              <w:rPr>
                                <w:color w:val="FFFFFF" w:themeColor="background1"/>
                              </w:rPr>
                            </w:pPr>
                            <w:r>
                              <w:rPr>
                                <w:color w:val="FFFFFF" w:themeColor="background1"/>
                              </w:rPr>
                              <w:t>Sarajevo</w:t>
                            </w:r>
                            <w:r w:rsidRPr="00FB6FC8">
                              <w:rPr>
                                <w:color w:val="FFFFFF" w:themeColor="background1"/>
                              </w:rPr>
                              <w:t xml:space="preserve">, </w:t>
                            </w:r>
                            <w:r>
                              <w:rPr>
                                <w:color w:val="FFFFFF" w:themeColor="background1"/>
                              </w:rPr>
                              <w:t>travanj</w:t>
                            </w:r>
                            <w:r w:rsidRPr="00D912D1">
                              <w:rPr>
                                <w:color w:val="FFFFFF" w:themeColor="background1"/>
                                <w:lang w:val="hr-BA"/>
                              </w:rPr>
                              <w:t xml:space="preserve"> </w:t>
                            </w:r>
                            <w:r w:rsidRPr="00FB6FC8">
                              <w:rPr>
                                <w:color w:val="FFFFFF" w:themeColor="background1"/>
                              </w:rPr>
                              <w:t>202</w:t>
                            </w:r>
                            <w:r w:rsidRPr="00445180">
                              <w:rPr>
                                <w:color w:val="FFFFFF" w:themeColor="background1"/>
                              </w:rPr>
                              <w:t>2</w:t>
                            </w:r>
                            <w:r w:rsidRPr="00FB6FC8">
                              <w:rPr>
                                <w:color w:val="FFFFFF" w:themeColor="background1"/>
                              </w:rPr>
                              <w:t>.</w:t>
                            </w:r>
                          </w:p>
                          <w:p w14:paraId="4A32006B" w14:textId="77777777" w:rsidR="00832522" w:rsidRDefault="00832522">
                            <w:pPr>
                              <w:pStyle w:val="NoSpacing"/>
                              <w:spacing w:before="120"/>
                              <w:jc w:val="center"/>
                              <w:rPr>
                                <w:color w:val="FFFFFF" w:themeColor="background1"/>
                              </w:rPr>
                            </w:pPr>
                            <w:r>
                              <w:rPr>
                                <w:color w:val="FFFFFF" w:themeColor="background1"/>
                              </w:rPr>
                              <w:t> www.fmf.gov.ba</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lang w:val="hr-HR"/>
                              </w:rPr>
                              <w:alias w:val="Title"/>
                              <w:tag w:val=""/>
                              <w:id w:val="926461990"/>
                              <w:dataBinding w:prefixMappings="xmlns:ns0='http://purl.org/dc/elements/1.1/' xmlns:ns1='http://schemas.openxmlformats.org/package/2006/metadata/core-properties' " w:xpath="/ns1:coreProperties[1]/ns0:title[1]" w:storeItemID="{6C3C8BC8-F283-45AE-878A-BAB7291924A1}"/>
                              <w:text/>
                            </w:sdtPr>
                            <w:sdtContent>
                              <w:p w14:paraId="6AC1A2C9" w14:textId="30D70798" w:rsidR="00832522" w:rsidRPr="00445180" w:rsidRDefault="00832522">
                                <w:pPr>
                                  <w:pStyle w:val="NoSpacing"/>
                                  <w:jc w:val="center"/>
                                  <w:rPr>
                                    <w:rFonts w:asciiTheme="majorHAnsi" w:eastAsiaTheme="majorEastAsia" w:hAnsiTheme="majorHAnsi" w:cstheme="majorBidi"/>
                                    <w:caps/>
                                    <w:color w:val="4F81BD" w:themeColor="accent1"/>
                                    <w:sz w:val="72"/>
                                    <w:szCs w:val="72"/>
                                    <w:lang w:val="hr-HR"/>
                                  </w:rPr>
                                </w:pPr>
                                <w:r w:rsidRPr="00FB6FC8">
                                  <w:rPr>
                                    <w:rFonts w:asciiTheme="majorHAnsi" w:eastAsiaTheme="majorEastAsia" w:hAnsiTheme="majorHAnsi" w:cstheme="majorBidi"/>
                                    <w:caps/>
                                    <w:color w:val="4F81BD" w:themeColor="accent1"/>
                                    <w:sz w:val="72"/>
                                    <w:szCs w:val="72"/>
                                    <w:lang w:val="hr-HR"/>
                                  </w:rPr>
                                  <w:t>Strategija upravljanja dugom                                 2022-2024</w:t>
                                </w:r>
                                <w:r>
                                  <w:rPr>
                                    <w:rFonts w:asciiTheme="majorHAnsi" w:eastAsiaTheme="majorEastAsia" w:hAnsiTheme="majorHAnsi" w:cstheme="majorBidi"/>
                                    <w:caps/>
                                    <w:color w:val="4F81BD" w:themeColor="accent1"/>
                                    <w:sz w:val="72"/>
                                    <w:szCs w:val="72"/>
                                    <w:lang w:val="hr-HR"/>
                                  </w:rPr>
                                  <w:t>.</w:t>
                                </w:r>
                              </w:p>
                            </w:sdtContent>
                          </w:sdt>
                        </w:txbxContent>
                      </v:textbox>
                    </v:shape>
                    <w10:wrap anchorx="margin" anchory="margin"/>
                  </v:group>
                </w:pict>
              </mc:Fallback>
            </mc:AlternateContent>
          </w:r>
          <w:r w:rsidR="00CD70D2" w:rsidRPr="00AF7CAC">
            <w:rPr>
              <w:rFonts w:ascii="Arial" w:hAnsi="Arial" w:cs="Arial"/>
              <w:noProof/>
              <w:color w:val="FFFFFF" w:themeColor="background1"/>
              <w:sz w:val="24"/>
              <w:szCs w:val="24"/>
              <w:lang w:val="en-US"/>
            </w:rPr>
            <mc:AlternateContent>
              <mc:Choice Requires="wps">
                <w:drawing>
                  <wp:anchor distT="0" distB="0" distL="114300" distR="114300" simplePos="0" relativeHeight="251671552" behindDoc="0" locked="0" layoutInCell="1" allowOverlap="1" wp14:anchorId="5E1D762E" wp14:editId="3DE64055">
                    <wp:simplePos x="0" y="0"/>
                    <wp:positionH relativeFrom="margin">
                      <wp:posOffset>238126</wp:posOffset>
                    </wp:positionH>
                    <wp:positionV relativeFrom="paragraph">
                      <wp:posOffset>3981450</wp:posOffset>
                    </wp:positionV>
                    <wp:extent cx="5238750" cy="30289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238750" cy="3028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8E4D3" w14:textId="77777777" w:rsidR="00832522" w:rsidRDefault="00832522" w:rsidP="000605CA">
                                <w:pPr>
                                  <w:ind w:hanging="284"/>
                                  <w:jc w:val="center"/>
                                </w:pPr>
                                <w:r>
                                  <w:rPr>
                                    <w:noProof/>
                                    <w:lang w:val="en-US"/>
                                  </w:rPr>
                                  <w:drawing>
                                    <wp:inline distT="0" distB="0" distL="0" distR="0" wp14:anchorId="699909DE" wp14:editId="2F1C710E">
                                      <wp:extent cx="5116195" cy="31489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2.png"/>
                                              <pic:cNvPicPr/>
                                            </pic:nvPicPr>
                                            <pic:blipFill>
                                              <a:blip r:embed="rId8">
                                                <a:extLst>
                                                  <a:ext uri="{28A0092B-C50C-407E-A947-70E740481C1C}">
                                                    <a14:useLocalDpi xmlns:a14="http://schemas.microsoft.com/office/drawing/2010/main" val="0"/>
                                                  </a:ext>
                                                </a:extLst>
                                              </a:blip>
                                              <a:stretch>
                                                <a:fillRect/>
                                              </a:stretch>
                                            </pic:blipFill>
                                            <pic:spPr>
                                              <a:xfrm>
                                                <a:off x="0" y="0"/>
                                                <a:ext cx="5116195" cy="31489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D762E" id="Text Box 19" o:spid="_x0000_s1030" type="#_x0000_t202" style="position:absolute;left:0;text-align:left;margin-left:18.75pt;margin-top:313.5pt;width:412.5pt;height:23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" fillcolor="white [3201]" stroked="f" strokeweight=".5pt">
                    <v:textbox>
                      <w:txbxContent>
                        <w:p w14:paraId="1BD8E4D3" w14:textId="77777777" w:rsidR="00832522" w:rsidRDefault="00832522" w:rsidP="000605CA">
                          <w:pPr>
                            <w:ind w:hanging="284"/>
                            <w:jc w:val="center"/>
                          </w:pPr>
                          <w:r>
                            <w:rPr>
                              <w:noProof/>
                              <w:lang w:val="en-US"/>
                            </w:rPr>
                            <w:drawing>
                              <wp:inline distT="0" distB="0" distL="0" distR="0" wp14:anchorId="699909DE" wp14:editId="2F1C710E">
                                <wp:extent cx="5116195" cy="31489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2.png"/>
                                        <pic:cNvPicPr/>
                                      </pic:nvPicPr>
                                      <pic:blipFill>
                                        <a:blip r:embed="rId8">
                                          <a:extLst>
                                            <a:ext uri="{28A0092B-C50C-407E-A947-70E740481C1C}">
                                              <a14:useLocalDpi xmlns:a14="http://schemas.microsoft.com/office/drawing/2010/main" val="0"/>
                                            </a:ext>
                                          </a:extLst>
                                        </a:blip>
                                        <a:stretch>
                                          <a:fillRect/>
                                        </a:stretch>
                                      </pic:blipFill>
                                      <pic:spPr>
                                        <a:xfrm>
                                          <a:off x="0" y="0"/>
                                          <a:ext cx="5116195" cy="3148965"/>
                                        </a:xfrm>
                                        <a:prstGeom prst="rect">
                                          <a:avLst/>
                                        </a:prstGeom>
                                      </pic:spPr>
                                    </pic:pic>
                                  </a:graphicData>
                                </a:graphic>
                              </wp:inline>
                            </w:drawing>
                          </w:r>
                        </w:p>
                      </w:txbxContent>
                    </v:textbox>
                    <w10:wrap anchorx="margin"/>
                  </v:shape>
                </w:pict>
              </mc:Fallback>
            </mc:AlternateContent>
          </w:r>
          <w:r w:rsidR="000605CA" w:rsidRPr="00AF7CAC">
            <w:rPr>
              <w:rFonts w:ascii="Arial" w:hAnsi="Arial" w:cs="Arial"/>
              <w:color w:val="FFFFFF" w:themeColor="background1"/>
              <w:sz w:val="24"/>
              <w:szCs w:val="24"/>
            </w:rPr>
            <w:t xml:space="preserve">BOSNA I HERCEGOVINA                                                                                                                                  FEDERACIJA BOSNE I HERCEGOVINE                                                                                                        FEDERALNO MINISTARSTVO </w:t>
          </w:r>
          <w:r w:rsidR="009A78EF">
            <w:rPr>
              <w:rFonts w:ascii="Arial" w:hAnsi="Arial" w:cs="Arial"/>
              <w:color w:val="FFFFFF" w:themeColor="background1"/>
              <w:sz w:val="24"/>
              <w:szCs w:val="24"/>
            </w:rPr>
            <w:t>FINANC</w:t>
          </w:r>
          <w:r w:rsidR="000605CA" w:rsidRPr="00AF7CAC">
            <w:rPr>
              <w:rFonts w:ascii="Arial" w:hAnsi="Arial" w:cs="Arial"/>
              <w:color w:val="FFFFFF" w:themeColor="background1"/>
              <w:sz w:val="24"/>
              <w:szCs w:val="24"/>
            </w:rPr>
            <w:t xml:space="preserve">IJA                                                                                                    </w:t>
          </w:r>
          <w:r w:rsidR="0059009B" w:rsidRPr="00AF7CAC">
            <w:rPr>
              <w:rFonts w:ascii="Arial" w:hAnsi="Arial" w:cs="Arial"/>
              <w:color w:val="FFFFFF" w:themeColor="background1"/>
              <w:sz w:val="24"/>
              <w:szCs w:val="24"/>
            </w:rPr>
            <w:t xml:space="preserve">  </w:t>
          </w:r>
          <w:r w:rsidR="000605CA" w:rsidRPr="00AF7CAC">
            <w:rPr>
              <w:rFonts w:ascii="Arial" w:hAnsi="Arial" w:cs="Arial"/>
              <w:color w:val="FFFFFF" w:themeColor="background1"/>
              <w:sz w:val="24"/>
              <w:szCs w:val="24"/>
            </w:rPr>
            <w:t>FEDERALNO MINISTARSTVO FINANCIJA</w:t>
          </w:r>
          <w:r w:rsidR="000605CA" w:rsidRPr="00AF7CAC">
            <w:rPr>
              <w:caps/>
              <w:color w:val="FFFFFF" w:themeColor="background1"/>
            </w:rPr>
            <w:t xml:space="preserve"> </w:t>
          </w:r>
        </w:p>
        <w:p w14:paraId="06844A75" w14:textId="77777777" w:rsidR="0059009B" w:rsidRPr="00AF7CAC" w:rsidRDefault="0059009B" w:rsidP="0059009B">
          <w:pPr>
            <w:tabs>
              <w:tab w:val="left" w:pos="1605"/>
            </w:tabs>
            <w:jc w:val="center"/>
            <w:rPr>
              <w:caps/>
              <w:color w:val="FFFFFF" w:themeColor="background1"/>
            </w:rPr>
          </w:pPr>
        </w:p>
        <w:p w14:paraId="1C291823" w14:textId="77777777" w:rsidR="0059009B" w:rsidRPr="00AF7CAC" w:rsidRDefault="0059009B" w:rsidP="0059009B">
          <w:pPr>
            <w:tabs>
              <w:tab w:val="left" w:pos="1605"/>
            </w:tabs>
            <w:jc w:val="center"/>
            <w:rPr>
              <w:caps/>
              <w:color w:val="FFFFFF" w:themeColor="background1"/>
            </w:rPr>
          </w:pPr>
        </w:p>
        <w:p w14:paraId="6F8FC1F1" w14:textId="11D4FD9F" w:rsidR="0059009B" w:rsidRPr="00AF7CAC" w:rsidRDefault="00615517" w:rsidP="00615517">
          <w:pPr>
            <w:tabs>
              <w:tab w:val="left" w:pos="855"/>
              <w:tab w:val="left" w:pos="1605"/>
            </w:tabs>
            <w:rPr>
              <w:caps/>
              <w:color w:val="FFFFFF" w:themeColor="background1"/>
            </w:rPr>
          </w:pPr>
          <w:r>
            <w:rPr>
              <w:caps/>
              <w:color w:val="FFFFFF" w:themeColor="background1"/>
            </w:rPr>
            <w:tab/>
          </w:r>
          <w:r>
            <w:rPr>
              <w:caps/>
              <w:color w:val="FFFFFF" w:themeColor="background1"/>
            </w:rPr>
            <w:tab/>
          </w:r>
        </w:p>
        <w:p w14:paraId="79102279" w14:textId="77777777" w:rsidR="0059009B" w:rsidRPr="00AF7CAC" w:rsidRDefault="0059009B" w:rsidP="0059009B">
          <w:pPr>
            <w:tabs>
              <w:tab w:val="left" w:pos="1605"/>
            </w:tabs>
            <w:jc w:val="center"/>
            <w:rPr>
              <w:caps/>
              <w:color w:val="FFFFFF" w:themeColor="background1"/>
            </w:rPr>
          </w:pPr>
        </w:p>
        <w:p w14:paraId="7B0779C2" w14:textId="77777777" w:rsidR="0059009B" w:rsidRPr="00AF7CAC" w:rsidRDefault="0059009B" w:rsidP="0059009B">
          <w:pPr>
            <w:tabs>
              <w:tab w:val="left" w:pos="1605"/>
            </w:tabs>
            <w:jc w:val="center"/>
            <w:rPr>
              <w:caps/>
              <w:color w:val="FFFFFF" w:themeColor="background1"/>
            </w:rPr>
          </w:pPr>
        </w:p>
        <w:p w14:paraId="68D706C7" w14:textId="44D6438E" w:rsidR="0059009B" w:rsidRPr="00AF7CAC" w:rsidRDefault="00615517" w:rsidP="00445180">
          <w:pPr>
            <w:tabs>
              <w:tab w:val="left" w:pos="1605"/>
              <w:tab w:val="left" w:pos="6083"/>
            </w:tabs>
            <w:rPr>
              <w:caps/>
              <w:color w:val="FFFFFF" w:themeColor="background1"/>
            </w:rPr>
          </w:pPr>
          <w:r>
            <w:rPr>
              <w:caps/>
              <w:color w:val="FFFFFF" w:themeColor="background1"/>
            </w:rPr>
            <w:tab/>
          </w:r>
          <w:r w:rsidR="00FB6FC8">
            <w:rPr>
              <w:caps/>
              <w:color w:val="FFFFFF" w:themeColor="background1"/>
            </w:rPr>
            <w:tab/>
          </w:r>
        </w:p>
        <w:p w14:paraId="1C2BF183" w14:textId="77777777" w:rsidR="0059009B" w:rsidRPr="00AF7CAC" w:rsidRDefault="0059009B" w:rsidP="00445180">
          <w:pPr>
            <w:tabs>
              <w:tab w:val="left" w:pos="1605"/>
            </w:tabs>
            <w:rPr>
              <w:caps/>
              <w:color w:val="FFFFFF" w:themeColor="background1"/>
            </w:rPr>
          </w:pPr>
        </w:p>
        <w:p w14:paraId="5CDCF3AC" w14:textId="77777777" w:rsidR="0059009B" w:rsidRPr="00AF7CAC" w:rsidRDefault="0059009B" w:rsidP="0059009B">
          <w:pPr>
            <w:tabs>
              <w:tab w:val="left" w:pos="1605"/>
            </w:tabs>
            <w:jc w:val="center"/>
            <w:rPr>
              <w:caps/>
              <w:color w:val="FFFFFF" w:themeColor="background1"/>
            </w:rPr>
          </w:pPr>
        </w:p>
        <w:p w14:paraId="237CF975" w14:textId="77777777" w:rsidR="0059009B" w:rsidRPr="00AF7CAC" w:rsidRDefault="0059009B" w:rsidP="0059009B">
          <w:pPr>
            <w:tabs>
              <w:tab w:val="left" w:pos="1605"/>
            </w:tabs>
            <w:jc w:val="center"/>
            <w:rPr>
              <w:caps/>
              <w:color w:val="FFFFFF" w:themeColor="background1"/>
            </w:rPr>
          </w:pPr>
        </w:p>
        <w:p w14:paraId="0C7ACD88" w14:textId="77777777" w:rsidR="0059009B" w:rsidRPr="00AF7CAC" w:rsidRDefault="0059009B" w:rsidP="0059009B">
          <w:pPr>
            <w:tabs>
              <w:tab w:val="left" w:pos="1605"/>
            </w:tabs>
            <w:jc w:val="center"/>
            <w:rPr>
              <w:caps/>
              <w:color w:val="FFFFFF" w:themeColor="background1"/>
            </w:rPr>
          </w:pPr>
        </w:p>
        <w:p w14:paraId="5E2B8D95" w14:textId="77777777" w:rsidR="0059009B" w:rsidRPr="00AF7CAC" w:rsidRDefault="0059009B" w:rsidP="0059009B">
          <w:pPr>
            <w:tabs>
              <w:tab w:val="left" w:pos="1605"/>
            </w:tabs>
            <w:jc w:val="center"/>
            <w:rPr>
              <w:caps/>
              <w:color w:val="FFFFFF" w:themeColor="background1"/>
            </w:rPr>
          </w:pPr>
        </w:p>
        <w:p w14:paraId="47E3694A" w14:textId="77777777" w:rsidR="0059009B" w:rsidRPr="00AF7CAC" w:rsidRDefault="0059009B" w:rsidP="0059009B">
          <w:pPr>
            <w:tabs>
              <w:tab w:val="left" w:pos="1605"/>
            </w:tabs>
            <w:jc w:val="center"/>
            <w:rPr>
              <w:caps/>
              <w:color w:val="FFFFFF" w:themeColor="background1"/>
            </w:rPr>
          </w:pPr>
        </w:p>
        <w:p w14:paraId="7A4B25C1" w14:textId="77777777" w:rsidR="0059009B" w:rsidRPr="00AF7CAC" w:rsidRDefault="0059009B" w:rsidP="0059009B">
          <w:pPr>
            <w:tabs>
              <w:tab w:val="left" w:pos="1605"/>
            </w:tabs>
            <w:jc w:val="center"/>
            <w:rPr>
              <w:caps/>
              <w:color w:val="FFFFFF" w:themeColor="background1"/>
            </w:rPr>
          </w:pPr>
        </w:p>
        <w:p w14:paraId="2FF45034" w14:textId="77777777" w:rsidR="0059009B" w:rsidRPr="00AF7CAC" w:rsidRDefault="0059009B" w:rsidP="0059009B">
          <w:pPr>
            <w:tabs>
              <w:tab w:val="left" w:pos="1605"/>
            </w:tabs>
            <w:jc w:val="center"/>
            <w:rPr>
              <w:caps/>
              <w:color w:val="FFFFFF" w:themeColor="background1"/>
            </w:rPr>
          </w:pPr>
          <w:bookmarkStart w:id="0" w:name="_GoBack"/>
          <w:bookmarkEnd w:id="0"/>
        </w:p>
        <w:p w14:paraId="4AB5B4BB" w14:textId="77777777" w:rsidR="0059009B" w:rsidRPr="00AF7CAC" w:rsidRDefault="0059009B" w:rsidP="0059009B">
          <w:pPr>
            <w:tabs>
              <w:tab w:val="left" w:pos="1605"/>
            </w:tabs>
            <w:jc w:val="center"/>
            <w:rPr>
              <w:caps/>
              <w:color w:val="FFFFFF" w:themeColor="background1"/>
            </w:rPr>
          </w:pPr>
        </w:p>
        <w:p w14:paraId="37E33B9B" w14:textId="77777777" w:rsidR="0059009B" w:rsidRPr="00AF7CAC" w:rsidRDefault="0059009B" w:rsidP="0059009B">
          <w:pPr>
            <w:tabs>
              <w:tab w:val="left" w:pos="1605"/>
            </w:tabs>
            <w:jc w:val="center"/>
            <w:rPr>
              <w:caps/>
              <w:color w:val="FFFFFF" w:themeColor="background1"/>
            </w:rPr>
          </w:pPr>
        </w:p>
        <w:p w14:paraId="237282B3" w14:textId="77777777" w:rsidR="0059009B" w:rsidRPr="00AF7CAC" w:rsidRDefault="0059009B" w:rsidP="0059009B">
          <w:pPr>
            <w:tabs>
              <w:tab w:val="left" w:pos="1605"/>
            </w:tabs>
            <w:jc w:val="center"/>
            <w:rPr>
              <w:caps/>
              <w:color w:val="FFFFFF" w:themeColor="background1"/>
            </w:rPr>
          </w:pPr>
        </w:p>
        <w:p w14:paraId="7B0CDB40" w14:textId="77777777" w:rsidR="0059009B" w:rsidRPr="00AF7CAC" w:rsidRDefault="0059009B" w:rsidP="0059009B">
          <w:pPr>
            <w:tabs>
              <w:tab w:val="left" w:pos="1605"/>
            </w:tabs>
            <w:jc w:val="center"/>
            <w:rPr>
              <w:caps/>
              <w:color w:val="FFFFFF" w:themeColor="background1"/>
            </w:rPr>
          </w:pPr>
        </w:p>
        <w:p w14:paraId="3744185E" w14:textId="77777777" w:rsidR="0059009B" w:rsidRPr="00AF7CAC" w:rsidRDefault="0059009B" w:rsidP="0059009B">
          <w:pPr>
            <w:tabs>
              <w:tab w:val="left" w:pos="1605"/>
            </w:tabs>
            <w:jc w:val="center"/>
            <w:rPr>
              <w:caps/>
              <w:color w:val="FFFFFF" w:themeColor="background1"/>
            </w:rPr>
          </w:pPr>
        </w:p>
        <w:p w14:paraId="4A679A33" w14:textId="77777777" w:rsidR="0059009B" w:rsidRPr="00AF7CAC" w:rsidRDefault="0059009B" w:rsidP="0059009B">
          <w:pPr>
            <w:tabs>
              <w:tab w:val="left" w:pos="1605"/>
            </w:tabs>
            <w:jc w:val="center"/>
            <w:rPr>
              <w:caps/>
              <w:color w:val="FFFFFF" w:themeColor="background1"/>
            </w:rPr>
          </w:pPr>
        </w:p>
        <w:p w14:paraId="03937E62" w14:textId="77777777" w:rsidR="0059009B" w:rsidRPr="00AF7CAC" w:rsidRDefault="0059009B" w:rsidP="0059009B">
          <w:pPr>
            <w:tabs>
              <w:tab w:val="left" w:pos="1605"/>
            </w:tabs>
            <w:jc w:val="center"/>
            <w:rPr>
              <w:caps/>
              <w:color w:val="FFFFFF" w:themeColor="background1"/>
            </w:rPr>
          </w:pPr>
        </w:p>
        <w:p w14:paraId="4C641FA3" w14:textId="77777777" w:rsidR="0059009B" w:rsidRPr="00AF7CAC" w:rsidRDefault="0059009B" w:rsidP="0059009B">
          <w:pPr>
            <w:tabs>
              <w:tab w:val="left" w:pos="1605"/>
            </w:tabs>
            <w:jc w:val="center"/>
            <w:rPr>
              <w:caps/>
              <w:color w:val="FFFFFF" w:themeColor="background1"/>
            </w:rPr>
          </w:pPr>
        </w:p>
        <w:p w14:paraId="381E863C" w14:textId="77777777" w:rsidR="0059009B" w:rsidRPr="00AF7CAC" w:rsidRDefault="0059009B" w:rsidP="0059009B">
          <w:pPr>
            <w:tabs>
              <w:tab w:val="left" w:pos="1605"/>
            </w:tabs>
            <w:jc w:val="center"/>
            <w:rPr>
              <w:caps/>
              <w:color w:val="FFFFFF" w:themeColor="background1"/>
            </w:rPr>
          </w:pPr>
        </w:p>
        <w:p w14:paraId="40262F71" w14:textId="494A6B96" w:rsidR="0059009B" w:rsidRPr="00AF7CAC" w:rsidRDefault="00615517" w:rsidP="00615517">
          <w:pPr>
            <w:tabs>
              <w:tab w:val="left" w:pos="1605"/>
              <w:tab w:val="left" w:pos="3045"/>
              <w:tab w:val="left" w:pos="3510"/>
            </w:tabs>
            <w:rPr>
              <w:caps/>
              <w:color w:val="FFFFFF" w:themeColor="background1"/>
            </w:rPr>
          </w:pPr>
          <w:r>
            <w:rPr>
              <w:caps/>
              <w:color w:val="FFFFFF" w:themeColor="background1"/>
            </w:rPr>
            <w:tab/>
          </w:r>
          <w:r>
            <w:rPr>
              <w:caps/>
              <w:color w:val="FFFFFF" w:themeColor="background1"/>
            </w:rPr>
            <w:tab/>
          </w:r>
          <w:r>
            <w:rPr>
              <w:caps/>
              <w:color w:val="FFFFFF" w:themeColor="background1"/>
            </w:rPr>
            <w:tab/>
          </w:r>
        </w:p>
        <w:p w14:paraId="13F6E389" w14:textId="0E0FCEB3" w:rsidR="008A7464" w:rsidRPr="00AF7CAC" w:rsidRDefault="00615517" w:rsidP="00615517">
          <w:pPr>
            <w:tabs>
              <w:tab w:val="left" w:pos="1605"/>
              <w:tab w:val="left" w:pos="3825"/>
              <w:tab w:val="center" w:pos="4666"/>
            </w:tabs>
            <w:rPr>
              <w:rFonts w:ascii="Arial" w:hAnsi="Arial" w:cs="Arial"/>
              <w:color w:val="E36C0A" w:themeColor="accent6" w:themeShade="BF"/>
              <w:sz w:val="24"/>
              <w:szCs w:val="24"/>
            </w:rPr>
          </w:pPr>
          <w:r>
            <w:rPr>
              <w:rFonts w:ascii="Arial" w:hAnsi="Arial" w:cs="Arial"/>
              <w:color w:val="E36C0A" w:themeColor="accent6" w:themeShade="BF"/>
              <w:sz w:val="24"/>
              <w:szCs w:val="24"/>
            </w:rPr>
            <w:tab/>
          </w:r>
          <w:r>
            <w:rPr>
              <w:rFonts w:ascii="Arial" w:hAnsi="Arial" w:cs="Arial"/>
              <w:color w:val="E36C0A" w:themeColor="accent6" w:themeShade="BF"/>
              <w:sz w:val="24"/>
              <w:szCs w:val="24"/>
            </w:rPr>
            <w:tab/>
          </w:r>
          <w:r>
            <w:rPr>
              <w:rFonts w:ascii="Arial" w:hAnsi="Arial" w:cs="Arial"/>
              <w:color w:val="E36C0A" w:themeColor="accent6" w:themeShade="BF"/>
              <w:sz w:val="24"/>
              <w:szCs w:val="24"/>
            </w:rPr>
            <w:tab/>
          </w:r>
        </w:p>
      </w:sdtContent>
    </w:sdt>
    <w:sdt>
      <w:sdtPr>
        <w:rPr>
          <w:rFonts w:ascii="Arial Narrow" w:eastAsiaTheme="minorHAnsi" w:hAnsi="Arial Narrow" w:cs="Arial"/>
          <w:b w:val="0"/>
          <w:bCs w:val="0"/>
          <w:color w:val="auto"/>
          <w:sz w:val="20"/>
          <w:szCs w:val="20"/>
        </w:rPr>
        <w:id w:val="49129360"/>
        <w:docPartObj>
          <w:docPartGallery w:val="Table of Contents"/>
          <w:docPartUnique/>
        </w:docPartObj>
      </w:sdtPr>
      <w:sdtEndPr>
        <w:rPr>
          <w:rFonts w:asciiTheme="minorHAnsi" w:hAnsiTheme="minorHAnsi" w:cstheme="minorBidi"/>
          <w:sz w:val="22"/>
          <w:szCs w:val="22"/>
        </w:rPr>
      </w:sdtEndPr>
      <w:sdtContent>
        <w:p w14:paraId="0183BE50" w14:textId="77777777" w:rsidR="00955DCC" w:rsidRPr="00271379" w:rsidRDefault="00FE7312" w:rsidP="00955DCC">
          <w:pPr>
            <w:pStyle w:val="TOCHeading"/>
            <w:jc w:val="center"/>
            <w:rPr>
              <w:rFonts w:ascii="Arial" w:hAnsi="Arial" w:cs="Arial"/>
              <w:b w:val="0"/>
              <w:color w:val="auto"/>
              <w:sz w:val="20"/>
              <w:szCs w:val="20"/>
            </w:rPr>
          </w:pPr>
          <w:r w:rsidRPr="00445180">
            <w:rPr>
              <w:rFonts w:ascii="Arial" w:hAnsi="Arial" w:cs="Arial"/>
              <w:b w:val="0"/>
              <w:color w:val="auto"/>
              <w:szCs w:val="20"/>
            </w:rPr>
            <w:t>S A D R Ž A J</w:t>
          </w:r>
        </w:p>
        <w:p w14:paraId="178D5A53" w14:textId="77777777" w:rsidR="00677B60" w:rsidRDefault="00955DCC">
          <w:pPr>
            <w:pStyle w:val="TOC1"/>
            <w:rPr>
              <w:rFonts w:asciiTheme="minorHAnsi" w:eastAsiaTheme="minorEastAsia" w:hAnsiTheme="minorHAnsi" w:cstheme="minorBidi"/>
              <w:sz w:val="22"/>
              <w:szCs w:val="22"/>
              <w:lang w:val="en-US"/>
            </w:rPr>
          </w:pPr>
          <w:r w:rsidRPr="00AF7CAC">
            <w:rPr>
              <w:noProof w:val="0"/>
              <w:sz w:val="20"/>
              <w:szCs w:val="20"/>
              <w:lang w:val="hr-HR"/>
            </w:rPr>
            <w:fldChar w:fldCharType="begin"/>
          </w:r>
          <w:r w:rsidRPr="00AF7CAC">
            <w:rPr>
              <w:noProof w:val="0"/>
              <w:sz w:val="20"/>
              <w:szCs w:val="20"/>
              <w:lang w:val="hr-HR"/>
            </w:rPr>
            <w:instrText xml:space="preserve"> TOC \o "1-3" \h \z \u </w:instrText>
          </w:r>
          <w:r w:rsidRPr="00AF7CAC">
            <w:rPr>
              <w:noProof w:val="0"/>
              <w:sz w:val="20"/>
              <w:szCs w:val="20"/>
              <w:lang w:val="hr-HR"/>
            </w:rPr>
            <w:fldChar w:fldCharType="separate"/>
          </w:r>
          <w:hyperlink w:anchor="_Toc100823726" w:history="1">
            <w:r w:rsidR="00677B60" w:rsidRPr="003C1A9D">
              <w:rPr>
                <w:rStyle w:val="Hyperlink"/>
              </w:rPr>
              <w:t>SAŽETAK</w:t>
            </w:r>
            <w:r w:rsidR="00677B60">
              <w:rPr>
                <w:webHidden/>
              </w:rPr>
              <w:tab/>
            </w:r>
            <w:r w:rsidR="00677B60">
              <w:rPr>
                <w:webHidden/>
              </w:rPr>
              <w:fldChar w:fldCharType="begin"/>
            </w:r>
            <w:r w:rsidR="00677B60">
              <w:rPr>
                <w:webHidden/>
              </w:rPr>
              <w:instrText xml:space="preserve"> PAGEREF _Toc100823726 \h </w:instrText>
            </w:r>
            <w:r w:rsidR="00677B60">
              <w:rPr>
                <w:webHidden/>
              </w:rPr>
            </w:r>
            <w:r w:rsidR="00677B60">
              <w:rPr>
                <w:webHidden/>
              </w:rPr>
              <w:fldChar w:fldCharType="separate"/>
            </w:r>
            <w:r w:rsidR="00832522">
              <w:rPr>
                <w:webHidden/>
              </w:rPr>
              <w:t>1</w:t>
            </w:r>
            <w:r w:rsidR="00677B60">
              <w:rPr>
                <w:webHidden/>
              </w:rPr>
              <w:fldChar w:fldCharType="end"/>
            </w:r>
          </w:hyperlink>
        </w:p>
        <w:p w14:paraId="24CED614" w14:textId="77777777" w:rsidR="00677B60" w:rsidRDefault="00832522">
          <w:pPr>
            <w:pStyle w:val="TOC1"/>
            <w:rPr>
              <w:rFonts w:asciiTheme="minorHAnsi" w:eastAsiaTheme="minorEastAsia" w:hAnsiTheme="minorHAnsi" w:cstheme="minorBidi"/>
              <w:sz w:val="22"/>
              <w:szCs w:val="22"/>
              <w:lang w:val="en-US"/>
            </w:rPr>
          </w:pPr>
          <w:hyperlink w:anchor="_Toc100823727" w:history="1">
            <w:r w:rsidR="00677B60" w:rsidRPr="003C1A9D">
              <w:rPr>
                <w:rStyle w:val="Hyperlink"/>
              </w:rPr>
              <w:t>1.</w:t>
            </w:r>
            <w:r w:rsidR="00677B60">
              <w:rPr>
                <w:rFonts w:asciiTheme="minorHAnsi" w:eastAsiaTheme="minorEastAsia" w:hAnsiTheme="minorHAnsi" w:cstheme="minorBidi"/>
                <w:sz w:val="22"/>
                <w:szCs w:val="22"/>
                <w:lang w:val="en-US"/>
              </w:rPr>
              <w:tab/>
            </w:r>
            <w:r w:rsidR="00677B60" w:rsidRPr="003C1A9D">
              <w:rPr>
                <w:rStyle w:val="Hyperlink"/>
              </w:rPr>
              <w:t>PRAVNI I INSTITUCIONALNI OKVIR</w:t>
            </w:r>
            <w:r w:rsidR="00677B60">
              <w:rPr>
                <w:webHidden/>
              </w:rPr>
              <w:tab/>
            </w:r>
            <w:r w:rsidR="00677B60">
              <w:rPr>
                <w:webHidden/>
              </w:rPr>
              <w:fldChar w:fldCharType="begin"/>
            </w:r>
            <w:r w:rsidR="00677B60">
              <w:rPr>
                <w:webHidden/>
              </w:rPr>
              <w:instrText xml:space="preserve"> PAGEREF _Toc100823727 \h </w:instrText>
            </w:r>
            <w:r w:rsidR="00677B60">
              <w:rPr>
                <w:webHidden/>
              </w:rPr>
            </w:r>
            <w:r w:rsidR="00677B60">
              <w:rPr>
                <w:webHidden/>
              </w:rPr>
              <w:fldChar w:fldCharType="separate"/>
            </w:r>
            <w:r>
              <w:rPr>
                <w:webHidden/>
              </w:rPr>
              <w:t>1</w:t>
            </w:r>
            <w:r w:rsidR="00677B60">
              <w:rPr>
                <w:webHidden/>
              </w:rPr>
              <w:fldChar w:fldCharType="end"/>
            </w:r>
          </w:hyperlink>
        </w:p>
        <w:p w14:paraId="2DF79263" w14:textId="77777777" w:rsidR="00677B60" w:rsidRDefault="00832522">
          <w:pPr>
            <w:pStyle w:val="TOC2"/>
            <w:rPr>
              <w:rFonts w:eastAsiaTheme="minorEastAsia"/>
              <w:noProof/>
              <w:lang w:val="en-US"/>
            </w:rPr>
          </w:pPr>
          <w:hyperlink w:anchor="_Toc100823728" w:history="1">
            <w:r w:rsidR="00677B60" w:rsidRPr="003C1A9D">
              <w:rPr>
                <w:rStyle w:val="Hyperlink"/>
                <w:rFonts w:ascii="Arial" w:hAnsi="Arial" w:cs="Arial"/>
                <w:noProof/>
              </w:rPr>
              <w:t>1.1.</w:t>
            </w:r>
            <w:r w:rsidR="00677B60">
              <w:rPr>
                <w:rFonts w:eastAsiaTheme="minorEastAsia"/>
                <w:noProof/>
                <w:lang w:val="en-US"/>
              </w:rPr>
              <w:tab/>
            </w:r>
            <w:r w:rsidR="00677B60" w:rsidRPr="003C1A9D">
              <w:rPr>
                <w:rStyle w:val="Hyperlink"/>
                <w:rFonts w:ascii="Arial" w:hAnsi="Arial" w:cs="Arial"/>
                <w:noProof/>
              </w:rPr>
              <w:t>Pravni okvir</w:t>
            </w:r>
            <w:r w:rsidR="00677B60">
              <w:rPr>
                <w:noProof/>
                <w:webHidden/>
              </w:rPr>
              <w:tab/>
            </w:r>
            <w:r w:rsidR="00677B60">
              <w:rPr>
                <w:noProof/>
                <w:webHidden/>
              </w:rPr>
              <w:fldChar w:fldCharType="begin"/>
            </w:r>
            <w:r w:rsidR="00677B60">
              <w:rPr>
                <w:noProof/>
                <w:webHidden/>
              </w:rPr>
              <w:instrText xml:space="preserve"> PAGEREF _Toc100823728 \h </w:instrText>
            </w:r>
            <w:r w:rsidR="00677B60">
              <w:rPr>
                <w:noProof/>
                <w:webHidden/>
              </w:rPr>
            </w:r>
            <w:r w:rsidR="00677B60">
              <w:rPr>
                <w:noProof/>
                <w:webHidden/>
              </w:rPr>
              <w:fldChar w:fldCharType="separate"/>
            </w:r>
            <w:r>
              <w:rPr>
                <w:noProof/>
                <w:webHidden/>
              </w:rPr>
              <w:t>1</w:t>
            </w:r>
            <w:r w:rsidR="00677B60">
              <w:rPr>
                <w:noProof/>
                <w:webHidden/>
              </w:rPr>
              <w:fldChar w:fldCharType="end"/>
            </w:r>
          </w:hyperlink>
        </w:p>
        <w:p w14:paraId="0DB7A0A2" w14:textId="77777777" w:rsidR="00677B60" w:rsidRDefault="00832522">
          <w:pPr>
            <w:pStyle w:val="TOC2"/>
            <w:rPr>
              <w:rFonts w:eastAsiaTheme="minorEastAsia"/>
              <w:noProof/>
              <w:lang w:val="en-US"/>
            </w:rPr>
          </w:pPr>
          <w:hyperlink w:anchor="_Toc100823729" w:history="1">
            <w:r w:rsidR="00677B60" w:rsidRPr="003C1A9D">
              <w:rPr>
                <w:rStyle w:val="Hyperlink"/>
                <w:rFonts w:ascii="Arial" w:hAnsi="Arial" w:cs="Arial"/>
                <w:noProof/>
              </w:rPr>
              <w:t>1.2.</w:t>
            </w:r>
            <w:r w:rsidR="00677B60">
              <w:rPr>
                <w:rFonts w:eastAsiaTheme="minorEastAsia"/>
                <w:noProof/>
                <w:lang w:val="en-US"/>
              </w:rPr>
              <w:tab/>
            </w:r>
            <w:r w:rsidR="00677B60" w:rsidRPr="003C1A9D">
              <w:rPr>
                <w:rStyle w:val="Hyperlink"/>
                <w:rFonts w:ascii="Arial" w:hAnsi="Arial" w:cs="Arial"/>
                <w:noProof/>
              </w:rPr>
              <w:t>Institucionalni okvir</w:t>
            </w:r>
            <w:r w:rsidR="00677B60">
              <w:rPr>
                <w:noProof/>
                <w:webHidden/>
              </w:rPr>
              <w:tab/>
            </w:r>
            <w:r w:rsidR="00677B60">
              <w:rPr>
                <w:noProof/>
                <w:webHidden/>
              </w:rPr>
              <w:fldChar w:fldCharType="begin"/>
            </w:r>
            <w:r w:rsidR="00677B60">
              <w:rPr>
                <w:noProof/>
                <w:webHidden/>
              </w:rPr>
              <w:instrText xml:space="preserve"> PAGEREF _Toc100823729 \h </w:instrText>
            </w:r>
            <w:r w:rsidR="00677B60">
              <w:rPr>
                <w:noProof/>
                <w:webHidden/>
              </w:rPr>
            </w:r>
            <w:r w:rsidR="00677B60">
              <w:rPr>
                <w:noProof/>
                <w:webHidden/>
              </w:rPr>
              <w:fldChar w:fldCharType="separate"/>
            </w:r>
            <w:r>
              <w:rPr>
                <w:noProof/>
                <w:webHidden/>
              </w:rPr>
              <w:t>1</w:t>
            </w:r>
            <w:r w:rsidR="00677B60">
              <w:rPr>
                <w:noProof/>
                <w:webHidden/>
              </w:rPr>
              <w:fldChar w:fldCharType="end"/>
            </w:r>
          </w:hyperlink>
        </w:p>
        <w:p w14:paraId="589A10F6" w14:textId="77777777" w:rsidR="00677B60" w:rsidRDefault="00832522">
          <w:pPr>
            <w:pStyle w:val="TOC1"/>
            <w:rPr>
              <w:rFonts w:asciiTheme="minorHAnsi" w:eastAsiaTheme="minorEastAsia" w:hAnsiTheme="minorHAnsi" w:cstheme="minorBidi"/>
              <w:sz w:val="22"/>
              <w:szCs w:val="22"/>
              <w:lang w:val="en-US"/>
            </w:rPr>
          </w:pPr>
          <w:hyperlink w:anchor="_Toc100823730" w:history="1">
            <w:r w:rsidR="00677B60" w:rsidRPr="003C1A9D">
              <w:rPr>
                <w:rStyle w:val="Hyperlink"/>
              </w:rPr>
              <w:t>2.</w:t>
            </w:r>
            <w:r w:rsidR="00677B60">
              <w:rPr>
                <w:rFonts w:asciiTheme="minorHAnsi" w:eastAsiaTheme="minorEastAsia" w:hAnsiTheme="minorHAnsi" w:cstheme="minorBidi"/>
                <w:sz w:val="22"/>
                <w:szCs w:val="22"/>
                <w:lang w:val="en-US"/>
              </w:rPr>
              <w:tab/>
            </w:r>
            <w:r w:rsidR="00677B60" w:rsidRPr="003C1A9D">
              <w:rPr>
                <w:rStyle w:val="Hyperlink"/>
              </w:rPr>
              <w:t>CILJEVI I OBUHVAT STRATEGIJE UPRAVLJANJA DUGOM</w:t>
            </w:r>
            <w:r w:rsidR="00677B60">
              <w:rPr>
                <w:webHidden/>
              </w:rPr>
              <w:tab/>
            </w:r>
            <w:r w:rsidR="00677B60">
              <w:rPr>
                <w:webHidden/>
              </w:rPr>
              <w:fldChar w:fldCharType="begin"/>
            </w:r>
            <w:r w:rsidR="00677B60">
              <w:rPr>
                <w:webHidden/>
              </w:rPr>
              <w:instrText xml:space="preserve"> PAGEREF _Toc100823730 \h </w:instrText>
            </w:r>
            <w:r w:rsidR="00677B60">
              <w:rPr>
                <w:webHidden/>
              </w:rPr>
            </w:r>
            <w:r w:rsidR="00677B60">
              <w:rPr>
                <w:webHidden/>
              </w:rPr>
              <w:fldChar w:fldCharType="separate"/>
            </w:r>
            <w:r>
              <w:rPr>
                <w:webHidden/>
              </w:rPr>
              <w:t>2</w:t>
            </w:r>
            <w:r w:rsidR="00677B60">
              <w:rPr>
                <w:webHidden/>
              </w:rPr>
              <w:fldChar w:fldCharType="end"/>
            </w:r>
          </w:hyperlink>
        </w:p>
        <w:p w14:paraId="29898A5B" w14:textId="77777777" w:rsidR="00677B60" w:rsidRDefault="00832522">
          <w:pPr>
            <w:pStyle w:val="TOC2"/>
            <w:rPr>
              <w:rFonts w:eastAsiaTheme="minorEastAsia"/>
              <w:noProof/>
              <w:lang w:val="en-US"/>
            </w:rPr>
          </w:pPr>
          <w:hyperlink w:anchor="_Toc100823731" w:history="1">
            <w:r w:rsidR="00677B60" w:rsidRPr="003C1A9D">
              <w:rPr>
                <w:rStyle w:val="Hyperlink"/>
                <w:rFonts w:ascii="Arial" w:hAnsi="Arial" w:cs="Arial"/>
                <w:noProof/>
              </w:rPr>
              <w:t>2.1.</w:t>
            </w:r>
            <w:r w:rsidR="00677B60">
              <w:rPr>
                <w:rFonts w:eastAsiaTheme="minorEastAsia"/>
                <w:noProof/>
                <w:lang w:val="en-US"/>
              </w:rPr>
              <w:tab/>
            </w:r>
            <w:r w:rsidR="00677B60" w:rsidRPr="003C1A9D">
              <w:rPr>
                <w:rStyle w:val="Hyperlink"/>
                <w:rFonts w:ascii="Arial" w:hAnsi="Arial" w:cs="Arial"/>
                <w:noProof/>
              </w:rPr>
              <w:t>Ciljevi upravljanja dugom</w:t>
            </w:r>
            <w:r w:rsidR="00677B60">
              <w:rPr>
                <w:noProof/>
                <w:webHidden/>
              </w:rPr>
              <w:tab/>
            </w:r>
            <w:r w:rsidR="00677B60">
              <w:rPr>
                <w:noProof/>
                <w:webHidden/>
              </w:rPr>
              <w:fldChar w:fldCharType="begin"/>
            </w:r>
            <w:r w:rsidR="00677B60">
              <w:rPr>
                <w:noProof/>
                <w:webHidden/>
              </w:rPr>
              <w:instrText xml:space="preserve"> PAGEREF _Toc100823731 \h </w:instrText>
            </w:r>
            <w:r w:rsidR="00677B60">
              <w:rPr>
                <w:noProof/>
                <w:webHidden/>
              </w:rPr>
            </w:r>
            <w:r w:rsidR="00677B60">
              <w:rPr>
                <w:noProof/>
                <w:webHidden/>
              </w:rPr>
              <w:fldChar w:fldCharType="separate"/>
            </w:r>
            <w:r>
              <w:rPr>
                <w:noProof/>
                <w:webHidden/>
              </w:rPr>
              <w:t>2</w:t>
            </w:r>
            <w:r w:rsidR="00677B60">
              <w:rPr>
                <w:noProof/>
                <w:webHidden/>
              </w:rPr>
              <w:fldChar w:fldCharType="end"/>
            </w:r>
          </w:hyperlink>
        </w:p>
        <w:p w14:paraId="1C8D887F" w14:textId="77777777" w:rsidR="00677B60" w:rsidRDefault="00832522">
          <w:pPr>
            <w:pStyle w:val="TOC2"/>
            <w:rPr>
              <w:rFonts w:eastAsiaTheme="minorEastAsia"/>
              <w:noProof/>
              <w:lang w:val="en-US"/>
            </w:rPr>
          </w:pPr>
          <w:hyperlink w:anchor="_Toc100823732" w:history="1">
            <w:r w:rsidR="00677B60" w:rsidRPr="003C1A9D">
              <w:rPr>
                <w:rStyle w:val="Hyperlink"/>
                <w:rFonts w:ascii="Arial" w:hAnsi="Arial" w:cs="Arial"/>
                <w:noProof/>
              </w:rPr>
              <w:t>2.2.</w:t>
            </w:r>
            <w:r w:rsidR="00677B60">
              <w:rPr>
                <w:rFonts w:eastAsiaTheme="minorEastAsia"/>
                <w:noProof/>
                <w:lang w:val="en-US"/>
              </w:rPr>
              <w:tab/>
            </w:r>
            <w:r w:rsidR="00677B60" w:rsidRPr="003C1A9D">
              <w:rPr>
                <w:rStyle w:val="Hyperlink"/>
                <w:rFonts w:ascii="Arial" w:hAnsi="Arial" w:cs="Arial"/>
                <w:noProof/>
              </w:rPr>
              <w:t>Obuhvat Strategije</w:t>
            </w:r>
            <w:r w:rsidR="00677B60">
              <w:rPr>
                <w:noProof/>
                <w:webHidden/>
              </w:rPr>
              <w:tab/>
            </w:r>
            <w:r w:rsidR="00677B60">
              <w:rPr>
                <w:noProof/>
                <w:webHidden/>
              </w:rPr>
              <w:fldChar w:fldCharType="begin"/>
            </w:r>
            <w:r w:rsidR="00677B60">
              <w:rPr>
                <w:noProof/>
                <w:webHidden/>
              </w:rPr>
              <w:instrText xml:space="preserve"> PAGEREF _Toc100823732 \h </w:instrText>
            </w:r>
            <w:r w:rsidR="00677B60">
              <w:rPr>
                <w:noProof/>
                <w:webHidden/>
              </w:rPr>
            </w:r>
            <w:r w:rsidR="00677B60">
              <w:rPr>
                <w:noProof/>
                <w:webHidden/>
              </w:rPr>
              <w:fldChar w:fldCharType="separate"/>
            </w:r>
            <w:r>
              <w:rPr>
                <w:noProof/>
                <w:webHidden/>
              </w:rPr>
              <w:t>2</w:t>
            </w:r>
            <w:r w:rsidR="00677B60">
              <w:rPr>
                <w:noProof/>
                <w:webHidden/>
              </w:rPr>
              <w:fldChar w:fldCharType="end"/>
            </w:r>
          </w:hyperlink>
        </w:p>
        <w:p w14:paraId="7CBA35E4" w14:textId="690D383E" w:rsidR="00677B60" w:rsidRDefault="00832522">
          <w:pPr>
            <w:pStyle w:val="TOC1"/>
            <w:rPr>
              <w:rFonts w:asciiTheme="minorHAnsi" w:eastAsiaTheme="minorEastAsia" w:hAnsiTheme="minorHAnsi" w:cstheme="minorBidi"/>
              <w:sz w:val="22"/>
              <w:szCs w:val="22"/>
              <w:lang w:val="en-US"/>
            </w:rPr>
          </w:pPr>
          <w:hyperlink w:anchor="_Toc100823733" w:history="1">
            <w:r w:rsidR="00677B60" w:rsidRPr="003C1A9D">
              <w:rPr>
                <w:rStyle w:val="Hyperlink"/>
              </w:rPr>
              <w:t>3.</w:t>
            </w:r>
            <w:r w:rsidR="00677B60">
              <w:rPr>
                <w:rFonts w:asciiTheme="minorHAnsi" w:eastAsiaTheme="minorEastAsia" w:hAnsiTheme="minorHAnsi" w:cstheme="minorBidi"/>
                <w:sz w:val="22"/>
                <w:szCs w:val="22"/>
                <w:lang w:val="en-US"/>
              </w:rPr>
              <w:tab/>
            </w:r>
            <w:r w:rsidR="00677B60" w:rsidRPr="003C1A9D">
              <w:rPr>
                <w:rStyle w:val="Hyperlink"/>
              </w:rPr>
              <w:t>PORTFOLI</w:t>
            </w:r>
            <w:r w:rsidR="009A78EF">
              <w:rPr>
                <w:rStyle w:val="Hyperlink"/>
              </w:rPr>
              <w:t>J</w:t>
            </w:r>
            <w:r w:rsidR="00677B60" w:rsidRPr="003C1A9D">
              <w:rPr>
                <w:rStyle w:val="Hyperlink"/>
              </w:rPr>
              <w:t xml:space="preserve"> DUGA VLADE FEDERACIJE BIH</w:t>
            </w:r>
            <w:r w:rsidR="00677B60">
              <w:rPr>
                <w:webHidden/>
              </w:rPr>
              <w:tab/>
            </w:r>
            <w:r w:rsidR="00677B60">
              <w:rPr>
                <w:webHidden/>
              </w:rPr>
              <w:fldChar w:fldCharType="begin"/>
            </w:r>
            <w:r w:rsidR="00677B60">
              <w:rPr>
                <w:webHidden/>
              </w:rPr>
              <w:instrText xml:space="preserve"> PAGEREF _Toc100823733 \h </w:instrText>
            </w:r>
            <w:r w:rsidR="00677B60">
              <w:rPr>
                <w:webHidden/>
              </w:rPr>
            </w:r>
            <w:r w:rsidR="00677B60">
              <w:rPr>
                <w:webHidden/>
              </w:rPr>
              <w:fldChar w:fldCharType="separate"/>
            </w:r>
            <w:r>
              <w:rPr>
                <w:webHidden/>
              </w:rPr>
              <w:t>2</w:t>
            </w:r>
            <w:r w:rsidR="00677B60">
              <w:rPr>
                <w:webHidden/>
              </w:rPr>
              <w:fldChar w:fldCharType="end"/>
            </w:r>
          </w:hyperlink>
        </w:p>
        <w:p w14:paraId="0EB27028" w14:textId="009E03F8" w:rsidR="00677B60" w:rsidRDefault="00832522">
          <w:pPr>
            <w:pStyle w:val="TOC2"/>
            <w:rPr>
              <w:rFonts w:eastAsiaTheme="minorEastAsia"/>
              <w:noProof/>
              <w:lang w:val="en-US"/>
            </w:rPr>
          </w:pPr>
          <w:hyperlink w:anchor="_Toc100823734" w:history="1">
            <w:r w:rsidR="00677B60" w:rsidRPr="003C1A9D">
              <w:rPr>
                <w:rStyle w:val="Hyperlink"/>
                <w:rFonts w:ascii="Arial" w:hAnsi="Arial" w:cs="Arial"/>
                <w:noProof/>
              </w:rPr>
              <w:t>3.1.</w:t>
            </w:r>
            <w:r w:rsidR="00677B60">
              <w:rPr>
                <w:rFonts w:eastAsiaTheme="minorEastAsia"/>
                <w:noProof/>
                <w:lang w:val="en-US"/>
              </w:rPr>
              <w:tab/>
            </w:r>
            <w:r w:rsidR="00677B60" w:rsidRPr="003C1A9D">
              <w:rPr>
                <w:rStyle w:val="Hyperlink"/>
                <w:rFonts w:ascii="Arial" w:hAnsi="Arial" w:cs="Arial"/>
                <w:noProof/>
              </w:rPr>
              <w:t>Struktura vanjskog duga Federacije BiH na dan 31.</w:t>
            </w:r>
            <w:r w:rsidR="009A78EF">
              <w:rPr>
                <w:rStyle w:val="Hyperlink"/>
                <w:rFonts w:ascii="Arial" w:hAnsi="Arial" w:cs="Arial"/>
                <w:noProof/>
              </w:rPr>
              <w:t xml:space="preserve"> </w:t>
            </w:r>
            <w:r w:rsidR="00677B60" w:rsidRPr="003C1A9D">
              <w:rPr>
                <w:rStyle w:val="Hyperlink"/>
                <w:rFonts w:ascii="Arial" w:hAnsi="Arial" w:cs="Arial"/>
                <w:noProof/>
              </w:rPr>
              <w:t>12.</w:t>
            </w:r>
            <w:r w:rsidR="009A78EF">
              <w:rPr>
                <w:rStyle w:val="Hyperlink"/>
                <w:rFonts w:ascii="Arial" w:hAnsi="Arial" w:cs="Arial"/>
                <w:noProof/>
              </w:rPr>
              <w:t xml:space="preserve"> </w:t>
            </w:r>
            <w:r w:rsidR="00677B60" w:rsidRPr="003C1A9D">
              <w:rPr>
                <w:rStyle w:val="Hyperlink"/>
                <w:rFonts w:ascii="Arial" w:hAnsi="Arial" w:cs="Arial"/>
                <w:noProof/>
              </w:rPr>
              <w:t>2021.</w:t>
            </w:r>
            <w:r w:rsidR="00677B60">
              <w:rPr>
                <w:noProof/>
                <w:webHidden/>
              </w:rPr>
              <w:tab/>
            </w:r>
            <w:r w:rsidR="00677B60">
              <w:rPr>
                <w:noProof/>
                <w:webHidden/>
              </w:rPr>
              <w:fldChar w:fldCharType="begin"/>
            </w:r>
            <w:r w:rsidR="00677B60">
              <w:rPr>
                <w:noProof/>
                <w:webHidden/>
              </w:rPr>
              <w:instrText xml:space="preserve"> PAGEREF _Toc100823734 \h </w:instrText>
            </w:r>
            <w:r w:rsidR="00677B60">
              <w:rPr>
                <w:noProof/>
                <w:webHidden/>
              </w:rPr>
            </w:r>
            <w:r w:rsidR="00677B60">
              <w:rPr>
                <w:noProof/>
                <w:webHidden/>
              </w:rPr>
              <w:fldChar w:fldCharType="separate"/>
            </w:r>
            <w:r>
              <w:rPr>
                <w:noProof/>
                <w:webHidden/>
              </w:rPr>
              <w:t>3</w:t>
            </w:r>
            <w:r w:rsidR="00677B60">
              <w:rPr>
                <w:noProof/>
                <w:webHidden/>
              </w:rPr>
              <w:fldChar w:fldCharType="end"/>
            </w:r>
          </w:hyperlink>
        </w:p>
        <w:p w14:paraId="6E85599D" w14:textId="77777777" w:rsidR="00677B60" w:rsidRDefault="00832522">
          <w:pPr>
            <w:pStyle w:val="TOC3"/>
            <w:rPr>
              <w:rFonts w:eastAsiaTheme="minorEastAsia"/>
              <w:noProof/>
              <w:lang w:val="en-US"/>
            </w:rPr>
          </w:pPr>
          <w:hyperlink w:anchor="_Toc100823736" w:history="1">
            <w:r w:rsidR="00677B60" w:rsidRPr="003C1A9D">
              <w:rPr>
                <w:rStyle w:val="Hyperlink"/>
                <w:rFonts w:ascii="Arial" w:hAnsi="Arial" w:cs="Arial"/>
                <w:noProof/>
              </w:rPr>
              <w:t>3.1.1.</w:t>
            </w:r>
            <w:r w:rsidR="00677B60">
              <w:rPr>
                <w:rFonts w:eastAsiaTheme="minorEastAsia"/>
                <w:noProof/>
                <w:lang w:val="en-US"/>
              </w:rPr>
              <w:tab/>
            </w:r>
            <w:r w:rsidR="00677B60" w:rsidRPr="003C1A9D">
              <w:rPr>
                <w:rStyle w:val="Hyperlink"/>
                <w:rFonts w:ascii="Arial" w:hAnsi="Arial" w:cs="Arial"/>
                <w:noProof/>
              </w:rPr>
              <w:t>Struktura vanjskog duga Federacije BiH po kreditorima</w:t>
            </w:r>
            <w:r w:rsidR="00677B60">
              <w:rPr>
                <w:noProof/>
                <w:webHidden/>
              </w:rPr>
              <w:tab/>
            </w:r>
            <w:r w:rsidR="00677B60">
              <w:rPr>
                <w:noProof/>
                <w:webHidden/>
              </w:rPr>
              <w:fldChar w:fldCharType="begin"/>
            </w:r>
            <w:r w:rsidR="00677B60">
              <w:rPr>
                <w:noProof/>
                <w:webHidden/>
              </w:rPr>
              <w:instrText xml:space="preserve"> PAGEREF _Toc100823736 \h </w:instrText>
            </w:r>
            <w:r w:rsidR="00677B60">
              <w:rPr>
                <w:noProof/>
                <w:webHidden/>
              </w:rPr>
            </w:r>
            <w:r w:rsidR="00677B60">
              <w:rPr>
                <w:noProof/>
                <w:webHidden/>
              </w:rPr>
              <w:fldChar w:fldCharType="separate"/>
            </w:r>
            <w:r>
              <w:rPr>
                <w:noProof/>
                <w:webHidden/>
              </w:rPr>
              <w:t>3</w:t>
            </w:r>
            <w:r w:rsidR="00677B60">
              <w:rPr>
                <w:noProof/>
                <w:webHidden/>
              </w:rPr>
              <w:fldChar w:fldCharType="end"/>
            </w:r>
          </w:hyperlink>
        </w:p>
        <w:p w14:paraId="0CCBC6E3" w14:textId="77777777" w:rsidR="00677B60" w:rsidRDefault="00832522">
          <w:pPr>
            <w:pStyle w:val="TOC3"/>
            <w:rPr>
              <w:rFonts w:eastAsiaTheme="minorEastAsia"/>
              <w:noProof/>
              <w:lang w:val="en-US"/>
            </w:rPr>
          </w:pPr>
          <w:hyperlink w:anchor="_Toc100823740" w:history="1">
            <w:r w:rsidR="00677B60" w:rsidRPr="003C1A9D">
              <w:rPr>
                <w:rStyle w:val="Hyperlink"/>
                <w:rFonts w:ascii="Arial" w:hAnsi="Arial" w:cs="Arial"/>
                <w:noProof/>
              </w:rPr>
              <w:t>3.1.2.</w:t>
            </w:r>
            <w:r w:rsidR="00677B60">
              <w:rPr>
                <w:rFonts w:eastAsiaTheme="minorEastAsia"/>
                <w:noProof/>
                <w:lang w:val="en-US"/>
              </w:rPr>
              <w:tab/>
            </w:r>
            <w:r w:rsidR="00677B60" w:rsidRPr="003C1A9D">
              <w:rPr>
                <w:rStyle w:val="Hyperlink"/>
                <w:rFonts w:ascii="Arial" w:hAnsi="Arial" w:cs="Arial"/>
                <w:noProof/>
              </w:rPr>
              <w:t>Valutna struktura vanjskog duga Federacije BiH</w:t>
            </w:r>
            <w:r w:rsidR="00677B60">
              <w:rPr>
                <w:noProof/>
                <w:webHidden/>
              </w:rPr>
              <w:tab/>
            </w:r>
            <w:r w:rsidR="00677B60">
              <w:rPr>
                <w:noProof/>
                <w:webHidden/>
              </w:rPr>
              <w:fldChar w:fldCharType="begin"/>
            </w:r>
            <w:r w:rsidR="00677B60">
              <w:rPr>
                <w:noProof/>
                <w:webHidden/>
              </w:rPr>
              <w:instrText xml:space="preserve"> PAGEREF _Toc100823740 \h </w:instrText>
            </w:r>
            <w:r w:rsidR="00677B60">
              <w:rPr>
                <w:noProof/>
                <w:webHidden/>
              </w:rPr>
            </w:r>
            <w:r w:rsidR="00677B60">
              <w:rPr>
                <w:noProof/>
                <w:webHidden/>
              </w:rPr>
              <w:fldChar w:fldCharType="separate"/>
            </w:r>
            <w:r>
              <w:rPr>
                <w:noProof/>
                <w:webHidden/>
              </w:rPr>
              <w:t>4</w:t>
            </w:r>
            <w:r w:rsidR="00677B60">
              <w:rPr>
                <w:noProof/>
                <w:webHidden/>
              </w:rPr>
              <w:fldChar w:fldCharType="end"/>
            </w:r>
          </w:hyperlink>
        </w:p>
        <w:p w14:paraId="0099A6D8" w14:textId="77777777" w:rsidR="00677B60" w:rsidRDefault="00832522">
          <w:pPr>
            <w:pStyle w:val="TOC3"/>
            <w:rPr>
              <w:rFonts w:eastAsiaTheme="minorEastAsia"/>
              <w:noProof/>
              <w:lang w:val="en-US"/>
            </w:rPr>
          </w:pPr>
          <w:hyperlink w:anchor="_Toc100823741" w:history="1">
            <w:r w:rsidR="00677B60" w:rsidRPr="003C1A9D">
              <w:rPr>
                <w:rStyle w:val="Hyperlink"/>
                <w:rFonts w:ascii="Arial" w:hAnsi="Arial" w:cs="Arial"/>
                <w:noProof/>
              </w:rPr>
              <w:t>3.1.3.</w:t>
            </w:r>
            <w:r w:rsidR="00677B60">
              <w:rPr>
                <w:rFonts w:eastAsiaTheme="minorEastAsia"/>
                <w:noProof/>
                <w:lang w:val="en-US"/>
              </w:rPr>
              <w:tab/>
            </w:r>
            <w:r w:rsidR="00677B60" w:rsidRPr="003C1A9D">
              <w:rPr>
                <w:rStyle w:val="Hyperlink"/>
                <w:rFonts w:ascii="Arial" w:hAnsi="Arial" w:cs="Arial"/>
                <w:noProof/>
              </w:rPr>
              <w:t>Kamatna struktura vanjskog duga Federacije BiH</w:t>
            </w:r>
            <w:r w:rsidR="00677B60">
              <w:rPr>
                <w:noProof/>
                <w:webHidden/>
              </w:rPr>
              <w:tab/>
            </w:r>
            <w:r w:rsidR="00677B60">
              <w:rPr>
                <w:noProof/>
                <w:webHidden/>
              </w:rPr>
              <w:fldChar w:fldCharType="begin"/>
            </w:r>
            <w:r w:rsidR="00677B60">
              <w:rPr>
                <w:noProof/>
                <w:webHidden/>
              </w:rPr>
              <w:instrText xml:space="preserve"> PAGEREF _Toc100823741 \h </w:instrText>
            </w:r>
            <w:r w:rsidR="00677B60">
              <w:rPr>
                <w:noProof/>
                <w:webHidden/>
              </w:rPr>
            </w:r>
            <w:r w:rsidR="00677B60">
              <w:rPr>
                <w:noProof/>
                <w:webHidden/>
              </w:rPr>
              <w:fldChar w:fldCharType="separate"/>
            </w:r>
            <w:r>
              <w:rPr>
                <w:noProof/>
                <w:webHidden/>
              </w:rPr>
              <w:t>4</w:t>
            </w:r>
            <w:r w:rsidR="00677B60">
              <w:rPr>
                <w:noProof/>
                <w:webHidden/>
              </w:rPr>
              <w:fldChar w:fldCharType="end"/>
            </w:r>
          </w:hyperlink>
        </w:p>
        <w:p w14:paraId="21A25EAC" w14:textId="31EEF0D4" w:rsidR="00677B60" w:rsidRDefault="00832522">
          <w:pPr>
            <w:pStyle w:val="TOC2"/>
            <w:rPr>
              <w:rFonts w:eastAsiaTheme="minorEastAsia"/>
              <w:noProof/>
              <w:lang w:val="en-US"/>
            </w:rPr>
          </w:pPr>
          <w:hyperlink w:anchor="_Toc100823745" w:history="1">
            <w:r w:rsidR="00677B60" w:rsidRPr="003C1A9D">
              <w:rPr>
                <w:rStyle w:val="Hyperlink"/>
                <w:rFonts w:ascii="Arial" w:hAnsi="Arial" w:cs="Arial"/>
                <w:noProof/>
              </w:rPr>
              <w:t>3.2.</w:t>
            </w:r>
            <w:r w:rsidR="00677B60">
              <w:rPr>
                <w:rFonts w:eastAsiaTheme="minorEastAsia"/>
                <w:noProof/>
                <w:lang w:val="en-US"/>
              </w:rPr>
              <w:tab/>
            </w:r>
            <w:r w:rsidR="00677B60" w:rsidRPr="003C1A9D">
              <w:rPr>
                <w:rStyle w:val="Hyperlink"/>
                <w:rFonts w:ascii="Arial" w:hAnsi="Arial" w:cs="Arial"/>
                <w:noProof/>
              </w:rPr>
              <w:t xml:space="preserve">Struktura </w:t>
            </w:r>
            <w:r w:rsidR="009A78EF">
              <w:rPr>
                <w:rStyle w:val="Hyperlink"/>
                <w:rFonts w:ascii="Arial" w:hAnsi="Arial" w:cs="Arial"/>
                <w:noProof/>
              </w:rPr>
              <w:t>unutarnjeg</w:t>
            </w:r>
            <w:r w:rsidR="00677B60" w:rsidRPr="003C1A9D">
              <w:rPr>
                <w:rStyle w:val="Hyperlink"/>
                <w:rFonts w:ascii="Arial" w:hAnsi="Arial" w:cs="Arial"/>
                <w:noProof/>
              </w:rPr>
              <w:t xml:space="preserve"> duga Federacije BiH na dan 31.12.2021.</w:t>
            </w:r>
            <w:r w:rsidR="00677B60">
              <w:rPr>
                <w:noProof/>
                <w:webHidden/>
              </w:rPr>
              <w:tab/>
            </w:r>
            <w:r w:rsidR="00677B60">
              <w:rPr>
                <w:noProof/>
                <w:webHidden/>
              </w:rPr>
              <w:fldChar w:fldCharType="begin"/>
            </w:r>
            <w:r w:rsidR="00677B60">
              <w:rPr>
                <w:noProof/>
                <w:webHidden/>
              </w:rPr>
              <w:instrText xml:space="preserve"> PAGEREF _Toc100823745 \h </w:instrText>
            </w:r>
            <w:r w:rsidR="00677B60">
              <w:rPr>
                <w:noProof/>
                <w:webHidden/>
              </w:rPr>
            </w:r>
            <w:r w:rsidR="00677B60">
              <w:rPr>
                <w:noProof/>
                <w:webHidden/>
              </w:rPr>
              <w:fldChar w:fldCharType="separate"/>
            </w:r>
            <w:r>
              <w:rPr>
                <w:noProof/>
                <w:webHidden/>
              </w:rPr>
              <w:t>5</w:t>
            </w:r>
            <w:r w:rsidR="00677B60">
              <w:rPr>
                <w:noProof/>
                <w:webHidden/>
              </w:rPr>
              <w:fldChar w:fldCharType="end"/>
            </w:r>
          </w:hyperlink>
        </w:p>
        <w:p w14:paraId="6D16BAC8" w14:textId="2875CA0D" w:rsidR="00677B60" w:rsidRDefault="00832522">
          <w:pPr>
            <w:pStyle w:val="TOC3"/>
            <w:rPr>
              <w:rFonts w:eastAsiaTheme="minorEastAsia"/>
              <w:noProof/>
              <w:lang w:val="en-US"/>
            </w:rPr>
          </w:pPr>
          <w:hyperlink w:anchor="_Toc100823746" w:history="1">
            <w:r w:rsidR="00677B60" w:rsidRPr="003C1A9D">
              <w:rPr>
                <w:rStyle w:val="Hyperlink"/>
                <w:rFonts w:ascii="Arial" w:hAnsi="Arial" w:cs="Arial"/>
                <w:noProof/>
              </w:rPr>
              <w:t>3.2.1.</w:t>
            </w:r>
            <w:r w:rsidR="00677B60">
              <w:rPr>
                <w:rFonts w:eastAsiaTheme="minorEastAsia"/>
                <w:noProof/>
                <w:lang w:val="en-US"/>
              </w:rPr>
              <w:tab/>
            </w:r>
            <w:r w:rsidR="00677B60" w:rsidRPr="003C1A9D">
              <w:rPr>
                <w:rStyle w:val="Hyperlink"/>
                <w:rFonts w:ascii="Arial" w:hAnsi="Arial" w:cs="Arial"/>
                <w:noProof/>
              </w:rPr>
              <w:t xml:space="preserve">Kamatna struktura </w:t>
            </w:r>
            <w:r w:rsidR="009A78EF">
              <w:rPr>
                <w:rStyle w:val="Hyperlink"/>
                <w:rFonts w:ascii="Arial" w:hAnsi="Arial" w:cs="Arial"/>
                <w:noProof/>
              </w:rPr>
              <w:t>unutarnjeg</w:t>
            </w:r>
            <w:r w:rsidR="00677B60" w:rsidRPr="003C1A9D">
              <w:rPr>
                <w:rStyle w:val="Hyperlink"/>
                <w:rFonts w:ascii="Arial" w:hAnsi="Arial" w:cs="Arial"/>
                <w:noProof/>
              </w:rPr>
              <w:t xml:space="preserve"> duga Federacije BiH</w:t>
            </w:r>
            <w:r w:rsidR="00677B60">
              <w:rPr>
                <w:noProof/>
                <w:webHidden/>
              </w:rPr>
              <w:tab/>
            </w:r>
            <w:r w:rsidR="00677B60">
              <w:rPr>
                <w:noProof/>
                <w:webHidden/>
              </w:rPr>
              <w:fldChar w:fldCharType="begin"/>
            </w:r>
            <w:r w:rsidR="00677B60">
              <w:rPr>
                <w:noProof/>
                <w:webHidden/>
              </w:rPr>
              <w:instrText xml:space="preserve"> PAGEREF _Toc100823746 \h </w:instrText>
            </w:r>
            <w:r w:rsidR="00677B60">
              <w:rPr>
                <w:noProof/>
                <w:webHidden/>
              </w:rPr>
            </w:r>
            <w:r w:rsidR="00677B60">
              <w:rPr>
                <w:noProof/>
                <w:webHidden/>
              </w:rPr>
              <w:fldChar w:fldCharType="separate"/>
            </w:r>
            <w:r>
              <w:rPr>
                <w:noProof/>
                <w:webHidden/>
              </w:rPr>
              <w:t>5</w:t>
            </w:r>
            <w:r w:rsidR="00677B60">
              <w:rPr>
                <w:noProof/>
                <w:webHidden/>
              </w:rPr>
              <w:fldChar w:fldCharType="end"/>
            </w:r>
          </w:hyperlink>
        </w:p>
        <w:p w14:paraId="1C088F3F" w14:textId="22C69BBF" w:rsidR="00677B60" w:rsidRDefault="00832522">
          <w:pPr>
            <w:pStyle w:val="TOC1"/>
            <w:rPr>
              <w:rFonts w:asciiTheme="minorHAnsi" w:eastAsiaTheme="minorEastAsia" w:hAnsiTheme="minorHAnsi" w:cstheme="minorBidi"/>
              <w:sz w:val="22"/>
              <w:szCs w:val="22"/>
              <w:lang w:val="en-US"/>
            </w:rPr>
          </w:pPr>
          <w:hyperlink w:anchor="_Toc100823748" w:history="1">
            <w:r w:rsidR="00677B60" w:rsidRPr="003C1A9D">
              <w:rPr>
                <w:rStyle w:val="Hyperlink"/>
              </w:rPr>
              <w:t>4.</w:t>
            </w:r>
            <w:r w:rsidR="00677B60">
              <w:rPr>
                <w:rFonts w:asciiTheme="minorHAnsi" w:eastAsiaTheme="minorEastAsia" w:hAnsiTheme="minorHAnsi" w:cstheme="minorBidi"/>
                <w:sz w:val="22"/>
                <w:szCs w:val="22"/>
                <w:lang w:val="en-US"/>
              </w:rPr>
              <w:tab/>
            </w:r>
            <w:r w:rsidR="00677B60" w:rsidRPr="003C1A9D">
              <w:rPr>
                <w:rStyle w:val="Hyperlink"/>
              </w:rPr>
              <w:t xml:space="preserve">RIZICI </w:t>
            </w:r>
            <w:r w:rsidR="009A78EF">
              <w:rPr>
                <w:rStyle w:val="Hyperlink"/>
              </w:rPr>
              <w:t>PORTFELJA</w:t>
            </w:r>
            <w:r w:rsidR="00677B60" w:rsidRPr="003C1A9D">
              <w:rPr>
                <w:rStyle w:val="Hyperlink"/>
              </w:rPr>
              <w:t xml:space="preserve"> DUGA FEDERACIJE BiH</w:t>
            </w:r>
            <w:r w:rsidR="00677B60">
              <w:rPr>
                <w:webHidden/>
              </w:rPr>
              <w:tab/>
            </w:r>
            <w:r w:rsidR="00677B60">
              <w:rPr>
                <w:webHidden/>
              </w:rPr>
              <w:fldChar w:fldCharType="begin"/>
            </w:r>
            <w:r w:rsidR="00677B60">
              <w:rPr>
                <w:webHidden/>
              </w:rPr>
              <w:instrText xml:space="preserve"> PAGEREF _Toc100823748 \h </w:instrText>
            </w:r>
            <w:r w:rsidR="00677B60">
              <w:rPr>
                <w:webHidden/>
              </w:rPr>
            </w:r>
            <w:r w:rsidR="00677B60">
              <w:rPr>
                <w:webHidden/>
              </w:rPr>
              <w:fldChar w:fldCharType="separate"/>
            </w:r>
            <w:r>
              <w:rPr>
                <w:webHidden/>
              </w:rPr>
              <w:t>5</w:t>
            </w:r>
            <w:r w:rsidR="00677B60">
              <w:rPr>
                <w:webHidden/>
              </w:rPr>
              <w:fldChar w:fldCharType="end"/>
            </w:r>
          </w:hyperlink>
        </w:p>
        <w:p w14:paraId="0F6C1412" w14:textId="118E7672" w:rsidR="00677B60" w:rsidRDefault="00832522">
          <w:pPr>
            <w:pStyle w:val="TOC2"/>
            <w:rPr>
              <w:rFonts w:eastAsiaTheme="minorEastAsia"/>
              <w:noProof/>
              <w:lang w:val="en-US"/>
            </w:rPr>
          </w:pPr>
          <w:hyperlink w:anchor="_Toc100823749" w:history="1">
            <w:r w:rsidR="00677B60" w:rsidRPr="003C1A9D">
              <w:rPr>
                <w:rStyle w:val="Hyperlink"/>
                <w:rFonts w:ascii="Arial" w:hAnsi="Arial" w:cs="Arial"/>
                <w:noProof/>
              </w:rPr>
              <w:t>4.1.</w:t>
            </w:r>
            <w:r w:rsidR="00677B60">
              <w:rPr>
                <w:rFonts w:eastAsiaTheme="minorEastAsia"/>
                <w:noProof/>
                <w:lang w:val="en-US"/>
              </w:rPr>
              <w:tab/>
            </w:r>
            <w:r w:rsidR="00677B60" w:rsidRPr="003C1A9D">
              <w:rPr>
                <w:rStyle w:val="Hyperlink"/>
                <w:rFonts w:ascii="Arial" w:hAnsi="Arial" w:cs="Arial"/>
                <w:noProof/>
              </w:rPr>
              <w:t xml:space="preserve">Karakteristike troškova i rizika </w:t>
            </w:r>
            <w:r w:rsidR="009A78EF">
              <w:rPr>
                <w:rStyle w:val="Hyperlink"/>
                <w:rFonts w:ascii="Arial" w:hAnsi="Arial" w:cs="Arial"/>
                <w:noProof/>
              </w:rPr>
              <w:t>portfelja</w:t>
            </w:r>
            <w:r w:rsidR="00677B60" w:rsidRPr="003C1A9D">
              <w:rPr>
                <w:rStyle w:val="Hyperlink"/>
                <w:rFonts w:ascii="Arial" w:hAnsi="Arial" w:cs="Arial"/>
                <w:noProof/>
              </w:rPr>
              <w:t xml:space="preserve"> duga Federacije BiH</w:t>
            </w:r>
            <w:r w:rsidR="00677B60">
              <w:rPr>
                <w:noProof/>
                <w:webHidden/>
              </w:rPr>
              <w:tab/>
            </w:r>
            <w:r w:rsidR="00677B60">
              <w:rPr>
                <w:noProof/>
                <w:webHidden/>
              </w:rPr>
              <w:fldChar w:fldCharType="begin"/>
            </w:r>
            <w:r w:rsidR="00677B60">
              <w:rPr>
                <w:noProof/>
                <w:webHidden/>
              </w:rPr>
              <w:instrText xml:space="preserve"> PAGEREF _Toc100823749 \h </w:instrText>
            </w:r>
            <w:r w:rsidR="00677B60">
              <w:rPr>
                <w:noProof/>
                <w:webHidden/>
              </w:rPr>
            </w:r>
            <w:r w:rsidR="00677B60">
              <w:rPr>
                <w:noProof/>
                <w:webHidden/>
              </w:rPr>
              <w:fldChar w:fldCharType="separate"/>
            </w:r>
            <w:r>
              <w:rPr>
                <w:noProof/>
                <w:webHidden/>
              </w:rPr>
              <w:t>5</w:t>
            </w:r>
            <w:r w:rsidR="00677B60">
              <w:rPr>
                <w:noProof/>
                <w:webHidden/>
              </w:rPr>
              <w:fldChar w:fldCharType="end"/>
            </w:r>
          </w:hyperlink>
        </w:p>
        <w:p w14:paraId="404AA226" w14:textId="2CFE7891" w:rsidR="00677B60" w:rsidRDefault="00832522">
          <w:pPr>
            <w:pStyle w:val="TOC2"/>
            <w:rPr>
              <w:rFonts w:eastAsiaTheme="minorEastAsia"/>
              <w:noProof/>
              <w:lang w:val="en-US"/>
            </w:rPr>
          </w:pPr>
          <w:hyperlink w:anchor="_Toc100823751" w:history="1">
            <w:r w:rsidR="00677B60" w:rsidRPr="003C1A9D">
              <w:rPr>
                <w:rStyle w:val="Hyperlink"/>
                <w:rFonts w:ascii="Arial" w:hAnsi="Arial" w:cs="Arial"/>
                <w:noProof/>
              </w:rPr>
              <w:t>4.2</w:t>
            </w:r>
            <w:r w:rsidR="00677B60">
              <w:rPr>
                <w:rFonts w:eastAsiaTheme="minorEastAsia"/>
                <w:noProof/>
                <w:lang w:val="en-US"/>
              </w:rPr>
              <w:tab/>
            </w:r>
            <w:r w:rsidR="00677B60" w:rsidRPr="003C1A9D">
              <w:rPr>
                <w:rStyle w:val="Hyperlink"/>
                <w:rFonts w:ascii="Arial" w:hAnsi="Arial" w:cs="Arial"/>
                <w:noProof/>
              </w:rPr>
              <w:t>Rizik re</w:t>
            </w:r>
            <w:r w:rsidR="009A78EF">
              <w:rPr>
                <w:rStyle w:val="Hyperlink"/>
                <w:rFonts w:ascii="Arial" w:hAnsi="Arial" w:cs="Arial"/>
                <w:noProof/>
              </w:rPr>
              <w:t>financ</w:t>
            </w:r>
            <w:r w:rsidR="00677B60" w:rsidRPr="003C1A9D">
              <w:rPr>
                <w:rStyle w:val="Hyperlink"/>
                <w:rFonts w:ascii="Arial" w:hAnsi="Arial" w:cs="Arial"/>
                <w:noProof/>
              </w:rPr>
              <w:t>iranja</w:t>
            </w:r>
            <w:r w:rsidR="00677B60">
              <w:rPr>
                <w:noProof/>
                <w:webHidden/>
              </w:rPr>
              <w:tab/>
            </w:r>
            <w:r w:rsidR="00677B60">
              <w:rPr>
                <w:noProof/>
                <w:webHidden/>
              </w:rPr>
              <w:fldChar w:fldCharType="begin"/>
            </w:r>
            <w:r w:rsidR="00677B60">
              <w:rPr>
                <w:noProof/>
                <w:webHidden/>
              </w:rPr>
              <w:instrText xml:space="preserve"> PAGEREF _Toc100823751 \h </w:instrText>
            </w:r>
            <w:r w:rsidR="00677B60">
              <w:rPr>
                <w:noProof/>
                <w:webHidden/>
              </w:rPr>
            </w:r>
            <w:r w:rsidR="00677B60">
              <w:rPr>
                <w:noProof/>
                <w:webHidden/>
              </w:rPr>
              <w:fldChar w:fldCharType="separate"/>
            </w:r>
            <w:r>
              <w:rPr>
                <w:noProof/>
                <w:webHidden/>
              </w:rPr>
              <w:t>6</w:t>
            </w:r>
            <w:r w:rsidR="00677B60">
              <w:rPr>
                <w:noProof/>
                <w:webHidden/>
              </w:rPr>
              <w:fldChar w:fldCharType="end"/>
            </w:r>
          </w:hyperlink>
        </w:p>
        <w:p w14:paraId="0A3B5AB5" w14:textId="77777777" w:rsidR="00677B60" w:rsidRDefault="00832522">
          <w:pPr>
            <w:pStyle w:val="TOC2"/>
            <w:rPr>
              <w:rFonts w:eastAsiaTheme="minorEastAsia"/>
              <w:noProof/>
              <w:lang w:val="en-US"/>
            </w:rPr>
          </w:pPr>
          <w:hyperlink w:anchor="_Toc100823752" w:history="1">
            <w:r w:rsidR="00677B60" w:rsidRPr="003C1A9D">
              <w:rPr>
                <w:rStyle w:val="Hyperlink"/>
                <w:rFonts w:ascii="Arial" w:hAnsi="Arial" w:cs="Arial"/>
                <w:noProof/>
              </w:rPr>
              <w:t>4.3.</w:t>
            </w:r>
            <w:r w:rsidR="00677B60">
              <w:rPr>
                <w:rFonts w:eastAsiaTheme="minorEastAsia"/>
                <w:noProof/>
                <w:lang w:val="en-US"/>
              </w:rPr>
              <w:tab/>
            </w:r>
            <w:r w:rsidR="00677B60" w:rsidRPr="003C1A9D">
              <w:rPr>
                <w:rStyle w:val="Hyperlink"/>
                <w:rFonts w:ascii="Arial" w:hAnsi="Arial" w:cs="Arial"/>
                <w:noProof/>
              </w:rPr>
              <w:t>Kamatni rizik</w:t>
            </w:r>
            <w:r w:rsidR="00677B60">
              <w:rPr>
                <w:noProof/>
                <w:webHidden/>
              </w:rPr>
              <w:tab/>
            </w:r>
            <w:r w:rsidR="00677B60">
              <w:rPr>
                <w:noProof/>
                <w:webHidden/>
              </w:rPr>
              <w:fldChar w:fldCharType="begin"/>
            </w:r>
            <w:r w:rsidR="00677B60">
              <w:rPr>
                <w:noProof/>
                <w:webHidden/>
              </w:rPr>
              <w:instrText xml:space="preserve"> PAGEREF _Toc100823752 \h </w:instrText>
            </w:r>
            <w:r w:rsidR="00677B60">
              <w:rPr>
                <w:noProof/>
                <w:webHidden/>
              </w:rPr>
            </w:r>
            <w:r w:rsidR="00677B60">
              <w:rPr>
                <w:noProof/>
                <w:webHidden/>
              </w:rPr>
              <w:fldChar w:fldCharType="separate"/>
            </w:r>
            <w:r>
              <w:rPr>
                <w:noProof/>
                <w:webHidden/>
              </w:rPr>
              <w:t>7</w:t>
            </w:r>
            <w:r w:rsidR="00677B60">
              <w:rPr>
                <w:noProof/>
                <w:webHidden/>
              </w:rPr>
              <w:fldChar w:fldCharType="end"/>
            </w:r>
          </w:hyperlink>
        </w:p>
        <w:p w14:paraId="22138F7F" w14:textId="61FC7B3D" w:rsidR="00677B60" w:rsidRDefault="00832522">
          <w:pPr>
            <w:pStyle w:val="TOC2"/>
            <w:rPr>
              <w:rFonts w:eastAsiaTheme="minorEastAsia"/>
              <w:noProof/>
              <w:lang w:val="en-US"/>
            </w:rPr>
          </w:pPr>
          <w:hyperlink w:anchor="_Toc100823753" w:history="1">
            <w:r w:rsidR="00677B60" w:rsidRPr="003C1A9D">
              <w:rPr>
                <w:rStyle w:val="Hyperlink"/>
                <w:rFonts w:ascii="Arial" w:hAnsi="Arial" w:cs="Arial"/>
                <w:noProof/>
              </w:rPr>
              <w:t>4.4.</w:t>
            </w:r>
            <w:r w:rsidR="00677B60">
              <w:rPr>
                <w:rFonts w:eastAsiaTheme="minorEastAsia"/>
                <w:noProof/>
                <w:lang w:val="en-US"/>
              </w:rPr>
              <w:tab/>
            </w:r>
            <w:r w:rsidR="00677B60" w:rsidRPr="003C1A9D">
              <w:rPr>
                <w:rStyle w:val="Hyperlink"/>
                <w:rFonts w:ascii="Arial" w:hAnsi="Arial" w:cs="Arial"/>
                <w:noProof/>
              </w:rPr>
              <w:t xml:space="preserve">Valutni rizik </w:t>
            </w:r>
            <w:r w:rsidR="009A78EF">
              <w:rPr>
                <w:rStyle w:val="Hyperlink"/>
                <w:rFonts w:ascii="Arial" w:hAnsi="Arial" w:cs="Arial"/>
                <w:noProof/>
              </w:rPr>
              <w:t>portfelja</w:t>
            </w:r>
            <w:r w:rsidR="00677B60" w:rsidRPr="003C1A9D">
              <w:rPr>
                <w:rStyle w:val="Hyperlink"/>
                <w:rFonts w:ascii="Arial" w:hAnsi="Arial" w:cs="Arial"/>
                <w:noProof/>
              </w:rPr>
              <w:t xml:space="preserve"> duga Federacije BiH</w:t>
            </w:r>
            <w:r w:rsidR="00677B60">
              <w:rPr>
                <w:noProof/>
                <w:webHidden/>
              </w:rPr>
              <w:tab/>
            </w:r>
            <w:r w:rsidR="00677B60">
              <w:rPr>
                <w:noProof/>
                <w:webHidden/>
              </w:rPr>
              <w:fldChar w:fldCharType="begin"/>
            </w:r>
            <w:r w:rsidR="00677B60">
              <w:rPr>
                <w:noProof/>
                <w:webHidden/>
              </w:rPr>
              <w:instrText xml:space="preserve"> PAGEREF _Toc100823753 \h </w:instrText>
            </w:r>
            <w:r w:rsidR="00677B60">
              <w:rPr>
                <w:noProof/>
                <w:webHidden/>
              </w:rPr>
            </w:r>
            <w:r w:rsidR="00677B60">
              <w:rPr>
                <w:noProof/>
                <w:webHidden/>
              </w:rPr>
              <w:fldChar w:fldCharType="separate"/>
            </w:r>
            <w:r>
              <w:rPr>
                <w:noProof/>
                <w:webHidden/>
              </w:rPr>
              <w:t>7</w:t>
            </w:r>
            <w:r w:rsidR="00677B60">
              <w:rPr>
                <w:noProof/>
                <w:webHidden/>
              </w:rPr>
              <w:fldChar w:fldCharType="end"/>
            </w:r>
          </w:hyperlink>
        </w:p>
        <w:p w14:paraId="6374C863" w14:textId="1F0EC08A" w:rsidR="00677B60" w:rsidRDefault="00832522">
          <w:pPr>
            <w:pStyle w:val="TOC2"/>
            <w:rPr>
              <w:rFonts w:eastAsiaTheme="minorEastAsia"/>
              <w:noProof/>
              <w:lang w:val="en-US"/>
            </w:rPr>
          </w:pPr>
          <w:hyperlink w:anchor="_Toc100823754" w:history="1">
            <w:r w:rsidR="00677B60" w:rsidRPr="003C1A9D">
              <w:rPr>
                <w:rStyle w:val="Hyperlink"/>
                <w:rFonts w:ascii="Arial" w:hAnsi="Arial" w:cs="Arial"/>
                <w:noProof/>
              </w:rPr>
              <w:t>4.5.</w:t>
            </w:r>
            <w:r w:rsidR="00677B60">
              <w:rPr>
                <w:rFonts w:eastAsiaTheme="minorEastAsia"/>
                <w:noProof/>
                <w:lang w:val="en-US"/>
              </w:rPr>
              <w:tab/>
            </w:r>
            <w:r w:rsidR="009A78EF">
              <w:rPr>
                <w:rStyle w:val="Hyperlink"/>
                <w:rFonts w:ascii="Arial" w:hAnsi="Arial" w:cs="Arial"/>
                <w:noProof/>
              </w:rPr>
              <w:t>Potencijalne ob</w:t>
            </w:r>
            <w:r w:rsidR="00677B60" w:rsidRPr="003C1A9D">
              <w:rPr>
                <w:rStyle w:val="Hyperlink"/>
                <w:rFonts w:ascii="Arial" w:hAnsi="Arial" w:cs="Arial"/>
                <w:noProof/>
              </w:rPr>
              <w:t>veze</w:t>
            </w:r>
            <w:r w:rsidR="00677B60">
              <w:rPr>
                <w:noProof/>
                <w:webHidden/>
              </w:rPr>
              <w:tab/>
            </w:r>
            <w:r w:rsidR="00677B60">
              <w:rPr>
                <w:noProof/>
                <w:webHidden/>
              </w:rPr>
              <w:fldChar w:fldCharType="begin"/>
            </w:r>
            <w:r w:rsidR="00677B60">
              <w:rPr>
                <w:noProof/>
                <w:webHidden/>
              </w:rPr>
              <w:instrText xml:space="preserve"> PAGEREF _Toc100823754 \h </w:instrText>
            </w:r>
            <w:r w:rsidR="00677B60">
              <w:rPr>
                <w:noProof/>
                <w:webHidden/>
              </w:rPr>
            </w:r>
            <w:r w:rsidR="00677B60">
              <w:rPr>
                <w:noProof/>
                <w:webHidden/>
              </w:rPr>
              <w:fldChar w:fldCharType="separate"/>
            </w:r>
            <w:r>
              <w:rPr>
                <w:noProof/>
                <w:webHidden/>
              </w:rPr>
              <w:t>8</w:t>
            </w:r>
            <w:r w:rsidR="00677B60">
              <w:rPr>
                <w:noProof/>
                <w:webHidden/>
              </w:rPr>
              <w:fldChar w:fldCharType="end"/>
            </w:r>
          </w:hyperlink>
        </w:p>
        <w:p w14:paraId="12386239" w14:textId="77777777" w:rsidR="00677B60" w:rsidRDefault="00832522">
          <w:pPr>
            <w:pStyle w:val="TOC3"/>
            <w:rPr>
              <w:rFonts w:eastAsiaTheme="minorEastAsia"/>
              <w:noProof/>
              <w:lang w:val="en-US"/>
            </w:rPr>
          </w:pPr>
          <w:hyperlink w:anchor="_Toc100823755" w:history="1">
            <w:r w:rsidR="00677B60" w:rsidRPr="003C1A9D">
              <w:rPr>
                <w:rStyle w:val="Hyperlink"/>
                <w:rFonts w:ascii="Arial" w:hAnsi="Arial" w:cs="Arial"/>
                <w:noProof/>
              </w:rPr>
              <w:t>4.5.1.</w:t>
            </w:r>
            <w:r w:rsidR="00677B60">
              <w:rPr>
                <w:rFonts w:eastAsiaTheme="minorEastAsia"/>
                <w:noProof/>
                <w:lang w:val="en-US"/>
              </w:rPr>
              <w:tab/>
            </w:r>
            <w:r w:rsidR="00677B60" w:rsidRPr="003C1A9D">
              <w:rPr>
                <w:rStyle w:val="Hyperlink"/>
                <w:rFonts w:ascii="Arial" w:hAnsi="Arial" w:cs="Arial"/>
                <w:noProof/>
              </w:rPr>
              <w:t>Garancije</w:t>
            </w:r>
            <w:r w:rsidR="00677B60">
              <w:rPr>
                <w:noProof/>
                <w:webHidden/>
              </w:rPr>
              <w:tab/>
            </w:r>
            <w:r w:rsidR="00677B60">
              <w:rPr>
                <w:noProof/>
                <w:webHidden/>
              </w:rPr>
              <w:fldChar w:fldCharType="begin"/>
            </w:r>
            <w:r w:rsidR="00677B60">
              <w:rPr>
                <w:noProof/>
                <w:webHidden/>
              </w:rPr>
              <w:instrText xml:space="preserve"> PAGEREF _Toc100823755 \h </w:instrText>
            </w:r>
            <w:r w:rsidR="00677B60">
              <w:rPr>
                <w:noProof/>
                <w:webHidden/>
              </w:rPr>
            </w:r>
            <w:r w:rsidR="00677B60">
              <w:rPr>
                <w:noProof/>
                <w:webHidden/>
              </w:rPr>
              <w:fldChar w:fldCharType="separate"/>
            </w:r>
            <w:r>
              <w:rPr>
                <w:noProof/>
                <w:webHidden/>
              </w:rPr>
              <w:t>8</w:t>
            </w:r>
            <w:r w:rsidR="00677B60">
              <w:rPr>
                <w:noProof/>
                <w:webHidden/>
              </w:rPr>
              <w:fldChar w:fldCharType="end"/>
            </w:r>
          </w:hyperlink>
        </w:p>
        <w:p w14:paraId="181CD989" w14:textId="74E4A277" w:rsidR="00677B60" w:rsidRDefault="00832522">
          <w:pPr>
            <w:pStyle w:val="TOC3"/>
            <w:rPr>
              <w:rFonts w:eastAsiaTheme="minorEastAsia"/>
              <w:noProof/>
              <w:lang w:val="en-US"/>
            </w:rPr>
          </w:pPr>
          <w:hyperlink w:anchor="_Toc100823756" w:history="1">
            <w:r w:rsidR="00677B60" w:rsidRPr="003C1A9D">
              <w:rPr>
                <w:rStyle w:val="Hyperlink"/>
                <w:rFonts w:ascii="Arial" w:hAnsi="Arial" w:cs="Arial"/>
                <w:noProof/>
              </w:rPr>
              <w:t>4.5.2.</w:t>
            </w:r>
            <w:r w:rsidR="00677B60">
              <w:rPr>
                <w:rFonts w:eastAsiaTheme="minorEastAsia"/>
                <w:noProof/>
                <w:lang w:val="en-US"/>
              </w:rPr>
              <w:tab/>
            </w:r>
            <w:r w:rsidR="009A78EF">
              <w:rPr>
                <w:rStyle w:val="Hyperlink"/>
                <w:rFonts w:ascii="Arial" w:hAnsi="Arial" w:cs="Arial"/>
                <w:noProof/>
              </w:rPr>
              <w:t>Preuzimanje ob</w:t>
            </w:r>
            <w:r w:rsidR="00677B60" w:rsidRPr="003C1A9D">
              <w:rPr>
                <w:rStyle w:val="Hyperlink"/>
                <w:rFonts w:ascii="Arial" w:hAnsi="Arial" w:cs="Arial"/>
                <w:noProof/>
              </w:rPr>
              <w:t>veza krajnjih korisnika</w:t>
            </w:r>
            <w:r w:rsidR="00677B60">
              <w:rPr>
                <w:noProof/>
                <w:webHidden/>
              </w:rPr>
              <w:tab/>
            </w:r>
            <w:r w:rsidR="00677B60">
              <w:rPr>
                <w:noProof/>
                <w:webHidden/>
              </w:rPr>
              <w:fldChar w:fldCharType="begin"/>
            </w:r>
            <w:r w:rsidR="00677B60">
              <w:rPr>
                <w:noProof/>
                <w:webHidden/>
              </w:rPr>
              <w:instrText xml:space="preserve"> PAGEREF _Toc100823756 \h </w:instrText>
            </w:r>
            <w:r w:rsidR="00677B60">
              <w:rPr>
                <w:noProof/>
                <w:webHidden/>
              </w:rPr>
            </w:r>
            <w:r w:rsidR="00677B60">
              <w:rPr>
                <w:noProof/>
                <w:webHidden/>
              </w:rPr>
              <w:fldChar w:fldCharType="separate"/>
            </w:r>
            <w:r>
              <w:rPr>
                <w:noProof/>
                <w:webHidden/>
              </w:rPr>
              <w:t>8</w:t>
            </w:r>
            <w:r w:rsidR="00677B60">
              <w:rPr>
                <w:noProof/>
                <w:webHidden/>
              </w:rPr>
              <w:fldChar w:fldCharType="end"/>
            </w:r>
          </w:hyperlink>
        </w:p>
        <w:p w14:paraId="25D2126C" w14:textId="77777777" w:rsidR="00677B60" w:rsidRDefault="00832522">
          <w:pPr>
            <w:pStyle w:val="TOC1"/>
            <w:rPr>
              <w:rFonts w:asciiTheme="minorHAnsi" w:eastAsiaTheme="minorEastAsia" w:hAnsiTheme="minorHAnsi" w:cstheme="minorBidi"/>
              <w:sz w:val="22"/>
              <w:szCs w:val="22"/>
              <w:lang w:val="en-US"/>
            </w:rPr>
          </w:pPr>
          <w:hyperlink w:anchor="_Toc100823757" w:history="1">
            <w:r w:rsidR="00677B60" w:rsidRPr="003C1A9D">
              <w:rPr>
                <w:rStyle w:val="Hyperlink"/>
              </w:rPr>
              <w:t>5.</w:t>
            </w:r>
            <w:r w:rsidR="00677B60">
              <w:rPr>
                <w:rFonts w:asciiTheme="minorHAnsi" w:eastAsiaTheme="minorEastAsia" w:hAnsiTheme="minorHAnsi" w:cstheme="minorBidi"/>
                <w:sz w:val="22"/>
                <w:szCs w:val="22"/>
                <w:lang w:val="en-US"/>
              </w:rPr>
              <w:tab/>
            </w:r>
            <w:r w:rsidR="00677B60" w:rsidRPr="003C1A9D">
              <w:rPr>
                <w:rStyle w:val="Hyperlink"/>
              </w:rPr>
              <w:t>MAKROEKONOMSKI OKVIR</w:t>
            </w:r>
            <w:r w:rsidR="00677B60">
              <w:rPr>
                <w:webHidden/>
              </w:rPr>
              <w:tab/>
            </w:r>
            <w:r w:rsidR="00677B60">
              <w:rPr>
                <w:webHidden/>
              </w:rPr>
              <w:fldChar w:fldCharType="begin"/>
            </w:r>
            <w:r w:rsidR="00677B60">
              <w:rPr>
                <w:webHidden/>
              </w:rPr>
              <w:instrText xml:space="preserve"> PAGEREF _Toc100823757 \h </w:instrText>
            </w:r>
            <w:r w:rsidR="00677B60">
              <w:rPr>
                <w:webHidden/>
              </w:rPr>
            </w:r>
            <w:r w:rsidR="00677B60">
              <w:rPr>
                <w:webHidden/>
              </w:rPr>
              <w:fldChar w:fldCharType="separate"/>
            </w:r>
            <w:r>
              <w:rPr>
                <w:webHidden/>
              </w:rPr>
              <w:t>8</w:t>
            </w:r>
            <w:r w:rsidR="00677B60">
              <w:rPr>
                <w:webHidden/>
              </w:rPr>
              <w:fldChar w:fldCharType="end"/>
            </w:r>
          </w:hyperlink>
        </w:p>
        <w:p w14:paraId="07196ED0" w14:textId="26E858DD" w:rsidR="00677B60" w:rsidRDefault="00832522">
          <w:pPr>
            <w:pStyle w:val="TOC1"/>
            <w:rPr>
              <w:rFonts w:asciiTheme="minorHAnsi" w:eastAsiaTheme="minorEastAsia" w:hAnsiTheme="minorHAnsi" w:cstheme="minorBidi"/>
              <w:sz w:val="22"/>
              <w:szCs w:val="22"/>
              <w:lang w:val="en-US"/>
            </w:rPr>
          </w:pPr>
          <w:hyperlink w:anchor="_Toc100823758" w:history="1">
            <w:r w:rsidR="00677B60" w:rsidRPr="003C1A9D">
              <w:rPr>
                <w:rStyle w:val="Hyperlink"/>
              </w:rPr>
              <w:t>6.</w:t>
            </w:r>
            <w:r w:rsidR="00677B60">
              <w:rPr>
                <w:rFonts w:asciiTheme="minorHAnsi" w:eastAsiaTheme="minorEastAsia" w:hAnsiTheme="minorHAnsi" w:cstheme="minorBidi"/>
                <w:sz w:val="22"/>
                <w:szCs w:val="22"/>
                <w:lang w:val="en-US"/>
              </w:rPr>
              <w:tab/>
            </w:r>
            <w:r w:rsidR="00677B60" w:rsidRPr="003C1A9D">
              <w:rPr>
                <w:rStyle w:val="Hyperlink"/>
              </w:rPr>
              <w:t xml:space="preserve">IZVORI  </w:t>
            </w:r>
            <w:r w:rsidR="009A78EF">
              <w:rPr>
                <w:rStyle w:val="Hyperlink"/>
              </w:rPr>
              <w:t>FINANC</w:t>
            </w:r>
            <w:r w:rsidR="00677B60" w:rsidRPr="003C1A9D">
              <w:rPr>
                <w:rStyle w:val="Hyperlink"/>
              </w:rPr>
              <w:t>IRANJA</w:t>
            </w:r>
            <w:r w:rsidR="00677B60">
              <w:rPr>
                <w:webHidden/>
              </w:rPr>
              <w:tab/>
            </w:r>
            <w:r w:rsidR="00677B60">
              <w:rPr>
                <w:webHidden/>
              </w:rPr>
              <w:fldChar w:fldCharType="begin"/>
            </w:r>
            <w:r w:rsidR="00677B60">
              <w:rPr>
                <w:webHidden/>
              </w:rPr>
              <w:instrText xml:space="preserve"> PAGEREF _Toc100823758 \h </w:instrText>
            </w:r>
            <w:r w:rsidR="00677B60">
              <w:rPr>
                <w:webHidden/>
              </w:rPr>
            </w:r>
            <w:r w:rsidR="00677B60">
              <w:rPr>
                <w:webHidden/>
              </w:rPr>
              <w:fldChar w:fldCharType="separate"/>
            </w:r>
            <w:r>
              <w:rPr>
                <w:webHidden/>
              </w:rPr>
              <w:t>11</w:t>
            </w:r>
            <w:r w:rsidR="00677B60">
              <w:rPr>
                <w:webHidden/>
              </w:rPr>
              <w:fldChar w:fldCharType="end"/>
            </w:r>
          </w:hyperlink>
        </w:p>
        <w:p w14:paraId="75BCD02A" w14:textId="1004B7B5" w:rsidR="00677B60" w:rsidRDefault="00832522">
          <w:pPr>
            <w:pStyle w:val="TOC3"/>
            <w:rPr>
              <w:rFonts w:eastAsiaTheme="minorEastAsia"/>
              <w:noProof/>
              <w:lang w:val="en-US"/>
            </w:rPr>
          </w:pPr>
          <w:hyperlink w:anchor="_Toc100823759" w:history="1">
            <w:r w:rsidR="00677B60" w:rsidRPr="003C1A9D">
              <w:rPr>
                <w:rStyle w:val="Hyperlink"/>
                <w:rFonts w:ascii="Arial" w:hAnsi="Arial" w:cs="Arial"/>
                <w:noProof/>
              </w:rPr>
              <w:t>6.1.</w:t>
            </w:r>
            <w:r w:rsidR="00677B60">
              <w:rPr>
                <w:rFonts w:eastAsiaTheme="minorEastAsia"/>
                <w:noProof/>
                <w:lang w:val="en-US"/>
              </w:rPr>
              <w:tab/>
            </w:r>
            <w:r w:rsidR="00677B60" w:rsidRPr="003C1A9D">
              <w:rPr>
                <w:rStyle w:val="Hyperlink"/>
                <w:rFonts w:ascii="Arial" w:hAnsi="Arial" w:cs="Arial"/>
                <w:noProof/>
              </w:rPr>
              <w:t xml:space="preserve">Vanjski izvori </w:t>
            </w:r>
            <w:r w:rsidR="009A78EF">
              <w:rPr>
                <w:rStyle w:val="Hyperlink"/>
                <w:rFonts w:ascii="Arial" w:hAnsi="Arial" w:cs="Arial"/>
                <w:noProof/>
              </w:rPr>
              <w:t>financ</w:t>
            </w:r>
            <w:r w:rsidR="00677B60" w:rsidRPr="003C1A9D">
              <w:rPr>
                <w:rStyle w:val="Hyperlink"/>
                <w:rFonts w:ascii="Arial" w:hAnsi="Arial" w:cs="Arial"/>
                <w:noProof/>
              </w:rPr>
              <w:t>iranja</w:t>
            </w:r>
            <w:r w:rsidR="00677B60">
              <w:rPr>
                <w:noProof/>
                <w:webHidden/>
              </w:rPr>
              <w:tab/>
            </w:r>
            <w:r w:rsidR="00677B60">
              <w:rPr>
                <w:noProof/>
                <w:webHidden/>
              </w:rPr>
              <w:fldChar w:fldCharType="begin"/>
            </w:r>
            <w:r w:rsidR="00677B60">
              <w:rPr>
                <w:noProof/>
                <w:webHidden/>
              </w:rPr>
              <w:instrText xml:space="preserve"> PAGEREF _Toc100823759 \h </w:instrText>
            </w:r>
            <w:r w:rsidR="00677B60">
              <w:rPr>
                <w:noProof/>
                <w:webHidden/>
              </w:rPr>
            </w:r>
            <w:r w:rsidR="00677B60">
              <w:rPr>
                <w:noProof/>
                <w:webHidden/>
              </w:rPr>
              <w:fldChar w:fldCharType="separate"/>
            </w:r>
            <w:r>
              <w:rPr>
                <w:noProof/>
                <w:webHidden/>
              </w:rPr>
              <w:t>11</w:t>
            </w:r>
            <w:r w:rsidR="00677B60">
              <w:rPr>
                <w:noProof/>
                <w:webHidden/>
              </w:rPr>
              <w:fldChar w:fldCharType="end"/>
            </w:r>
          </w:hyperlink>
        </w:p>
        <w:p w14:paraId="678ADAB5" w14:textId="7A3DB8A3" w:rsidR="00677B60" w:rsidRDefault="00832522">
          <w:pPr>
            <w:pStyle w:val="TOC3"/>
            <w:rPr>
              <w:rFonts w:eastAsiaTheme="minorEastAsia"/>
              <w:noProof/>
              <w:lang w:val="en-US"/>
            </w:rPr>
          </w:pPr>
          <w:hyperlink w:anchor="_Toc100823760" w:history="1">
            <w:r w:rsidR="00677B60" w:rsidRPr="003C1A9D">
              <w:rPr>
                <w:rStyle w:val="Hyperlink"/>
                <w:rFonts w:ascii="Arial" w:hAnsi="Arial" w:cs="Arial"/>
                <w:noProof/>
              </w:rPr>
              <w:t>6.2.</w:t>
            </w:r>
            <w:r w:rsidR="00677B60">
              <w:rPr>
                <w:rFonts w:eastAsiaTheme="minorEastAsia"/>
                <w:noProof/>
                <w:lang w:val="en-US"/>
              </w:rPr>
              <w:tab/>
            </w:r>
            <w:r w:rsidR="00677B60" w:rsidRPr="003C1A9D">
              <w:rPr>
                <w:rStyle w:val="Hyperlink"/>
                <w:rFonts w:ascii="Arial" w:hAnsi="Arial" w:cs="Arial"/>
                <w:noProof/>
              </w:rPr>
              <w:t xml:space="preserve">Domaći izvori </w:t>
            </w:r>
            <w:r w:rsidR="009A78EF">
              <w:rPr>
                <w:rStyle w:val="Hyperlink"/>
                <w:rFonts w:ascii="Arial" w:hAnsi="Arial" w:cs="Arial"/>
                <w:noProof/>
              </w:rPr>
              <w:t>financ</w:t>
            </w:r>
            <w:r w:rsidR="00677B60" w:rsidRPr="003C1A9D">
              <w:rPr>
                <w:rStyle w:val="Hyperlink"/>
                <w:rFonts w:ascii="Arial" w:hAnsi="Arial" w:cs="Arial"/>
                <w:noProof/>
              </w:rPr>
              <w:t>iranja</w:t>
            </w:r>
            <w:r w:rsidR="00677B60">
              <w:rPr>
                <w:noProof/>
                <w:webHidden/>
              </w:rPr>
              <w:tab/>
            </w:r>
            <w:r w:rsidR="00677B60">
              <w:rPr>
                <w:noProof/>
                <w:webHidden/>
              </w:rPr>
              <w:fldChar w:fldCharType="begin"/>
            </w:r>
            <w:r w:rsidR="00677B60">
              <w:rPr>
                <w:noProof/>
                <w:webHidden/>
              </w:rPr>
              <w:instrText xml:space="preserve"> PAGEREF _Toc100823760 \h </w:instrText>
            </w:r>
            <w:r w:rsidR="00677B60">
              <w:rPr>
                <w:noProof/>
                <w:webHidden/>
              </w:rPr>
            </w:r>
            <w:r w:rsidR="00677B60">
              <w:rPr>
                <w:noProof/>
                <w:webHidden/>
              </w:rPr>
              <w:fldChar w:fldCharType="separate"/>
            </w:r>
            <w:r>
              <w:rPr>
                <w:noProof/>
                <w:webHidden/>
              </w:rPr>
              <w:t>12</w:t>
            </w:r>
            <w:r w:rsidR="00677B60">
              <w:rPr>
                <w:noProof/>
                <w:webHidden/>
              </w:rPr>
              <w:fldChar w:fldCharType="end"/>
            </w:r>
          </w:hyperlink>
        </w:p>
        <w:p w14:paraId="54F550E8" w14:textId="77777777" w:rsidR="00677B60" w:rsidRDefault="00832522">
          <w:pPr>
            <w:pStyle w:val="TOC1"/>
            <w:rPr>
              <w:rFonts w:asciiTheme="minorHAnsi" w:eastAsiaTheme="minorEastAsia" w:hAnsiTheme="minorHAnsi" w:cstheme="minorBidi"/>
              <w:sz w:val="22"/>
              <w:szCs w:val="22"/>
              <w:lang w:val="en-US"/>
            </w:rPr>
          </w:pPr>
          <w:hyperlink w:anchor="_Toc100823761" w:history="1">
            <w:r w:rsidR="00677B60" w:rsidRPr="003C1A9D">
              <w:rPr>
                <w:rStyle w:val="Hyperlink"/>
              </w:rPr>
              <w:t>7.</w:t>
            </w:r>
            <w:r w:rsidR="00677B60">
              <w:rPr>
                <w:rFonts w:asciiTheme="minorHAnsi" w:eastAsiaTheme="minorEastAsia" w:hAnsiTheme="minorHAnsi" w:cstheme="minorBidi"/>
                <w:sz w:val="22"/>
                <w:szCs w:val="22"/>
                <w:lang w:val="en-US"/>
              </w:rPr>
              <w:tab/>
            </w:r>
            <w:r w:rsidR="00677B60" w:rsidRPr="003C1A9D">
              <w:rPr>
                <w:rStyle w:val="Hyperlink"/>
              </w:rPr>
              <w:t>PRETPOSTAVKE CIJENA I OPISI SCENARIJA ŠOKA</w:t>
            </w:r>
            <w:r w:rsidR="00677B60">
              <w:rPr>
                <w:webHidden/>
              </w:rPr>
              <w:tab/>
            </w:r>
            <w:r w:rsidR="00677B60">
              <w:rPr>
                <w:webHidden/>
              </w:rPr>
              <w:fldChar w:fldCharType="begin"/>
            </w:r>
            <w:r w:rsidR="00677B60">
              <w:rPr>
                <w:webHidden/>
              </w:rPr>
              <w:instrText xml:space="preserve"> PAGEREF _Toc100823761 \h </w:instrText>
            </w:r>
            <w:r w:rsidR="00677B60">
              <w:rPr>
                <w:webHidden/>
              </w:rPr>
            </w:r>
            <w:r w:rsidR="00677B60">
              <w:rPr>
                <w:webHidden/>
              </w:rPr>
              <w:fldChar w:fldCharType="separate"/>
            </w:r>
            <w:r>
              <w:rPr>
                <w:webHidden/>
              </w:rPr>
              <w:t>14</w:t>
            </w:r>
            <w:r w:rsidR="00677B60">
              <w:rPr>
                <w:webHidden/>
              </w:rPr>
              <w:fldChar w:fldCharType="end"/>
            </w:r>
          </w:hyperlink>
        </w:p>
        <w:p w14:paraId="622DB77C" w14:textId="77777777" w:rsidR="00677B60" w:rsidRDefault="00832522">
          <w:pPr>
            <w:pStyle w:val="TOC2"/>
            <w:rPr>
              <w:rFonts w:eastAsiaTheme="minorEastAsia"/>
              <w:noProof/>
              <w:lang w:val="en-US"/>
            </w:rPr>
          </w:pPr>
          <w:hyperlink w:anchor="_Toc100823762" w:history="1">
            <w:r w:rsidR="00677B60" w:rsidRPr="003C1A9D">
              <w:rPr>
                <w:rStyle w:val="Hyperlink"/>
                <w:rFonts w:ascii="Arial" w:hAnsi="Arial" w:cs="Arial"/>
                <w:noProof/>
              </w:rPr>
              <w:t>7.2.</w:t>
            </w:r>
            <w:r w:rsidR="00677B60">
              <w:rPr>
                <w:rFonts w:eastAsiaTheme="minorEastAsia"/>
                <w:noProof/>
                <w:lang w:val="en-US"/>
              </w:rPr>
              <w:tab/>
            </w:r>
            <w:r w:rsidR="00677B60" w:rsidRPr="003C1A9D">
              <w:rPr>
                <w:rStyle w:val="Hyperlink"/>
                <w:rFonts w:ascii="Arial" w:hAnsi="Arial" w:cs="Arial"/>
                <w:noProof/>
              </w:rPr>
              <w:t>Opis alternativnih strategija zaduživanja</w:t>
            </w:r>
            <w:r w:rsidR="00677B60">
              <w:rPr>
                <w:noProof/>
                <w:webHidden/>
              </w:rPr>
              <w:tab/>
            </w:r>
            <w:r w:rsidR="00677B60">
              <w:rPr>
                <w:noProof/>
                <w:webHidden/>
              </w:rPr>
              <w:fldChar w:fldCharType="begin"/>
            </w:r>
            <w:r w:rsidR="00677B60">
              <w:rPr>
                <w:noProof/>
                <w:webHidden/>
              </w:rPr>
              <w:instrText xml:space="preserve"> PAGEREF _Toc100823762 \h </w:instrText>
            </w:r>
            <w:r w:rsidR="00677B60">
              <w:rPr>
                <w:noProof/>
                <w:webHidden/>
              </w:rPr>
            </w:r>
            <w:r w:rsidR="00677B60">
              <w:rPr>
                <w:noProof/>
                <w:webHidden/>
              </w:rPr>
              <w:fldChar w:fldCharType="separate"/>
            </w:r>
            <w:r>
              <w:rPr>
                <w:noProof/>
                <w:webHidden/>
              </w:rPr>
              <w:t>18</w:t>
            </w:r>
            <w:r w:rsidR="00677B60">
              <w:rPr>
                <w:noProof/>
                <w:webHidden/>
              </w:rPr>
              <w:fldChar w:fldCharType="end"/>
            </w:r>
          </w:hyperlink>
        </w:p>
        <w:p w14:paraId="0EE4FCC5" w14:textId="77777777" w:rsidR="00677B60" w:rsidRDefault="00832522">
          <w:pPr>
            <w:pStyle w:val="TOC2"/>
            <w:rPr>
              <w:rFonts w:eastAsiaTheme="minorEastAsia"/>
              <w:noProof/>
              <w:lang w:val="en-US"/>
            </w:rPr>
          </w:pPr>
          <w:hyperlink w:anchor="_Toc100823765" w:history="1">
            <w:r w:rsidR="00677B60" w:rsidRPr="003C1A9D">
              <w:rPr>
                <w:rStyle w:val="Hyperlink"/>
                <w:rFonts w:ascii="Arial" w:hAnsi="Arial" w:cs="Arial"/>
                <w:noProof/>
              </w:rPr>
              <w:t>7.3.</w:t>
            </w:r>
            <w:r w:rsidR="00677B60">
              <w:rPr>
                <w:rFonts w:eastAsiaTheme="minorEastAsia"/>
                <w:noProof/>
                <w:lang w:val="en-US"/>
              </w:rPr>
              <w:tab/>
            </w:r>
            <w:r w:rsidR="00677B60" w:rsidRPr="003C1A9D">
              <w:rPr>
                <w:rStyle w:val="Hyperlink"/>
                <w:rFonts w:ascii="Arial" w:hAnsi="Arial" w:cs="Arial"/>
                <w:noProof/>
              </w:rPr>
              <w:t>Analiza troškova i rizika alternativnih strategija zaduživanja</w:t>
            </w:r>
            <w:r w:rsidR="00677B60">
              <w:rPr>
                <w:noProof/>
                <w:webHidden/>
              </w:rPr>
              <w:tab/>
            </w:r>
            <w:r w:rsidR="00677B60">
              <w:rPr>
                <w:noProof/>
                <w:webHidden/>
              </w:rPr>
              <w:fldChar w:fldCharType="begin"/>
            </w:r>
            <w:r w:rsidR="00677B60">
              <w:rPr>
                <w:noProof/>
                <w:webHidden/>
              </w:rPr>
              <w:instrText xml:space="preserve"> PAGEREF _Toc100823765 \h </w:instrText>
            </w:r>
            <w:r w:rsidR="00677B60">
              <w:rPr>
                <w:noProof/>
                <w:webHidden/>
              </w:rPr>
            </w:r>
            <w:r w:rsidR="00677B60">
              <w:rPr>
                <w:noProof/>
                <w:webHidden/>
              </w:rPr>
              <w:fldChar w:fldCharType="separate"/>
            </w:r>
            <w:r>
              <w:rPr>
                <w:noProof/>
                <w:webHidden/>
              </w:rPr>
              <w:t>19</w:t>
            </w:r>
            <w:r w:rsidR="00677B60">
              <w:rPr>
                <w:noProof/>
                <w:webHidden/>
              </w:rPr>
              <w:fldChar w:fldCharType="end"/>
            </w:r>
          </w:hyperlink>
        </w:p>
        <w:p w14:paraId="01C1DA8D" w14:textId="77777777" w:rsidR="00677B60" w:rsidRDefault="00832522">
          <w:pPr>
            <w:pStyle w:val="TOC2"/>
            <w:rPr>
              <w:rFonts w:eastAsiaTheme="minorEastAsia"/>
              <w:noProof/>
              <w:lang w:val="en-US"/>
            </w:rPr>
          </w:pPr>
          <w:hyperlink w:anchor="_Toc100823766" w:history="1">
            <w:r w:rsidR="00677B60" w:rsidRPr="003C1A9D">
              <w:rPr>
                <w:rStyle w:val="Hyperlink"/>
                <w:rFonts w:ascii="Arial" w:hAnsi="Arial" w:cs="Arial"/>
                <w:noProof/>
              </w:rPr>
              <w:t>7.4.</w:t>
            </w:r>
            <w:r w:rsidR="00677B60">
              <w:rPr>
                <w:rFonts w:eastAsiaTheme="minorEastAsia"/>
                <w:noProof/>
                <w:lang w:val="en-US"/>
              </w:rPr>
              <w:tab/>
            </w:r>
            <w:r w:rsidR="00677B60" w:rsidRPr="003C1A9D">
              <w:rPr>
                <w:rStyle w:val="Hyperlink"/>
                <w:rFonts w:ascii="Arial" w:hAnsi="Arial" w:cs="Arial"/>
                <w:noProof/>
              </w:rPr>
              <w:t>Indikatori rizika alternativnih strategija</w:t>
            </w:r>
            <w:r w:rsidR="00677B60">
              <w:rPr>
                <w:noProof/>
                <w:webHidden/>
              </w:rPr>
              <w:tab/>
            </w:r>
            <w:r w:rsidR="00677B60">
              <w:rPr>
                <w:noProof/>
                <w:webHidden/>
              </w:rPr>
              <w:fldChar w:fldCharType="begin"/>
            </w:r>
            <w:r w:rsidR="00677B60">
              <w:rPr>
                <w:noProof/>
                <w:webHidden/>
              </w:rPr>
              <w:instrText xml:space="preserve"> PAGEREF _Toc100823766 \h </w:instrText>
            </w:r>
            <w:r w:rsidR="00677B60">
              <w:rPr>
                <w:noProof/>
                <w:webHidden/>
              </w:rPr>
            </w:r>
            <w:r w:rsidR="00677B60">
              <w:rPr>
                <w:noProof/>
                <w:webHidden/>
              </w:rPr>
              <w:fldChar w:fldCharType="separate"/>
            </w:r>
            <w:r>
              <w:rPr>
                <w:noProof/>
                <w:webHidden/>
              </w:rPr>
              <w:t>20</w:t>
            </w:r>
            <w:r w:rsidR="00677B60">
              <w:rPr>
                <w:noProof/>
                <w:webHidden/>
              </w:rPr>
              <w:fldChar w:fldCharType="end"/>
            </w:r>
          </w:hyperlink>
        </w:p>
        <w:p w14:paraId="04EA038E" w14:textId="77777777" w:rsidR="00677B60" w:rsidRDefault="00832522">
          <w:pPr>
            <w:pStyle w:val="TOC1"/>
            <w:rPr>
              <w:rFonts w:asciiTheme="minorHAnsi" w:eastAsiaTheme="minorEastAsia" w:hAnsiTheme="minorHAnsi" w:cstheme="minorBidi"/>
              <w:sz w:val="22"/>
              <w:szCs w:val="22"/>
              <w:lang w:val="en-US"/>
            </w:rPr>
          </w:pPr>
          <w:hyperlink w:anchor="_Toc100823767" w:history="1">
            <w:r w:rsidR="00677B60" w:rsidRPr="003C1A9D">
              <w:rPr>
                <w:rStyle w:val="Hyperlink"/>
              </w:rPr>
              <w:t>8.</w:t>
            </w:r>
            <w:r w:rsidR="00677B60">
              <w:rPr>
                <w:rFonts w:asciiTheme="minorHAnsi" w:eastAsiaTheme="minorEastAsia" w:hAnsiTheme="minorHAnsi" w:cstheme="minorBidi"/>
                <w:sz w:val="22"/>
                <w:szCs w:val="22"/>
                <w:lang w:val="en-US"/>
              </w:rPr>
              <w:tab/>
            </w:r>
            <w:r w:rsidR="00677B60" w:rsidRPr="003C1A9D">
              <w:rPr>
                <w:rStyle w:val="Hyperlink"/>
              </w:rPr>
              <w:t>SMJERNICE ZA UPRAVLJANJE DUGOM</w:t>
            </w:r>
            <w:r w:rsidR="00677B60">
              <w:rPr>
                <w:webHidden/>
              </w:rPr>
              <w:tab/>
            </w:r>
            <w:r w:rsidR="00677B60">
              <w:rPr>
                <w:webHidden/>
              </w:rPr>
              <w:fldChar w:fldCharType="begin"/>
            </w:r>
            <w:r w:rsidR="00677B60">
              <w:rPr>
                <w:webHidden/>
              </w:rPr>
              <w:instrText xml:space="preserve"> PAGEREF _Toc100823767 \h </w:instrText>
            </w:r>
            <w:r w:rsidR="00677B60">
              <w:rPr>
                <w:webHidden/>
              </w:rPr>
            </w:r>
            <w:r w:rsidR="00677B60">
              <w:rPr>
                <w:webHidden/>
              </w:rPr>
              <w:fldChar w:fldCharType="separate"/>
            </w:r>
            <w:r>
              <w:rPr>
                <w:webHidden/>
              </w:rPr>
              <w:t>21</w:t>
            </w:r>
            <w:r w:rsidR="00677B60">
              <w:rPr>
                <w:webHidden/>
              </w:rPr>
              <w:fldChar w:fldCharType="end"/>
            </w:r>
          </w:hyperlink>
        </w:p>
        <w:p w14:paraId="20971823" w14:textId="529595FB" w:rsidR="00677B60" w:rsidRDefault="00832522">
          <w:pPr>
            <w:pStyle w:val="TOC2"/>
            <w:rPr>
              <w:rFonts w:eastAsiaTheme="minorEastAsia"/>
              <w:noProof/>
              <w:lang w:val="en-US"/>
            </w:rPr>
          </w:pPr>
          <w:hyperlink w:anchor="_Toc100823768" w:history="1">
            <w:r w:rsidR="00677B60" w:rsidRPr="003C1A9D">
              <w:rPr>
                <w:rStyle w:val="Hyperlink"/>
                <w:rFonts w:ascii="Arial" w:hAnsi="Arial" w:cs="Arial"/>
                <w:noProof/>
              </w:rPr>
              <w:t>8.1.</w:t>
            </w:r>
            <w:r w:rsidR="00677B60">
              <w:rPr>
                <w:rFonts w:eastAsiaTheme="minorEastAsia"/>
                <w:noProof/>
                <w:lang w:val="en-US"/>
              </w:rPr>
              <w:tab/>
            </w:r>
            <w:r w:rsidR="00677B60" w:rsidRPr="003C1A9D">
              <w:rPr>
                <w:rStyle w:val="Hyperlink"/>
                <w:rFonts w:ascii="Arial" w:hAnsi="Arial" w:cs="Arial"/>
                <w:noProof/>
              </w:rPr>
              <w:t xml:space="preserve">Sveukupna struktura </w:t>
            </w:r>
            <w:r w:rsidR="009A78EF">
              <w:rPr>
                <w:rStyle w:val="Hyperlink"/>
                <w:rFonts w:ascii="Arial" w:hAnsi="Arial" w:cs="Arial"/>
                <w:noProof/>
              </w:rPr>
              <w:t>portfelja</w:t>
            </w:r>
            <w:r w:rsidR="00677B60" w:rsidRPr="003C1A9D">
              <w:rPr>
                <w:rStyle w:val="Hyperlink"/>
                <w:rFonts w:ascii="Arial" w:hAnsi="Arial" w:cs="Arial"/>
                <w:noProof/>
              </w:rPr>
              <w:t xml:space="preserve"> duga</w:t>
            </w:r>
            <w:r w:rsidR="00677B60">
              <w:rPr>
                <w:noProof/>
                <w:webHidden/>
              </w:rPr>
              <w:tab/>
            </w:r>
            <w:r w:rsidR="00677B60">
              <w:rPr>
                <w:noProof/>
                <w:webHidden/>
              </w:rPr>
              <w:fldChar w:fldCharType="begin"/>
            </w:r>
            <w:r w:rsidR="00677B60">
              <w:rPr>
                <w:noProof/>
                <w:webHidden/>
              </w:rPr>
              <w:instrText xml:space="preserve"> PAGEREF _Toc100823768 \h </w:instrText>
            </w:r>
            <w:r w:rsidR="00677B60">
              <w:rPr>
                <w:noProof/>
                <w:webHidden/>
              </w:rPr>
            </w:r>
            <w:r w:rsidR="00677B60">
              <w:rPr>
                <w:noProof/>
                <w:webHidden/>
              </w:rPr>
              <w:fldChar w:fldCharType="separate"/>
            </w:r>
            <w:r>
              <w:rPr>
                <w:noProof/>
                <w:webHidden/>
              </w:rPr>
              <w:t>21</w:t>
            </w:r>
            <w:r w:rsidR="00677B60">
              <w:rPr>
                <w:noProof/>
                <w:webHidden/>
              </w:rPr>
              <w:fldChar w:fldCharType="end"/>
            </w:r>
          </w:hyperlink>
        </w:p>
        <w:p w14:paraId="5F85AE00" w14:textId="77777777" w:rsidR="00677B60" w:rsidRDefault="00832522">
          <w:pPr>
            <w:pStyle w:val="TOC2"/>
            <w:rPr>
              <w:rFonts w:eastAsiaTheme="minorEastAsia"/>
              <w:noProof/>
              <w:lang w:val="en-US"/>
            </w:rPr>
          </w:pPr>
          <w:hyperlink w:anchor="_Toc100823769" w:history="1">
            <w:r w:rsidR="00677B60" w:rsidRPr="003C1A9D">
              <w:rPr>
                <w:rStyle w:val="Hyperlink"/>
                <w:rFonts w:ascii="Arial" w:hAnsi="Arial" w:cs="Arial"/>
                <w:noProof/>
              </w:rPr>
              <w:t>8.2.</w:t>
            </w:r>
            <w:r w:rsidR="00677B60">
              <w:rPr>
                <w:rFonts w:eastAsiaTheme="minorEastAsia"/>
                <w:noProof/>
                <w:lang w:val="en-US"/>
              </w:rPr>
              <w:tab/>
            </w:r>
            <w:r w:rsidR="00677B60" w:rsidRPr="003C1A9D">
              <w:rPr>
                <w:rStyle w:val="Hyperlink"/>
                <w:rFonts w:ascii="Arial" w:hAnsi="Arial" w:cs="Arial"/>
                <w:noProof/>
              </w:rPr>
              <w:t>Smjernice za zaduživanje</w:t>
            </w:r>
            <w:r w:rsidR="00677B60">
              <w:rPr>
                <w:noProof/>
                <w:webHidden/>
              </w:rPr>
              <w:tab/>
            </w:r>
            <w:r w:rsidR="00677B60">
              <w:rPr>
                <w:noProof/>
                <w:webHidden/>
              </w:rPr>
              <w:fldChar w:fldCharType="begin"/>
            </w:r>
            <w:r w:rsidR="00677B60">
              <w:rPr>
                <w:noProof/>
                <w:webHidden/>
              </w:rPr>
              <w:instrText xml:space="preserve"> PAGEREF _Toc100823769 \h </w:instrText>
            </w:r>
            <w:r w:rsidR="00677B60">
              <w:rPr>
                <w:noProof/>
                <w:webHidden/>
              </w:rPr>
            </w:r>
            <w:r w:rsidR="00677B60">
              <w:rPr>
                <w:noProof/>
                <w:webHidden/>
              </w:rPr>
              <w:fldChar w:fldCharType="separate"/>
            </w:r>
            <w:r>
              <w:rPr>
                <w:noProof/>
                <w:webHidden/>
              </w:rPr>
              <w:t>22</w:t>
            </w:r>
            <w:r w:rsidR="00677B60">
              <w:rPr>
                <w:noProof/>
                <w:webHidden/>
              </w:rPr>
              <w:fldChar w:fldCharType="end"/>
            </w:r>
          </w:hyperlink>
        </w:p>
        <w:p w14:paraId="267128E8" w14:textId="77777777" w:rsidR="00677B60" w:rsidRDefault="00832522">
          <w:pPr>
            <w:pStyle w:val="TOC2"/>
            <w:rPr>
              <w:rFonts w:eastAsiaTheme="minorEastAsia"/>
              <w:noProof/>
              <w:lang w:val="en-US"/>
            </w:rPr>
          </w:pPr>
          <w:hyperlink w:anchor="_Toc100823770" w:history="1">
            <w:r w:rsidR="00677B60" w:rsidRPr="003C1A9D">
              <w:rPr>
                <w:rStyle w:val="Hyperlink"/>
                <w:rFonts w:ascii="Arial" w:hAnsi="Arial" w:cs="Arial"/>
                <w:noProof/>
              </w:rPr>
              <w:t>8.3.</w:t>
            </w:r>
            <w:r w:rsidR="00677B60">
              <w:rPr>
                <w:rFonts w:eastAsiaTheme="minorEastAsia"/>
                <w:noProof/>
                <w:lang w:val="en-US"/>
              </w:rPr>
              <w:tab/>
            </w:r>
            <w:r w:rsidR="00677B60" w:rsidRPr="003C1A9D">
              <w:rPr>
                <w:rStyle w:val="Hyperlink"/>
                <w:rFonts w:ascii="Arial" w:hAnsi="Arial" w:cs="Arial"/>
                <w:noProof/>
              </w:rPr>
              <w:t>Kvantitativne strateške mete</w:t>
            </w:r>
            <w:r w:rsidR="00677B60">
              <w:rPr>
                <w:noProof/>
                <w:webHidden/>
              </w:rPr>
              <w:tab/>
            </w:r>
            <w:r w:rsidR="00677B60">
              <w:rPr>
                <w:noProof/>
                <w:webHidden/>
              </w:rPr>
              <w:fldChar w:fldCharType="begin"/>
            </w:r>
            <w:r w:rsidR="00677B60">
              <w:rPr>
                <w:noProof/>
                <w:webHidden/>
              </w:rPr>
              <w:instrText xml:space="preserve"> PAGEREF _Toc100823770 \h </w:instrText>
            </w:r>
            <w:r w:rsidR="00677B60">
              <w:rPr>
                <w:noProof/>
                <w:webHidden/>
              </w:rPr>
            </w:r>
            <w:r w:rsidR="00677B60">
              <w:rPr>
                <w:noProof/>
                <w:webHidden/>
              </w:rPr>
              <w:fldChar w:fldCharType="separate"/>
            </w:r>
            <w:r>
              <w:rPr>
                <w:noProof/>
                <w:webHidden/>
              </w:rPr>
              <w:t>22</w:t>
            </w:r>
            <w:r w:rsidR="00677B60">
              <w:rPr>
                <w:noProof/>
                <w:webHidden/>
              </w:rPr>
              <w:fldChar w:fldCharType="end"/>
            </w:r>
          </w:hyperlink>
        </w:p>
        <w:p w14:paraId="5E3B017B" w14:textId="35ECB985" w:rsidR="00677B60" w:rsidRDefault="00832522">
          <w:pPr>
            <w:pStyle w:val="TOC1"/>
            <w:rPr>
              <w:rFonts w:asciiTheme="minorHAnsi" w:eastAsiaTheme="minorEastAsia" w:hAnsiTheme="minorHAnsi" w:cstheme="minorBidi"/>
              <w:sz w:val="22"/>
              <w:szCs w:val="22"/>
              <w:lang w:val="en-US"/>
            </w:rPr>
          </w:pPr>
          <w:hyperlink w:anchor="_Toc100823771" w:history="1">
            <w:r w:rsidR="00677B60" w:rsidRPr="003C1A9D">
              <w:rPr>
                <w:rStyle w:val="Hyperlink"/>
              </w:rPr>
              <w:t>9.</w:t>
            </w:r>
            <w:r w:rsidR="00677B60">
              <w:rPr>
                <w:rFonts w:asciiTheme="minorHAnsi" w:eastAsiaTheme="minorEastAsia" w:hAnsiTheme="minorHAnsi" w:cstheme="minorBidi"/>
                <w:sz w:val="22"/>
                <w:szCs w:val="22"/>
                <w:lang w:val="en-US"/>
              </w:rPr>
              <w:tab/>
            </w:r>
            <w:r w:rsidR="009A78EF">
              <w:rPr>
                <w:rStyle w:val="Hyperlink"/>
              </w:rPr>
              <w:t>KOMUNIKACIJA S</w:t>
            </w:r>
            <w:r w:rsidR="00677B60" w:rsidRPr="003C1A9D">
              <w:rPr>
                <w:rStyle w:val="Hyperlink"/>
              </w:rPr>
              <w:t xml:space="preserve"> TRŽIŠTEM</w:t>
            </w:r>
            <w:r w:rsidR="00677B60">
              <w:rPr>
                <w:webHidden/>
              </w:rPr>
              <w:tab/>
            </w:r>
            <w:r w:rsidR="00677B60">
              <w:rPr>
                <w:webHidden/>
              </w:rPr>
              <w:fldChar w:fldCharType="begin"/>
            </w:r>
            <w:r w:rsidR="00677B60">
              <w:rPr>
                <w:webHidden/>
              </w:rPr>
              <w:instrText xml:space="preserve"> PAGEREF _Toc100823771 \h </w:instrText>
            </w:r>
            <w:r w:rsidR="00677B60">
              <w:rPr>
                <w:webHidden/>
              </w:rPr>
            </w:r>
            <w:r w:rsidR="00677B60">
              <w:rPr>
                <w:webHidden/>
              </w:rPr>
              <w:fldChar w:fldCharType="separate"/>
            </w:r>
            <w:r>
              <w:rPr>
                <w:webHidden/>
              </w:rPr>
              <w:t>22</w:t>
            </w:r>
            <w:r w:rsidR="00677B60">
              <w:rPr>
                <w:webHidden/>
              </w:rPr>
              <w:fldChar w:fldCharType="end"/>
            </w:r>
          </w:hyperlink>
        </w:p>
        <w:p w14:paraId="311621AF" w14:textId="77777777" w:rsidR="000374C5" w:rsidRPr="00AF7CAC" w:rsidRDefault="00955DCC" w:rsidP="00955DCC">
          <w:r w:rsidRPr="00AF7CAC">
            <w:rPr>
              <w:rFonts w:ascii="Arial" w:hAnsi="Arial" w:cs="Arial"/>
              <w:sz w:val="20"/>
              <w:szCs w:val="20"/>
            </w:rPr>
            <w:fldChar w:fldCharType="end"/>
          </w:r>
        </w:p>
      </w:sdtContent>
    </w:sdt>
    <w:p w14:paraId="500715FF" w14:textId="485C0A7A" w:rsidR="00F038BE" w:rsidRDefault="00F038BE" w:rsidP="00C6774E">
      <w:pPr>
        <w:spacing w:line="240" w:lineRule="auto"/>
        <w:ind w:left="-426"/>
        <w:jc w:val="center"/>
        <w:rPr>
          <w:rFonts w:ascii="Arial" w:hAnsi="Arial" w:cs="Arial"/>
          <w:sz w:val="24"/>
          <w:szCs w:val="24"/>
        </w:rPr>
      </w:pPr>
      <w:r>
        <w:rPr>
          <w:rFonts w:ascii="Arial" w:hAnsi="Arial" w:cs="Arial"/>
          <w:sz w:val="24"/>
          <w:szCs w:val="24"/>
        </w:rPr>
        <w:br w:type="page"/>
      </w:r>
    </w:p>
    <w:p w14:paraId="3917058D" w14:textId="77777777" w:rsidR="00955DCC" w:rsidRDefault="00955DCC" w:rsidP="00C6774E">
      <w:pPr>
        <w:spacing w:line="240" w:lineRule="auto"/>
        <w:ind w:left="-426"/>
        <w:jc w:val="center"/>
        <w:rPr>
          <w:rFonts w:ascii="Arial" w:hAnsi="Arial" w:cs="Arial"/>
          <w:sz w:val="24"/>
          <w:szCs w:val="24"/>
        </w:rPr>
      </w:pPr>
      <w:r w:rsidRPr="00AF7CAC">
        <w:rPr>
          <w:rFonts w:ascii="Arial" w:hAnsi="Arial" w:cs="Arial"/>
          <w:sz w:val="24"/>
          <w:szCs w:val="24"/>
        </w:rPr>
        <w:lastRenderedPageBreak/>
        <w:t>SKRAĆENICE</w:t>
      </w:r>
    </w:p>
    <w:p w14:paraId="2B49403F" w14:textId="77777777" w:rsidR="00906DA8" w:rsidRPr="00AF7CAC" w:rsidRDefault="00906DA8" w:rsidP="00C6774E">
      <w:pPr>
        <w:spacing w:line="240" w:lineRule="auto"/>
        <w:ind w:left="-426"/>
        <w:jc w:val="center"/>
        <w:rPr>
          <w:rFonts w:ascii="Arial" w:hAnsi="Arial" w:cs="Arial"/>
          <w:sz w:val="24"/>
          <w:szCs w:val="24"/>
        </w:rPr>
      </w:pPr>
    </w:p>
    <w:tbl>
      <w:tblPr>
        <w:tblW w:w="10207" w:type="dxa"/>
        <w:tblInd w:w="-426" w:type="dxa"/>
        <w:tblLook w:val="04A0" w:firstRow="1" w:lastRow="0" w:firstColumn="1" w:lastColumn="0" w:noHBand="0" w:noVBand="1"/>
      </w:tblPr>
      <w:tblGrid>
        <w:gridCol w:w="883"/>
        <w:gridCol w:w="290"/>
        <w:gridCol w:w="9034"/>
      </w:tblGrid>
      <w:tr w:rsidR="00A361FA" w:rsidRPr="00087712" w14:paraId="74E95EBB" w14:textId="77777777" w:rsidTr="00741FF9">
        <w:trPr>
          <w:trHeight w:val="567"/>
        </w:trPr>
        <w:tc>
          <w:tcPr>
            <w:tcW w:w="883" w:type="dxa"/>
            <w:shd w:val="clear" w:color="auto" w:fill="auto"/>
            <w:noWrap/>
            <w:hideMark/>
          </w:tcPr>
          <w:p w14:paraId="433CB6EF" w14:textId="77777777" w:rsidR="00773E7B" w:rsidRPr="00741FF9" w:rsidRDefault="00773E7B" w:rsidP="00BA586C">
            <w:pPr>
              <w:spacing w:after="0" w:line="240" w:lineRule="auto"/>
              <w:rPr>
                <w:rFonts w:ascii="Arial" w:eastAsia="Times New Roman" w:hAnsi="Arial" w:cs="Arial"/>
                <w:szCs w:val="24"/>
                <w:lang w:eastAsia="bs-Latn-BA"/>
              </w:rPr>
            </w:pPr>
            <w:r w:rsidRPr="00741FF9">
              <w:rPr>
                <w:rFonts w:ascii="Arial" w:eastAsia="Times New Roman" w:hAnsi="Arial" w:cs="Arial"/>
                <w:szCs w:val="24"/>
                <w:lang w:eastAsia="bs-Latn-BA"/>
              </w:rPr>
              <w:t>ATM</w:t>
            </w:r>
          </w:p>
        </w:tc>
        <w:tc>
          <w:tcPr>
            <w:tcW w:w="290" w:type="dxa"/>
            <w:shd w:val="clear" w:color="auto" w:fill="auto"/>
            <w:noWrap/>
            <w:hideMark/>
          </w:tcPr>
          <w:p w14:paraId="0B42B7F5" w14:textId="77777777" w:rsidR="00773E7B" w:rsidRPr="00741FF9" w:rsidRDefault="00773E7B" w:rsidP="00BA586C">
            <w:pPr>
              <w:spacing w:after="0" w:line="240" w:lineRule="auto"/>
              <w:rPr>
                <w:rFonts w:ascii="Calibri" w:eastAsia="Times New Roman" w:hAnsi="Calibri" w:cs="Times New Roman"/>
                <w:szCs w:val="24"/>
                <w:lang w:eastAsia="bs-Latn-BA"/>
              </w:rPr>
            </w:pPr>
            <w:r w:rsidRPr="00741FF9">
              <w:rPr>
                <w:rFonts w:ascii="Calibri" w:eastAsia="Times New Roman" w:hAnsi="Calibri" w:cs="Times New Roman"/>
                <w:szCs w:val="24"/>
                <w:lang w:eastAsia="bs-Latn-BA"/>
              </w:rPr>
              <w:t>-</w:t>
            </w:r>
          </w:p>
        </w:tc>
        <w:tc>
          <w:tcPr>
            <w:tcW w:w="9034" w:type="dxa"/>
            <w:shd w:val="clear" w:color="auto" w:fill="auto"/>
            <w:noWrap/>
            <w:hideMark/>
          </w:tcPr>
          <w:p w14:paraId="1997F046" w14:textId="77777777" w:rsidR="00773E7B" w:rsidRPr="00741FF9" w:rsidRDefault="00773E7B" w:rsidP="00BA586C">
            <w:pPr>
              <w:spacing w:after="0" w:line="240" w:lineRule="auto"/>
              <w:rPr>
                <w:rFonts w:ascii="Arial" w:eastAsia="Times New Roman" w:hAnsi="Arial" w:cs="Arial"/>
                <w:szCs w:val="24"/>
                <w:lang w:eastAsia="bs-Latn-BA"/>
              </w:rPr>
            </w:pPr>
            <w:r w:rsidRPr="00741FF9">
              <w:rPr>
                <w:rFonts w:ascii="Arial" w:eastAsia="Times New Roman" w:hAnsi="Arial" w:cs="Arial"/>
                <w:szCs w:val="24"/>
                <w:lang w:eastAsia="bs-Latn-BA"/>
              </w:rPr>
              <w:t>Prosječno vrijeme dospijeća (Average Time to Maturity)</w:t>
            </w:r>
          </w:p>
        </w:tc>
      </w:tr>
      <w:tr w:rsidR="00A361FA" w:rsidRPr="00087712" w14:paraId="77E7C84A" w14:textId="77777777" w:rsidTr="00741FF9">
        <w:trPr>
          <w:trHeight w:val="567"/>
        </w:trPr>
        <w:tc>
          <w:tcPr>
            <w:tcW w:w="883" w:type="dxa"/>
            <w:shd w:val="clear" w:color="auto" w:fill="auto"/>
            <w:noWrap/>
            <w:hideMark/>
          </w:tcPr>
          <w:p w14:paraId="37E419B4" w14:textId="77777777" w:rsidR="00773E7B" w:rsidRPr="00741FF9" w:rsidRDefault="00773E7B" w:rsidP="00BA586C">
            <w:pPr>
              <w:spacing w:after="0" w:line="240" w:lineRule="auto"/>
              <w:rPr>
                <w:rFonts w:ascii="Arial" w:eastAsia="Times New Roman" w:hAnsi="Arial" w:cs="Arial"/>
                <w:szCs w:val="24"/>
                <w:lang w:eastAsia="bs-Latn-BA"/>
              </w:rPr>
            </w:pPr>
            <w:r w:rsidRPr="00741FF9">
              <w:rPr>
                <w:rFonts w:ascii="Arial" w:eastAsia="Times New Roman" w:hAnsi="Arial" w:cs="Arial"/>
                <w:szCs w:val="24"/>
                <w:lang w:eastAsia="bs-Latn-BA"/>
              </w:rPr>
              <w:t>ATR</w:t>
            </w:r>
          </w:p>
        </w:tc>
        <w:tc>
          <w:tcPr>
            <w:tcW w:w="290" w:type="dxa"/>
            <w:shd w:val="clear" w:color="auto" w:fill="auto"/>
            <w:noWrap/>
            <w:hideMark/>
          </w:tcPr>
          <w:p w14:paraId="44BAEC47" w14:textId="77777777" w:rsidR="00773E7B" w:rsidRPr="00741FF9" w:rsidRDefault="00773E7B" w:rsidP="00BA586C">
            <w:pPr>
              <w:spacing w:after="0" w:line="240" w:lineRule="auto"/>
              <w:rPr>
                <w:rFonts w:ascii="Calibri" w:eastAsia="Times New Roman" w:hAnsi="Calibri" w:cs="Times New Roman"/>
                <w:szCs w:val="24"/>
                <w:lang w:eastAsia="bs-Latn-BA"/>
              </w:rPr>
            </w:pPr>
            <w:r w:rsidRPr="00741FF9">
              <w:rPr>
                <w:rFonts w:ascii="Calibri" w:eastAsia="Times New Roman" w:hAnsi="Calibri" w:cs="Times New Roman"/>
                <w:szCs w:val="24"/>
                <w:lang w:eastAsia="bs-Latn-BA"/>
              </w:rPr>
              <w:t>-</w:t>
            </w:r>
          </w:p>
        </w:tc>
        <w:tc>
          <w:tcPr>
            <w:tcW w:w="9034" w:type="dxa"/>
            <w:shd w:val="clear" w:color="auto" w:fill="auto"/>
            <w:noWrap/>
            <w:hideMark/>
          </w:tcPr>
          <w:p w14:paraId="52072A1F" w14:textId="77777777" w:rsidR="00773E7B" w:rsidRPr="00741FF9" w:rsidRDefault="00773E7B" w:rsidP="00BA586C">
            <w:pPr>
              <w:spacing w:after="0" w:line="240" w:lineRule="auto"/>
              <w:rPr>
                <w:rFonts w:ascii="Arial" w:eastAsia="Times New Roman" w:hAnsi="Arial" w:cs="Arial"/>
                <w:szCs w:val="24"/>
                <w:lang w:eastAsia="bs-Latn-BA"/>
              </w:rPr>
            </w:pPr>
            <w:r w:rsidRPr="00741FF9">
              <w:rPr>
                <w:rFonts w:ascii="Arial" w:eastAsia="Times New Roman" w:hAnsi="Arial" w:cs="Arial"/>
                <w:szCs w:val="24"/>
                <w:lang w:eastAsia="bs-Latn-BA"/>
              </w:rPr>
              <w:t>Prosječno vrijeme refiksiranja (Average Time to Refixing)</w:t>
            </w:r>
          </w:p>
        </w:tc>
      </w:tr>
      <w:tr w:rsidR="00A361FA" w:rsidRPr="00087712" w14:paraId="3C580222" w14:textId="77777777" w:rsidTr="00741FF9">
        <w:trPr>
          <w:trHeight w:val="567"/>
        </w:trPr>
        <w:tc>
          <w:tcPr>
            <w:tcW w:w="883" w:type="dxa"/>
            <w:shd w:val="clear" w:color="auto" w:fill="auto"/>
            <w:noWrap/>
            <w:hideMark/>
          </w:tcPr>
          <w:p w14:paraId="11FBC7B4" w14:textId="77777777" w:rsidR="00773E7B" w:rsidRPr="00741FF9" w:rsidRDefault="00773E7B" w:rsidP="00BA586C">
            <w:pPr>
              <w:spacing w:after="0" w:line="240" w:lineRule="auto"/>
              <w:rPr>
                <w:rFonts w:ascii="Arial" w:eastAsia="Times New Roman" w:hAnsi="Arial" w:cs="Arial"/>
                <w:szCs w:val="24"/>
                <w:lang w:eastAsia="bs-Latn-BA"/>
              </w:rPr>
            </w:pPr>
            <w:r w:rsidRPr="00741FF9">
              <w:rPr>
                <w:rFonts w:ascii="Arial" w:eastAsia="Times New Roman" w:hAnsi="Arial" w:cs="Arial"/>
                <w:szCs w:val="24"/>
                <w:lang w:eastAsia="bs-Latn-BA"/>
              </w:rPr>
              <w:t>BDP</w:t>
            </w:r>
          </w:p>
        </w:tc>
        <w:tc>
          <w:tcPr>
            <w:tcW w:w="290" w:type="dxa"/>
            <w:shd w:val="clear" w:color="auto" w:fill="auto"/>
            <w:noWrap/>
            <w:hideMark/>
          </w:tcPr>
          <w:p w14:paraId="032911F2" w14:textId="77777777" w:rsidR="00773E7B" w:rsidRPr="00741FF9" w:rsidRDefault="00773E7B" w:rsidP="00BA586C">
            <w:pPr>
              <w:spacing w:after="0" w:line="240" w:lineRule="auto"/>
              <w:rPr>
                <w:rFonts w:ascii="Calibri" w:eastAsia="Times New Roman" w:hAnsi="Calibri" w:cs="Times New Roman"/>
                <w:szCs w:val="24"/>
                <w:lang w:eastAsia="bs-Latn-BA"/>
              </w:rPr>
            </w:pPr>
            <w:r w:rsidRPr="00741FF9">
              <w:rPr>
                <w:rFonts w:ascii="Calibri" w:eastAsia="Times New Roman" w:hAnsi="Calibri" w:cs="Times New Roman"/>
                <w:szCs w:val="24"/>
                <w:lang w:eastAsia="bs-Latn-BA"/>
              </w:rPr>
              <w:t>-</w:t>
            </w:r>
          </w:p>
        </w:tc>
        <w:tc>
          <w:tcPr>
            <w:tcW w:w="9034" w:type="dxa"/>
            <w:shd w:val="clear" w:color="auto" w:fill="auto"/>
            <w:noWrap/>
            <w:hideMark/>
          </w:tcPr>
          <w:p w14:paraId="59A22450" w14:textId="13E4AE4C" w:rsidR="00773E7B" w:rsidRPr="00741FF9" w:rsidRDefault="00773E7B" w:rsidP="004476F9">
            <w:pPr>
              <w:spacing w:after="0" w:line="240" w:lineRule="auto"/>
              <w:rPr>
                <w:rFonts w:ascii="Arial" w:eastAsia="Times New Roman" w:hAnsi="Arial" w:cs="Arial"/>
                <w:szCs w:val="24"/>
                <w:lang w:eastAsia="bs-Latn-BA"/>
              </w:rPr>
            </w:pPr>
            <w:r w:rsidRPr="00741FF9">
              <w:rPr>
                <w:rFonts w:ascii="Arial" w:eastAsia="Times New Roman" w:hAnsi="Arial" w:cs="Arial"/>
                <w:szCs w:val="24"/>
                <w:lang w:eastAsia="bs-Latn-BA"/>
              </w:rPr>
              <w:t>Bruto domaći proizvod</w:t>
            </w:r>
            <w:r w:rsidR="0097128C" w:rsidRPr="00741FF9">
              <w:rPr>
                <w:rFonts w:ascii="Arial" w:eastAsia="Times New Roman" w:hAnsi="Arial" w:cs="Arial"/>
                <w:szCs w:val="24"/>
                <w:lang w:eastAsia="bs-Latn-BA"/>
              </w:rPr>
              <w:t xml:space="preserve">  (</w:t>
            </w:r>
            <w:r w:rsidR="004476F9" w:rsidRPr="00741FF9">
              <w:rPr>
                <w:rFonts w:ascii="Arial" w:eastAsia="Times New Roman" w:hAnsi="Arial" w:cs="Arial"/>
                <w:szCs w:val="24"/>
                <w:lang w:eastAsia="bs-Latn-BA"/>
              </w:rPr>
              <w:t>Gross</w:t>
            </w:r>
            <w:r w:rsidR="0097128C" w:rsidRPr="00741FF9">
              <w:rPr>
                <w:rFonts w:ascii="Arial" w:eastAsia="Times New Roman" w:hAnsi="Arial" w:cs="Arial"/>
                <w:szCs w:val="24"/>
                <w:lang w:eastAsia="bs-Latn-BA"/>
              </w:rPr>
              <w:t xml:space="preserve"> Domestic Product)</w:t>
            </w:r>
          </w:p>
        </w:tc>
      </w:tr>
      <w:tr w:rsidR="00A361FA" w:rsidRPr="00087712" w14:paraId="37470100" w14:textId="77777777" w:rsidTr="00741FF9">
        <w:trPr>
          <w:trHeight w:val="567"/>
        </w:trPr>
        <w:tc>
          <w:tcPr>
            <w:tcW w:w="883" w:type="dxa"/>
            <w:shd w:val="clear" w:color="auto" w:fill="auto"/>
            <w:noWrap/>
            <w:hideMark/>
          </w:tcPr>
          <w:p w14:paraId="1756A081" w14:textId="77777777" w:rsidR="00773E7B" w:rsidRPr="00741FF9" w:rsidRDefault="00773E7B" w:rsidP="00BA586C">
            <w:pPr>
              <w:spacing w:after="0" w:line="240" w:lineRule="auto"/>
              <w:rPr>
                <w:rFonts w:ascii="Arial" w:eastAsia="Times New Roman" w:hAnsi="Arial" w:cs="Arial"/>
                <w:szCs w:val="24"/>
                <w:lang w:eastAsia="bs-Latn-BA"/>
              </w:rPr>
            </w:pPr>
            <w:r w:rsidRPr="00741FF9">
              <w:rPr>
                <w:rFonts w:ascii="Arial" w:eastAsia="Times New Roman" w:hAnsi="Arial" w:cs="Arial"/>
                <w:szCs w:val="24"/>
                <w:lang w:eastAsia="bs-Latn-BA"/>
              </w:rPr>
              <w:t>DOB</w:t>
            </w:r>
          </w:p>
        </w:tc>
        <w:tc>
          <w:tcPr>
            <w:tcW w:w="290" w:type="dxa"/>
            <w:shd w:val="clear" w:color="auto" w:fill="auto"/>
            <w:noWrap/>
            <w:hideMark/>
          </w:tcPr>
          <w:p w14:paraId="715839A5" w14:textId="77777777" w:rsidR="00773E7B" w:rsidRPr="00741FF9" w:rsidRDefault="00773E7B" w:rsidP="00BA586C">
            <w:pPr>
              <w:spacing w:after="0" w:line="240" w:lineRule="auto"/>
              <w:rPr>
                <w:rFonts w:ascii="Calibri" w:eastAsia="Times New Roman" w:hAnsi="Calibri" w:cs="Times New Roman"/>
                <w:szCs w:val="24"/>
                <w:lang w:eastAsia="bs-Latn-BA"/>
              </w:rPr>
            </w:pPr>
            <w:r w:rsidRPr="00741FF9">
              <w:rPr>
                <w:rFonts w:ascii="Calibri" w:eastAsia="Times New Roman" w:hAnsi="Calibri" w:cs="Times New Roman"/>
                <w:szCs w:val="24"/>
                <w:lang w:eastAsia="bs-Latn-BA"/>
              </w:rPr>
              <w:t>-</w:t>
            </w:r>
          </w:p>
        </w:tc>
        <w:tc>
          <w:tcPr>
            <w:tcW w:w="9034" w:type="dxa"/>
            <w:shd w:val="clear" w:color="auto" w:fill="auto"/>
            <w:noWrap/>
            <w:hideMark/>
          </w:tcPr>
          <w:p w14:paraId="60A86567" w14:textId="55343FA1" w:rsidR="00773E7B" w:rsidRPr="00741FF9" w:rsidRDefault="00773E7B" w:rsidP="00BA586C">
            <w:pPr>
              <w:spacing w:after="0" w:line="240" w:lineRule="auto"/>
              <w:rPr>
                <w:rFonts w:ascii="Arial" w:eastAsia="Times New Roman" w:hAnsi="Arial" w:cs="Arial"/>
                <w:szCs w:val="24"/>
                <w:lang w:eastAsia="bs-Latn-BA"/>
              </w:rPr>
            </w:pPr>
            <w:r w:rsidRPr="00741FF9">
              <w:rPr>
                <w:rFonts w:ascii="Arial" w:eastAsia="Times New Roman" w:hAnsi="Arial" w:cs="Arial"/>
                <w:szCs w:val="24"/>
                <w:lang w:eastAsia="bs-Latn-BA"/>
              </w:rPr>
              <w:t xml:space="preserve">Dokument okvirnog </w:t>
            </w:r>
            <w:r w:rsidR="009A78EF">
              <w:rPr>
                <w:rFonts w:ascii="Arial" w:eastAsia="Times New Roman" w:hAnsi="Arial" w:cs="Arial"/>
                <w:szCs w:val="24"/>
                <w:lang w:eastAsia="bs-Latn-BA"/>
              </w:rPr>
              <w:t>proračun</w:t>
            </w:r>
            <w:r w:rsidRPr="00741FF9">
              <w:rPr>
                <w:rFonts w:ascii="Arial" w:eastAsia="Times New Roman" w:hAnsi="Arial" w:cs="Arial"/>
                <w:szCs w:val="24"/>
                <w:lang w:eastAsia="bs-Latn-BA"/>
              </w:rPr>
              <w:t>a</w:t>
            </w:r>
          </w:p>
        </w:tc>
      </w:tr>
      <w:tr w:rsidR="00A361FA" w:rsidRPr="00087712" w14:paraId="3DC2E3CA" w14:textId="77777777" w:rsidTr="00741FF9">
        <w:trPr>
          <w:trHeight w:val="567"/>
        </w:trPr>
        <w:tc>
          <w:tcPr>
            <w:tcW w:w="883" w:type="dxa"/>
            <w:shd w:val="clear" w:color="auto" w:fill="auto"/>
            <w:noWrap/>
            <w:hideMark/>
          </w:tcPr>
          <w:p w14:paraId="39FE3C03" w14:textId="77777777" w:rsidR="00773E7B" w:rsidRPr="00741FF9" w:rsidRDefault="00773E7B" w:rsidP="00BA586C">
            <w:pPr>
              <w:spacing w:after="0" w:line="240" w:lineRule="auto"/>
              <w:rPr>
                <w:rFonts w:ascii="Arial" w:eastAsia="Times New Roman" w:hAnsi="Arial" w:cs="Arial"/>
                <w:szCs w:val="24"/>
                <w:lang w:eastAsia="bs-Latn-BA"/>
              </w:rPr>
            </w:pPr>
            <w:r w:rsidRPr="00741FF9">
              <w:rPr>
                <w:rFonts w:ascii="Arial" w:eastAsia="Times New Roman" w:hAnsi="Arial" w:cs="Arial"/>
                <w:szCs w:val="24"/>
                <w:lang w:eastAsia="bs-Latn-BA"/>
              </w:rPr>
              <w:t>EBRD</w:t>
            </w:r>
          </w:p>
        </w:tc>
        <w:tc>
          <w:tcPr>
            <w:tcW w:w="290" w:type="dxa"/>
            <w:shd w:val="clear" w:color="auto" w:fill="auto"/>
            <w:noWrap/>
            <w:hideMark/>
          </w:tcPr>
          <w:p w14:paraId="6950FEDA" w14:textId="77777777" w:rsidR="00773E7B" w:rsidRPr="00741FF9" w:rsidRDefault="00773E7B" w:rsidP="00BA586C">
            <w:pPr>
              <w:spacing w:after="0" w:line="240" w:lineRule="auto"/>
              <w:rPr>
                <w:rFonts w:ascii="Calibri" w:eastAsia="Times New Roman" w:hAnsi="Calibri" w:cs="Times New Roman"/>
                <w:szCs w:val="24"/>
                <w:lang w:eastAsia="bs-Latn-BA"/>
              </w:rPr>
            </w:pPr>
            <w:r w:rsidRPr="00741FF9">
              <w:rPr>
                <w:rFonts w:ascii="Calibri" w:eastAsia="Times New Roman" w:hAnsi="Calibri" w:cs="Times New Roman"/>
                <w:szCs w:val="24"/>
                <w:lang w:eastAsia="bs-Latn-BA"/>
              </w:rPr>
              <w:t>-</w:t>
            </w:r>
          </w:p>
        </w:tc>
        <w:tc>
          <w:tcPr>
            <w:tcW w:w="9034" w:type="dxa"/>
            <w:shd w:val="clear" w:color="auto" w:fill="auto"/>
            <w:hideMark/>
          </w:tcPr>
          <w:p w14:paraId="634DE123" w14:textId="43E42F33" w:rsidR="00773E7B" w:rsidRPr="00741FF9" w:rsidRDefault="00773E7B" w:rsidP="00A31C4D">
            <w:pPr>
              <w:spacing w:after="0" w:line="240" w:lineRule="auto"/>
              <w:rPr>
                <w:rFonts w:ascii="Arial" w:eastAsia="Times New Roman" w:hAnsi="Arial" w:cs="Arial"/>
                <w:szCs w:val="24"/>
                <w:lang w:eastAsia="bs-Latn-BA"/>
              </w:rPr>
            </w:pPr>
            <w:r w:rsidRPr="00741FF9">
              <w:rPr>
                <w:rFonts w:ascii="Arial" w:eastAsia="Times New Roman" w:hAnsi="Arial" w:cs="Arial"/>
                <w:szCs w:val="24"/>
                <w:lang w:eastAsia="bs-Latn-BA"/>
              </w:rPr>
              <w:t>E</w:t>
            </w:r>
            <w:r w:rsidR="00A31C4D">
              <w:rPr>
                <w:rFonts w:ascii="Arial" w:eastAsia="Times New Roman" w:hAnsi="Arial" w:cs="Arial"/>
                <w:szCs w:val="24"/>
                <w:lang w:eastAsia="bs-Latn-BA"/>
              </w:rPr>
              <w:t>u</w:t>
            </w:r>
            <w:r w:rsidRPr="00741FF9">
              <w:rPr>
                <w:rFonts w:ascii="Arial" w:eastAsia="Times New Roman" w:hAnsi="Arial" w:cs="Arial"/>
                <w:szCs w:val="24"/>
                <w:lang w:eastAsia="bs-Latn-BA"/>
              </w:rPr>
              <w:t>ropska banka za obnovu i razvoj (European Bank for Reconstruction and Developm</w:t>
            </w:r>
            <w:r w:rsidR="009C725F" w:rsidRPr="00741FF9">
              <w:rPr>
                <w:rFonts w:ascii="Arial" w:eastAsia="Times New Roman" w:hAnsi="Arial" w:cs="Arial"/>
                <w:szCs w:val="24"/>
                <w:lang w:eastAsia="bs-Latn-BA"/>
              </w:rPr>
              <w:t>e</w:t>
            </w:r>
            <w:r w:rsidRPr="00741FF9">
              <w:rPr>
                <w:rFonts w:ascii="Arial" w:eastAsia="Times New Roman" w:hAnsi="Arial" w:cs="Arial"/>
                <w:szCs w:val="24"/>
                <w:lang w:eastAsia="bs-Latn-BA"/>
              </w:rPr>
              <w:t>nt)</w:t>
            </w:r>
          </w:p>
        </w:tc>
      </w:tr>
      <w:tr w:rsidR="00A361FA" w:rsidRPr="00087712" w14:paraId="2473819C" w14:textId="77777777" w:rsidTr="00741FF9">
        <w:trPr>
          <w:trHeight w:val="567"/>
        </w:trPr>
        <w:tc>
          <w:tcPr>
            <w:tcW w:w="883" w:type="dxa"/>
            <w:shd w:val="clear" w:color="auto" w:fill="auto"/>
            <w:noWrap/>
            <w:hideMark/>
          </w:tcPr>
          <w:p w14:paraId="78A9A1AF" w14:textId="77777777" w:rsidR="00773E7B" w:rsidRPr="00741FF9" w:rsidRDefault="00773E7B" w:rsidP="00BA586C">
            <w:pPr>
              <w:spacing w:after="0" w:line="240" w:lineRule="auto"/>
              <w:rPr>
                <w:rFonts w:ascii="Arial" w:eastAsia="Times New Roman" w:hAnsi="Arial" w:cs="Arial"/>
                <w:szCs w:val="24"/>
                <w:lang w:eastAsia="bs-Latn-BA"/>
              </w:rPr>
            </w:pPr>
            <w:r w:rsidRPr="00741FF9">
              <w:rPr>
                <w:rFonts w:ascii="Arial" w:eastAsia="Times New Roman" w:hAnsi="Arial" w:cs="Arial"/>
                <w:szCs w:val="24"/>
                <w:lang w:eastAsia="bs-Latn-BA"/>
              </w:rPr>
              <w:t>EIB</w:t>
            </w:r>
          </w:p>
        </w:tc>
        <w:tc>
          <w:tcPr>
            <w:tcW w:w="290" w:type="dxa"/>
            <w:shd w:val="clear" w:color="auto" w:fill="auto"/>
            <w:noWrap/>
            <w:hideMark/>
          </w:tcPr>
          <w:p w14:paraId="1EACA698" w14:textId="77777777" w:rsidR="00773E7B" w:rsidRPr="00741FF9" w:rsidRDefault="00773E7B" w:rsidP="00BA586C">
            <w:pPr>
              <w:spacing w:after="0" w:line="240" w:lineRule="auto"/>
              <w:rPr>
                <w:rFonts w:ascii="Calibri" w:eastAsia="Times New Roman" w:hAnsi="Calibri" w:cs="Times New Roman"/>
                <w:szCs w:val="24"/>
                <w:lang w:eastAsia="bs-Latn-BA"/>
              </w:rPr>
            </w:pPr>
            <w:r w:rsidRPr="00741FF9">
              <w:rPr>
                <w:rFonts w:ascii="Calibri" w:eastAsia="Times New Roman" w:hAnsi="Calibri" w:cs="Times New Roman"/>
                <w:szCs w:val="24"/>
                <w:lang w:eastAsia="bs-Latn-BA"/>
              </w:rPr>
              <w:t>-</w:t>
            </w:r>
          </w:p>
        </w:tc>
        <w:tc>
          <w:tcPr>
            <w:tcW w:w="9034" w:type="dxa"/>
            <w:shd w:val="clear" w:color="auto" w:fill="auto"/>
            <w:noWrap/>
            <w:hideMark/>
          </w:tcPr>
          <w:p w14:paraId="607FDDF9" w14:textId="791AD85A" w:rsidR="00773E7B" w:rsidRPr="00741FF9" w:rsidRDefault="00773E7B" w:rsidP="00A31C4D">
            <w:pPr>
              <w:spacing w:after="0" w:line="240" w:lineRule="auto"/>
              <w:rPr>
                <w:rFonts w:ascii="Arial" w:eastAsia="Times New Roman" w:hAnsi="Arial" w:cs="Arial"/>
                <w:szCs w:val="24"/>
                <w:lang w:eastAsia="bs-Latn-BA"/>
              </w:rPr>
            </w:pPr>
            <w:r w:rsidRPr="00741FF9">
              <w:rPr>
                <w:rFonts w:ascii="Arial" w:eastAsia="Times New Roman" w:hAnsi="Arial" w:cs="Arial"/>
                <w:szCs w:val="24"/>
                <w:lang w:eastAsia="bs-Latn-BA"/>
              </w:rPr>
              <w:t>E</w:t>
            </w:r>
            <w:r w:rsidR="00A31C4D">
              <w:rPr>
                <w:rFonts w:ascii="Arial" w:eastAsia="Times New Roman" w:hAnsi="Arial" w:cs="Arial"/>
                <w:szCs w:val="24"/>
                <w:lang w:eastAsia="bs-Latn-BA"/>
              </w:rPr>
              <w:t>u</w:t>
            </w:r>
            <w:r w:rsidRPr="00741FF9">
              <w:rPr>
                <w:rFonts w:ascii="Arial" w:eastAsia="Times New Roman" w:hAnsi="Arial" w:cs="Arial"/>
                <w:szCs w:val="24"/>
                <w:lang w:eastAsia="bs-Latn-BA"/>
              </w:rPr>
              <w:t>ropska investicijska banka (European Investment Bank)</w:t>
            </w:r>
          </w:p>
        </w:tc>
      </w:tr>
      <w:tr w:rsidR="00A361FA" w:rsidRPr="00087712" w14:paraId="7779B34B" w14:textId="77777777" w:rsidTr="00741FF9">
        <w:trPr>
          <w:trHeight w:val="567"/>
        </w:trPr>
        <w:tc>
          <w:tcPr>
            <w:tcW w:w="883" w:type="dxa"/>
            <w:shd w:val="clear" w:color="auto" w:fill="auto"/>
            <w:noWrap/>
            <w:hideMark/>
          </w:tcPr>
          <w:p w14:paraId="7E400394" w14:textId="77777777" w:rsidR="00773E7B" w:rsidRPr="00741FF9" w:rsidRDefault="00773E7B" w:rsidP="00BA586C">
            <w:pPr>
              <w:spacing w:after="0" w:line="240" w:lineRule="auto"/>
              <w:rPr>
                <w:rFonts w:ascii="Arial" w:eastAsia="Times New Roman" w:hAnsi="Arial" w:cs="Arial"/>
                <w:szCs w:val="24"/>
                <w:lang w:eastAsia="bs-Latn-BA"/>
              </w:rPr>
            </w:pPr>
            <w:r w:rsidRPr="00741FF9">
              <w:rPr>
                <w:rFonts w:ascii="Arial" w:eastAsia="Times New Roman" w:hAnsi="Arial" w:cs="Arial"/>
                <w:szCs w:val="24"/>
                <w:lang w:eastAsia="bs-Latn-BA"/>
              </w:rPr>
              <w:t>IBRD</w:t>
            </w:r>
          </w:p>
        </w:tc>
        <w:tc>
          <w:tcPr>
            <w:tcW w:w="290" w:type="dxa"/>
            <w:shd w:val="clear" w:color="auto" w:fill="auto"/>
            <w:noWrap/>
            <w:hideMark/>
          </w:tcPr>
          <w:p w14:paraId="78D630A9" w14:textId="77777777" w:rsidR="00773E7B" w:rsidRPr="00741FF9" w:rsidRDefault="00773E7B" w:rsidP="00BA586C">
            <w:pPr>
              <w:spacing w:after="0" w:line="240" w:lineRule="auto"/>
              <w:rPr>
                <w:rFonts w:ascii="Calibri" w:eastAsia="Times New Roman" w:hAnsi="Calibri" w:cs="Times New Roman"/>
                <w:szCs w:val="24"/>
                <w:lang w:eastAsia="bs-Latn-BA"/>
              </w:rPr>
            </w:pPr>
            <w:r w:rsidRPr="00741FF9">
              <w:rPr>
                <w:rFonts w:ascii="Calibri" w:eastAsia="Times New Roman" w:hAnsi="Calibri" w:cs="Times New Roman"/>
                <w:szCs w:val="24"/>
                <w:lang w:eastAsia="bs-Latn-BA"/>
              </w:rPr>
              <w:t>-</w:t>
            </w:r>
          </w:p>
        </w:tc>
        <w:tc>
          <w:tcPr>
            <w:tcW w:w="9034" w:type="dxa"/>
            <w:shd w:val="clear" w:color="auto" w:fill="auto"/>
            <w:hideMark/>
          </w:tcPr>
          <w:p w14:paraId="4C15B2D0" w14:textId="77777777" w:rsidR="00773E7B" w:rsidRPr="00741FF9" w:rsidRDefault="00773E7B" w:rsidP="00BA586C">
            <w:pPr>
              <w:spacing w:after="0" w:line="240" w:lineRule="auto"/>
              <w:rPr>
                <w:rFonts w:ascii="Arial" w:eastAsia="Times New Roman" w:hAnsi="Arial" w:cs="Arial"/>
                <w:szCs w:val="24"/>
                <w:lang w:eastAsia="bs-Latn-BA"/>
              </w:rPr>
            </w:pPr>
            <w:r w:rsidRPr="00741FF9">
              <w:rPr>
                <w:rFonts w:ascii="Arial" w:eastAsia="Times New Roman" w:hAnsi="Arial" w:cs="Arial"/>
                <w:szCs w:val="24"/>
                <w:lang w:eastAsia="bs-Latn-BA"/>
              </w:rPr>
              <w:t>Međunarodna  banka za obnovu i razvoj (International Bank For Recontruction and Development)</w:t>
            </w:r>
          </w:p>
        </w:tc>
      </w:tr>
      <w:tr w:rsidR="00A361FA" w:rsidRPr="00087712" w14:paraId="1DD785C2" w14:textId="77777777" w:rsidTr="00741FF9">
        <w:trPr>
          <w:trHeight w:val="567"/>
        </w:trPr>
        <w:tc>
          <w:tcPr>
            <w:tcW w:w="883" w:type="dxa"/>
            <w:shd w:val="clear" w:color="auto" w:fill="auto"/>
            <w:noWrap/>
            <w:hideMark/>
          </w:tcPr>
          <w:p w14:paraId="12E04D5E" w14:textId="77777777" w:rsidR="00773E7B" w:rsidRPr="00741FF9" w:rsidRDefault="00773E7B" w:rsidP="00BA586C">
            <w:pPr>
              <w:spacing w:after="0" w:line="240" w:lineRule="auto"/>
              <w:rPr>
                <w:rFonts w:ascii="Arial" w:eastAsia="Times New Roman" w:hAnsi="Arial" w:cs="Arial"/>
                <w:szCs w:val="24"/>
                <w:lang w:eastAsia="bs-Latn-BA"/>
              </w:rPr>
            </w:pPr>
            <w:r w:rsidRPr="00741FF9">
              <w:rPr>
                <w:rFonts w:ascii="Arial" w:eastAsia="Times New Roman" w:hAnsi="Arial" w:cs="Arial"/>
                <w:szCs w:val="24"/>
                <w:lang w:eastAsia="bs-Latn-BA"/>
              </w:rPr>
              <w:t>IDA</w:t>
            </w:r>
          </w:p>
        </w:tc>
        <w:tc>
          <w:tcPr>
            <w:tcW w:w="290" w:type="dxa"/>
            <w:shd w:val="clear" w:color="auto" w:fill="auto"/>
            <w:noWrap/>
            <w:hideMark/>
          </w:tcPr>
          <w:p w14:paraId="4204D236" w14:textId="77777777" w:rsidR="00773E7B" w:rsidRPr="00741FF9" w:rsidRDefault="00773E7B" w:rsidP="00BA586C">
            <w:pPr>
              <w:spacing w:after="0" w:line="240" w:lineRule="auto"/>
              <w:rPr>
                <w:rFonts w:ascii="Calibri" w:eastAsia="Times New Roman" w:hAnsi="Calibri" w:cs="Times New Roman"/>
                <w:szCs w:val="24"/>
                <w:lang w:eastAsia="bs-Latn-BA"/>
              </w:rPr>
            </w:pPr>
            <w:r w:rsidRPr="00741FF9">
              <w:rPr>
                <w:rFonts w:ascii="Calibri" w:eastAsia="Times New Roman" w:hAnsi="Calibri" w:cs="Times New Roman"/>
                <w:szCs w:val="24"/>
                <w:lang w:eastAsia="bs-Latn-BA"/>
              </w:rPr>
              <w:t>-</w:t>
            </w:r>
          </w:p>
        </w:tc>
        <w:tc>
          <w:tcPr>
            <w:tcW w:w="9034" w:type="dxa"/>
            <w:shd w:val="clear" w:color="auto" w:fill="auto"/>
            <w:noWrap/>
            <w:hideMark/>
          </w:tcPr>
          <w:p w14:paraId="4E012AE6" w14:textId="77777777" w:rsidR="00773E7B" w:rsidRPr="00741FF9" w:rsidRDefault="00773E7B" w:rsidP="00BA586C">
            <w:pPr>
              <w:spacing w:after="0" w:line="240" w:lineRule="auto"/>
              <w:rPr>
                <w:rFonts w:ascii="Arial" w:eastAsia="Times New Roman" w:hAnsi="Arial" w:cs="Arial"/>
                <w:szCs w:val="24"/>
                <w:lang w:eastAsia="bs-Latn-BA"/>
              </w:rPr>
            </w:pPr>
            <w:r w:rsidRPr="00741FF9">
              <w:rPr>
                <w:rFonts w:ascii="Arial" w:eastAsia="Times New Roman" w:hAnsi="Arial" w:cs="Arial"/>
                <w:szCs w:val="24"/>
                <w:lang w:eastAsia="bs-Latn-BA"/>
              </w:rPr>
              <w:t>Međunarodna asocijacija za razvoj (International Development Association)</w:t>
            </w:r>
          </w:p>
        </w:tc>
      </w:tr>
      <w:tr w:rsidR="00A361FA" w:rsidRPr="00087712" w14:paraId="1A6B09F2" w14:textId="77777777" w:rsidTr="00741FF9">
        <w:trPr>
          <w:trHeight w:val="567"/>
        </w:trPr>
        <w:tc>
          <w:tcPr>
            <w:tcW w:w="883" w:type="dxa"/>
            <w:shd w:val="clear" w:color="auto" w:fill="auto"/>
            <w:noWrap/>
            <w:hideMark/>
          </w:tcPr>
          <w:p w14:paraId="703332E6" w14:textId="77777777" w:rsidR="00773E7B" w:rsidRPr="00741FF9" w:rsidRDefault="00773E7B" w:rsidP="00BA586C">
            <w:pPr>
              <w:spacing w:after="0" w:line="240" w:lineRule="auto"/>
              <w:rPr>
                <w:rFonts w:ascii="Arial" w:eastAsia="Times New Roman" w:hAnsi="Arial" w:cs="Arial"/>
                <w:szCs w:val="24"/>
                <w:lang w:eastAsia="bs-Latn-BA"/>
              </w:rPr>
            </w:pPr>
            <w:r w:rsidRPr="00741FF9">
              <w:rPr>
                <w:rFonts w:ascii="Arial" w:eastAsia="Times New Roman" w:hAnsi="Arial" w:cs="Arial"/>
                <w:szCs w:val="24"/>
                <w:lang w:eastAsia="bs-Latn-BA"/>
              </w:rPr>
              <w:t>KfW</w:t>
            </w:r>
          </w:p>
        </w:tc>
        <w:tc>
          <w:tcPr>
            <w:tcW w:w="290" w:type="dxa"/>
            <w:shd w:val="clear" w:color="auto" w:fill="auto"/>
            <w:noWrap/>
            <w:hideMark/>
          </w:tcPr>
          <w:p w14:paraId="77349012" w14:textId="77777777" w:rsidR="00773E7B" w:rsidRPr="00741FF9" w:rsidRDefault="00773E7B" w:rsidP="00BA586C">
            <w:pPr>
              <w:spacing w:after="0" w:line="240" w:lineRule="auto"/>
              <w:rPr>
                <w:rFonts w:ascii="Calibri" w:eastAsia="Times New Roman" w:hAnsi="Calibri" w:cs="Times New Roman"/>
                <w:szCs w:val="24"/>
                <w:lang w:eastAsia="bs-Latn-BA"/>
              </w:rPr>
            </w:pPr>
            <w:r w:rsidRPr="00741FF9">
              <w:rPr>
                <w:rFonts w:ascii="Calibri" w:eastAsia="Times New Roman" w:hAnsi="Calibri" w:cs="Times New Roman"/>
                <w:szCs w:val="24"/>
                <w:lang w:eastAsia="bs-Latn-BA"/>
              </w:rPr>
              <w:t>-</w:t>
            </w:r>
          </w:p>
        </w:tc>
        <w:tc>
          <w:tcPr>
            <w:tcW w:w="9034" w:type="dxa"/>
            <w:shd w:val="clear" w:color="auto" w:fill="auto"/>
            <w:noWrap/>
            <w:hideMark/>
          </w:tcPr>
          <w:p w14:paraId="3687FFBF" w14:textId="77777777" w:rsidR="00773E7B" w:rsidRPr="00741FF9" w:rsidRDefault="00773E7B" w:rsidP="00BA586C">
            <w:pPr>
              <w:spacing w:after="0" w:line="240" w:lineRule="auto"/>
              <w:rPr>
                <w:rFonts w:ascii="Arial" w:eastAsia="Times New Roman" w:hAnsi="Arial" w:cs="Arial"/>
                <w:szCs w:val="24"/>
                <w:lang w:eastAsia="bs-Latn-BA"/>
              </w:rPr>
            </w:pPr>
            <w:r w:rsidRPr="00741FF9">
              <w:rPr>
                <w:rFonts w:ascii="Arial" w:eastAsia="Times New Roman" w:hAnsi="Arial" w:cs="Arial"/>
                <w:szCs w:val="24"/>
                <w:lang w:eastAsia="bs-Latn-BA"/>
              </w:rPr>
              <w:t>Njemačka banka za obnovu i razvoj (KfW Development Bank)</w:t>
            </w:r>
          </w:p>
        </w:tc>
      </w:tr>
      <w:tr w:rsidR="00A361FA" w:rsidRPr="00FB6FC8" w14:paraId="0D146A05" w14:textId="77777777" w:rsidTr="00741FF9">
        <w:trPr>
          <w:trHeight w:val="567"/>
        </w:trPr>
        <w:tc>
          <w:tcPr>
            <w:tcW w:w="883" w:type="dxa"/>
            <w:shd w:val="clear" w:color="auto" w:fill="auto"/>
            <w:noWrap/>
            <w:hideMark/>
          </w:tcPr>
          <w:p w14:paraId="17694E4D" w14:textId="77777777" w:rsidR="00773E7B" w:rsidRPr="00A31C4D" w:rsidRDefault="005C5B35" w:rsidP="00BA586C">
            <w:pPr>
              <w:spacing w:after="0" w:line="240" w:lineRule="auto"/>
              <w:rPr>
                <w:rFonts w:ascii="Arial" w:eastAsia="Times New Roman" w:hAnsi="Arial" w:cs="Arial"/>
                <w:color w:val="FF0000"/>
                <w:szCs w:val="24"/>
                <w:lang w:eastAsia="bs-Latn-BA"/>
              </w:rPr>
            </w:pPr>
            <w:r w:rsidRPr="00A31C4D">
              <w:rPr>
                <w:rFonts w:ascii="Arial" w:eastAsia="Times New Roman" w:hAnsi="Arial" w:cs="Arial"/>
                <w:color w:val="FF0000"/>
                <w:szCs w:val="24"/>
                <w:lang w:eastAsia="bs-Latn-BA"/>
              </w:rPr>
              <w:t>I</w:t>
            </w:r>
            <w:r w:rsidR="00773E7B" w:rsidRPr="00A31C4D">
              <w:rPr>
                <w:rFonts w:ascii="Arial" w:eastAsia="Times New Roman" w:hAnsi="Arial" w:cs="Arial"/>
                <w:color w:val="FF0000"/>
                <w:szCs w:val="24"/>
                <w:lang w:eastAsia="bs-Latn-BA"/>
              </w:rPr>
              <w:t>MF</w:t>
            </w:r>
          </w:p>
        </w:tc>
        <w:tc>
          <w:tcPr>
            <w:tcW w:w="290" w:type="dxa"/>
            <w:shd w:val="clear" w:color="auto" w:fill="auto"/>
            <w:noWrap/>
            <w:hideMark/>
          </w:tcPr>
          <w:p w14:paraId="3DED9B17" w14:textId="77777777" w:rsidR="00773E7B" w:rsidRPr="00FB6FC8" w:rsidRDefault="00773E7B" w:rsidP="00BA586C">
            <w:pPr>
              <w:spacing w:after="0" w:line="240" w:lineRule="auto"/>
              <w:rPr>
                <w:rFonts w:ascii="Calibri" w:eastAsia="Times New Roman" w:hAnsi="Calibri" w:cs="Times New Roman"/>
                <w:szCs w:val="24"/>
                <w:lang w:eastAsia="bs-Latn-BA"/>
              </w:rPr>
            </w:pPr>
            <w:r w:rsidRPr="00FB6FC8">
              <w:rPr>
                <w:rFonts w:ascii="Calibri" w:eastAsia="Times New Roman" w:hAnsi="Calibri" w:cs="Times New Roman"/>
                <w:szCs w:val="24"/>
                <w:lang w:eastAsia="bs-Latn-BA"/>
              </w:rPr>
              <w:t>-</w:t>
            </w:r>
          </w:p>
        </w:tc>
        <w:tc>
          <w:tcPr>
            <w:tcW w:w="9034" w:type="dxa"/>
            <w:shd w:val="clear" w:color="auto" w:fill="auto"/>
            <w:noWrap/>
            <w:hideMark/>
          </w:tcPr>
          <w:p w14:paraId="5F63A742" w14:textId="77777777" w:rsidR="00773E7B" w:rsidRPr="00FB6FC8" w:rsidRDefault="00773E7B" w:rsidP="00BA586C">
            <w:pPr>
              <w:spacing w:after="0" w:line="240" w:lineRule="auto"/>
              <w:rPr>
                <w:rFonts w:ascii="Arial" w:eastAsia="Times New Roman" w:hAnsi="Arial" w:cs="Arial"/>
                <w:szCs w:val="24"/>
                <w:lang w:eastAsia="bs-Latn-BA"/>
              </w:rPr>
            </w:pPr>
            <w:r w:rsidRPr="00FB6FC8">
              <w:rPr>
                <w:rFonts w:ascii="Arial" w:eastAsia="Times New Roman" w:hAnsi="Arial" w:cs="Arial"/>
                <w:szCs w:val="24"/>
                <w:lang w:eastAsia="bs-Latn-BA"/>
              </w:rPr>
              <w:t>Međunarodni monetarni fond (International Monetary Fund)</w:t>
            </w:r>
          </w:p>
        </w:tc>
      </w:tr>
      <w:tr w:rsidR="00A361FA" w:rsidRPr="00087712" w14:paraId="08D76E3C" w14:textId="77777777" w:rsidTr="00741FF9">
        <w:trPr>
          <w:trHeight w:val="567"/>
        </w:trPr>
        <w:tc>
          <w:tcPr>
            <w:tcW w:w="883" w:type="dxa"/>
            <w:shd w:val="clear" w:color="auto" w:fill="auto"/>
            <w:noWrap/>
            <w:hideMark/>
          </w:tcPr>
          <w:p w14:paraId="6333E987" w14:textId="77777777" w:rsidR="00773E7B" w:rsidRPr="00741FF9" w:rsidRDefault="00773E7B" w:rsidP="00BA586C">
            <w:pPr>
              <w:spacing w:after="0" w:line="240" w:lineRule="auto"/>
              <w:rPr>
                <w:rFonts w:ascii="Arial" w:eastAsia="Times New Roman" w:hAnsi="Arial" w:cs="Arial"/>
                <w:szCs w:val="24"/>
                <w:lang w:eastAsia="bs-Latn-BA"/>
              </w:rPr>
            </w:pPr>
            <w:r w:rsidRPr="00741FF9">
              <w:rPr>
                <w:rFonts w:ascii="Arial" w:eastAsia="Times New Roman" w:hAnsi="Arial" w:cs="Arial"/>
                <w:szCs w:val="24"/>
                <w:lang w:eastAsia="bs-Latn-BA"/>
              </w:rPr>
              <w:t>WB</w:t>
            </w:r>
          </w:p>
        </w:tc>
        <w:tc>
          <w:tcPr>
            <w:tcW w:w="290" w:type="dxa"/>
            <w:shd w:val="clear" w:color="auto" w:fill="auto"/>
            <w:noWrap/>
            <w:hideMark/>
          </w:tcPr>
          <w:p w14:paraId="5992C439" w14:textId="77777777" w:rsidR="00773E7B" w:rsidRPr="00741FF9" w:rsidRDefault="00773E7B" w:rsidP="00BA586C">
            <w:pPr>
              <w:spacing w:after="0" w:line="240" w:lineRule="auto"/>
              <w:rPr>
                <w:rFonts w:ascii="Calibri" w:eastAsia="Times New Roman" w:hAnsi="Calibri" w:cs="Times New Roman"/>
                <w:szCs w:val="24"/>
                <w:lang w:eastAsia="bs-Latn-BA"/>
              </w:rPr>
            </w:pPr>
            <w:r w:rsidRPr="00741FF9">
              <w:rPr>
                <w:rFonts w:ascii="Calibri" w:eastAsia="Times New Roman" w:hAnsi="Calibri" w:cs="Times New Roman"/>
                <w:szCs w:val="24"/>
                <w:lang w:eastAsia="bs-Latn-BA"/>
              </w:rPr>
              <w:t>-</w:t>
            </w:r>
          </w:p>
        </w:tc>
        <w:tc>
          <w:tcPr>
            <w:tcW w:w="9034" w:type="dxa"/>
            <w:shd w:val="clear" w:color="auto" w:fill="auto"/>
            <w:noWrap/>
            <w:hideMark/>
          </w:tcPr>
          <w:p w14:paraId="6E7E92ED" w14:textId="77777777" w:rsidR="00773E7B" w:rsidRPr="00741FF9" w:rsidRDefault="00773E7B" w:rsidP="00BA586C">
            <w:pPr>
              <w:spacing w:after="0" w:line="240" w:lineRule="auto"/>
              <w:rPr>
                <w:rFonts w:ascii="Arial" w:eastAsia="Times New Roman" w:hAnsi="Arial" w:cs="Arial"/>
                <w:szCs w:val="24"/>
                <w:lang w:eastAsia="bs-Latn-BA"/>
              </w:rPr>
            </w:pPr>
            <w:r w:rsidRPr="00741FF9">
              <w:rPr>
                <w:rFonts w:ascii="Arial" w:eastAsia="Times New Roman" w:hAnsi="Arial" w:cs="Arial"/>
                <w:szCs w:val="24"/>
                <w:lang w:eastAsia="bs-Latn-BA"/>
              </w:rPr>
              <w:t>Svjetska banka (World Bank)</w:t>
            </w:r>
          </w:p>
        </w:tc>
      </w:tr>
      <w:tr w:rsidR="00BE5B36" w:rsidRPr="00087712" w14:paraId="2914B4D6" w14:textId="77777777" w:rsidTr="00741FF9">
        <w:trPr>
          <w:trHeight w:val="567"/>
        </w:trPr>
        <w:tc>
          <w:tcPr>
            <w:tcW w:w="883" w:type="dxa"/>
            <w:shd w:val="clear" w:color="auto" w:fill="auto"/>
            <w:noWrap/>
          </w:tcPr>
          <w:p w14:paraId="4BACA912" w14:textId="77777777" w:rsidR="00BE5B36" w:rsidRPr="00741FF9" w:rsidRDefault="00BE5B36" w:rsidP="00BA586C">
            <w:pPr>
              <w:spacing w:after="0" w:line="240" w:lineRule="auto"/>
              <w:rPr>
                <w:rFonts w:ascii="Arial" w:eastAsia="Times New Roman" w:hAnsi="Arial" w:cs="Arial"/>
                <w:szCs w:val="24"/>
                <w:lang w:eastAsia="bs-Latn-BA"/>
              </w:rPr>
            </w:pPr>
            <w:r w:rsidRPr="00741FF9">
              <w:rPr>
                <w:rFonts w:ascii="Arial" w:eastAsia="Times New Roman" w:hAnsi="Arial" w:cs="Arial"/>
                <w:szCs w:val="24"/>
                <w:lang w:eastAsia="bs-Latn-BA"/>
              </w:rPr>
              <w:t>EFF</w:t>
            </w:r>
          </w:p>
        </w:tc>
        <w:tc>
          <w:tcPr>
            <w:tcW w:w="290" w:type="dxa"/>
            <w:shd w:val="clear" w:color="auto" w:fill="auto"/>
            <w:noWrap/>
          </w:tcPr>
          <w:p w14:paraId="39DEF700" w14:textId="77777777" w:rsidR="00BE5B36" w:rsidRPr="00741FF9" w:rsidRDefault="00BE5B36" w:rsidP="00BA586C">
            <w:pPr>
              <w:spacing w:after="0" w:line="240" w:lineRule="auto"/>
              <w:rPr>
                <w:rFonts w:ascii="Calibri" w:eastAsia="Times New Roman" w:hAnsi="Calibri" w:cs="Times New Roman"/>
                <w:szCs w:val="24"/>
                <w:lang w:eastAsia="bs-Latn-BA"/>
              </w:rPr>
            </w:pPr>
            <w:r w:rsidRPr="00741FF9">
              <w:rPr>
                <w:rFonts w:ascii="Calibri" w:eastAsia="Times New Roman" w:hAnsi="Calibri" w:cs="Times New Roman"/>
                <w:szCs w:val="24"/>
                <w:lang w:eastAsia="bs-Latn-BA"/>
              </w:rPr>
              <w:t>-</w:t>
            </w:r>
          </w:p>
        </w:tc>
        <w:tc>
          <w:tcPr>
            <w:tcW w:w="9034" w:type="dxa"/>
            <w:shd w:val="clear" w:color="auto" w:fill="auto"/>
            <w:noWrap/>
          </w:tcPr>
          <w:p w14:paraId="39B67E36" w14:textId="7E326ADC" w:rsidR="00BE5B36" w:rsidRPr="00741FF9" w:rsidRDefault="00221B11" w:rsidP="00221B11">
            <w:pPr>
              <w:spacing w:after="0" w:line="240" w:lineRule="auto"/>
              <w:rPr>
                <w:rFonts w:ascii="Arial" w:eastAsia="Times New Roman" w:hAnsi="Arial" w:cs="Arial"/>
                <w:szCs w:val="24"/>
                <w:lang w:eastAsia="bs-Latn-BA"/>
              </w:rPr>
            </w:pPr>
            <w:r w:rsidRPr="00741FF9">
              <w:rPr>
                <w:rFonts w:ascii="Arial" w:eastAsia="Times New Roman" w:hAnsi="Arial" w:cs="Arial"/>
                <w:szCs w:val="24"/>
                <w:lang w:eastAsia="bs-Latn-BA"/>
              </w:rPr>
              <w:t>Prošireni aranžman IMF-a (</w:t>
            </w:r>
            <w:r w:rsidR="00CE072B" w:rsidRPr="00741FF9">
              <w:rPr>
                <w:rFonts w:ascii="Arial" w:eastAsia="Times New Roman" w:hAnsi="Arial" w:cs="Arial"/>
                <w:szCs w:val="24"/>
                <w:lang w:eastAsia="bs-Latn-BA"/>
              </w:rPr>
              <w:t>Extended Fund Facility</w:t>
            </w:r>
            <w:r w:rsidR="00BE5B36" w:rsidRPr="00741FF9">
              <w:rPr>
                <w:rFonts w:ascii="Arial" w:eastAsia="Times New Roman" w:hAnsi="Arial" w:cs="Arial"/>
                <w:szCs w:val="24"/>
                <w:lang w:eastAsia="bs-Latn-BA"/>
              </w:rPr>
              <w:t xml:space="preserve">) </w:t>
            </w:r>
          </w:p>
        </w:tc>
      </w:tr>
      <w:tr w:rsidR="00641891" w:rsidRPr="00087712" w14:paraId="3502ACE5" w14:textId="77777777" w:rsidTr="00741FF9">
        <w:trPr>
          <w:trHeight w:val="567"/>
        </w:trPr>
        <w:tc>
          <w:tcPr>
            <w:tcW w:w="883" w:type="dxa"/>
            <w:shd w:val="clear" w:color="auto" w:fill="auto"/>
            <w:noWrap/>
          </w:tcPr>
          <w:p w14:paraId="40114256" w14:textId="42AF9593" w:rsidR="00641891" w:rsidRPr="00741FF9" w:rsidRDefault="00641891" w:rsidP="00BA586C">
            <w:pPr>
              <w:spacing w:after="0" w:line="240" w:lineRule="auto"/>
              <w:rPr>
                <w:rFonts w:ascii="Arial" w:eastAsia="Times New Roman" w:hAnsi="Arial" w:cs="Arial"/>
                <w:szCs w:val="24"/>
                <w:lang w:eastAsia="bs-Latn-BA"/>
              </w:rPr>
            </w:pPr>
            <w:r w:rsidRPr="00741FF9">
              <w:rPr>
                <w:rFonts w:ascii="Arial" w:eastAsia="Times New Roman" w:hAnsi="Arial" w:cs="Arial"/>
                <w:szCs w:val="24"/>
                <w:lang w:eastAsia="bs-Latn-BA"/>
              </w:rPr>
              <w:t>RFI</w:t>
            </w:r>
          </w:p>
        </w:tc>
        <w:tc>
          <w:tcPr>
            <w:tcW w:w="290" w:type="dxa"/>
            <w:shd w:val="clear" w:color="auto" w:fill="auto"/>
            <w:noWrap/>
          </w:tcPr>
          <w:p w14:paraId="712AC278" w14:textId="6509EDB6" w:rsidR="00641891" w:rsidRPr="00741FF9" w:rsidRDefault="00641891" w:rsidP="00BA586C">
            <w:pPr>
              <w:spacing w:after="0" w:line="240" w:lineRule="auto"/>
              <w:rPr>
                <w:rFonts w:ascii="Calibri" w:eastAsia="Times New Roman" w:hAnsi="Calibri" w:cs="Times New Roman"/>
                <w:szCs w:val="24"/>
                <w:lang w:eastAsia="bs-Latn-BA"/>
              </w:rPr>
            </w:pPr>
            <w:r w:rsidRPr="00741FF9">
              <w:rPr>
                <w:rFonts w:ascii="Calibri" w:eastAsia="Times New Roman" w:hAnsi="Calibri" w:cs="Times New Roman"/>
                <w:szCs w:val="24"/>
                <w:lang w:eastAsia="bs-Latn-BA"/>
              </w:rPr>
              <w:t xml:space="preserve">- </w:t>
            </w:r>
          </w:p>
        </w:tc>
        <w:tc>
          <w:tcPr>
            <w:tcW w:w="9034" w:type="dxa"/>
            <w:shd w:val="clear" w:color="auto" w:fill="auto"/>
            <w:noWrap/>
          </w:tcPr>
          <w:p w14:paraId="10735EA5" w14:textId="686B3F68" w:rsidR="00641891" w:rsidRPr="00741FF9" w:rsidRDefault="00221B11" w:rsidP="00A22491">
            <w:pPr>
              <w:spacing w:after="0" w:line="240" w:lineRule="auto"/>
              <w:rPr>
                <w:rFonts w:ascii="Arial" w:eastAsia="Times New Roman" w:hAnsi="Arial" w:cs="Arial"/>
                <w:szCs w:val="24"/>
                <w:lang w:eastAsia="bs-Latn-BA"/>
              </w:rPr>
            </w:pPr>
            <w:r w:rsidRPr="00741FF9">
              <w:rPr>
                <w:rFonts w:ascii="Arial" w:eastAsia="Times New Roman" w:hAnsi="Arial" w:cs="Arial"/>
                <w:szCs w:val="24"/>
                <w:lang w:eastAsia="bs-Latn-BA"/>
              </w:rPr>
              <w:t xml:space="preserve">Instrument brzog </w:t>
            </w:r>
            <w:r w:rsidR="009A78EF">
              <w:rPr>
                <w:rFonts w:ascii="Arial" w:eastAsia="Times New Roman" w:hAnsi="Arial" w:cs="Arial"/>
                <w:szCs w:val="24"/>
                <w:lang w:eastAsia="bs-Latn-BA"/>
              </w:rPr>
              <w:t>financ</w:t>
            </w:r>
            <w:r w:rsidRPr="00741FF9">
              <w:rPr>
                <w:rFonts w:ascii="Arial" w:eastAsia="Times New Roman" w:hAnsi="Arial" w:cs="Arial"/>
                <w:szCs w:val="24"/>
                <w:lang w:eastAsia="bs-Latn-BA"/>
              </w:rPr>
              <w:t>iranja (</w:t>
            </w:r>
            <w:r w:rsidR="00A22491" w:rsidRPr="00741FF9">
              <w:rPr>
                <w:rFonts w:ascii="Arial" w:eastAsia="Times New Roman" w:hAnsi="Arial" w:cs="Arial"/>
                <w:szCs w:val="24"/>
                <w:lang w:eastAsia="bs-Latn-BA"/>
              </w:rPr>
              <w:t>Rapid Financing Instrument</w:t>
            </w:r>
            <w:r w:rsidR="00641891" w:rsidRPr="00741FF9">
              <w:rPr>
                <w:rFonts w:ascii="Arial" w:eastAsia="Times New Roman" w:hAnsi="Arial" w:cs="Arial"/>
                <w:szCs w:val="24"/>
                <w:lang w:eastAsia="bs-Latn-BA"/>
              </w:rPr>
              <w:t>)</w:t>
            </w:r>
          </w:p>
        </w:tc>
      </w:tr>
    </w:tbl>
    <w:p w14:paraId="1A6A39B4" w14:textId="77777777" w:rsidR="00955DCC" w:rsidRPr="00AF7CAC" w:rsidRDefault="00955DCC" w:rsidP="00955DCC"/>
    <w:p w14:paraId="78347E90" w14:textId="77777777" w:rsidR="00955DCC" w:rsidRPr="00AF7CAC" w:rsidRDefault="00955DCC" w:rsidP="00955DCC">
      <w:pPr>
        <w:rPr>
          <w:color w:val="E36C0A" w:themeColor="accent6" w:themeShade="BF"/>
        </w:rPr>
      </w:pPr>
    </w:p>
    <w:p w14:paraId="10E841CB" w14:textId="77777777" w:rsidR="00ED768D" w:rsidRPr="00AF7CAC" w:rsidRDefault="00ED768D" w:rsidP="00955DCC">
      <w:pPr>
        <w:rPr>
          <w:color w:val="E36C0A" w:themeColor="accent6" w:themeShade="BF"/>
          <w:sz w:val="20"/>
        </w:rPr>
      </w:pPr>
    </w:p>
    <w:p w14:paraId="3930B661" w14:textId="77777777" w:rsidR="003D5CC1" w:rsidRPr="00AF7CAC" w:rsidRDefault="003D5CC1">
      <w:pPr>
        <w:rPr>
          <w:rFonts w:ascii="Arial" w:eastAsiaTheme="majorEastAsia" w:hAnsi="Arial" w:cs="Arial"/>
          <w:bCs/>
          <w:sz w:val="28"/>
          <w:szCs w:val="28"/>
        </w:rPr>
      </w:pPr>
      <w:r w:rsidRPr="00AF7CAC">
        <w:rPr>
          <w:rFonts w:ascii="Arial" w:hAnsi="Arial" w:cs="Arial"/>
          <w:b/>
        </w:rPr>
        <w:br w:type="page"/>
      </w:r>
    </w:p>
    <w:p w14:paraId="1EB43E5B" w14:textId="77777777" w:rsidR="00F038BE" w:rsidRDefault="00F038BE" w:rsidP="00325579">
      <w:pPr>
        <w:pStyle w:val="Heading1"/>
        <w:jc w:val="center"/>
        <w:rPr>
          <w:rFonts w:ascii="Arial" w:hAnsi="Arial" w:cs="Arial"/>
          <w:b w:val="0"/>
          <w:color w:val="auto"/>
        </w:rPr>
        <w:sectPr w:rsidR="00F038BE" w:rsidSect="00626FD0">
          <w:footerReference w:type="default" r:id="rId9"/>
          <w:footerReference w:type="first" r:id="rId10"/>
          <w:pgSz w:w="11906" w:h="16838"/>
          <w:pgMar w:top="1135" w:right="1133" w:bottom="709" w:left="1440" w:header="708" w:footer="708" w:gutter="0"/>
          <w:pgNumType w:start="1" w:chapStyle="1"/>
          <w:cols w:space="708"/>
          <w:titlePg/>
          <w:docGrid w:linePitch="360"/>
        </w:sectPr>
      </w:pPr>
    </w:p>
    <w:p w14:paraId="1CD17278" w14:textId="6061B045" w:rsidR="00ED768D" w:rsidRPr="00AF7CAC" w:rsidRDefault="00ED768D" w:rsidP="00325579">
      <w:pPr>
        <w:pStyle w:val="Heading1"/>
        <w:jc w:val="center"/>
        <w:rPr>
          <w:rFonts w:ascii="Arial" w:hAnsi="Arial" w:cs="Arial"/>
          <w:b w:val="0"/>
          <w:color w:val="auto"/>
        </w:rPr>
      </w:pPr>
      <w:bookmarkStart w:id="1" w:name="_Toc100823726"/>
      <w:r w:rsidRPr="00AF7CAC">
        <w:rPr>
          <w:rFonts w:ascii="Arial" w:hAnsi="Arial" w:cs="Arial"/>
          <w:b w:val="0"/>
          <w:color w:val="auto"/>
        </w:rPr>
        <w:lastRenderedPageBreak/>
        <w:t>SAŽETAK</w:t>
      </w:r>
      <w:bookmarkEnd w:id="1"/>
    </w:p>
    <w:p w14:paraId="2A212728" w14:textId="77777777" w:rsidR="00ED768D" w:rsidRPr="00AF7CAC" w:rsidRDefault="00ED768D" w:rsidP="003D6AFA">
      <w:pPr>
        <w:spacing w:after="0"/>
        <w:jc w:val="both"/>
        <w:rPr>
          <w:rFonts w:ascii="Arial" w:hAnsi="Arial" w:cs="Arial"/>
          <w:sz w:val="24"/>
          <w:szCs w:val="24"/>
        </w:rPr>
      </w:pPr>
    </w:p>
    <w:p w14:paraId="63774973" w14:textId="6BCC754F" w:rsidR="00873E7C" w:rsidRPr="00087712" w:rsidRDefault="00ED768D" w:rsidP="00325579">
      <w:pPr>
        <w:spacing w:after="0"/>
        <w:ind w:firstLine="360"/>
        <w:jc w:val="both"/>
        <w:rPr>
          <w:rFonts w:ascii="Arial" w:hAnsi="Arial" w:cs="Arial"/>
          <w:szCs w:val="24"/>
        </w:rPr>
      </w:pPr>
      <w:r w:rsidRPr="00087712">
        <w:rPr>
          <w:rFonts w:ascii="Arial" w:hAnsi="Arial" w:cs="Arial"/>
          <w:szCs w:val="24"/>
        </w:rPr>
        <w:t xml:space="preserve">Strategija upravljanja dugom </w:t>
      </w:r>
      <w:r w:rsidR="002009ED" w:rsidRPr="00FB6FC8">
        <w:rPr>
          <w:rFonts w:ascii="Arial" w:hAnsi="Arial" w:cs="Arial"/>
          <w:szCs w:val="24"/>
        </w:rPr>
        <w:t xml:space="preserve">2022 </w:t>
      </w:r>
      <w:r w:rsidR="008E770E" w:rsidRPr="00FB6FC8">
        <w:rPr>
          <w:rFonts w:ascii="Arial" w:hAnsi="Arial" w:cs="Arial"/>
          <w:szCs w:val="24"/>
        </w:rPr>
        <w:t xml:space="preserve">– </w:t>
      </w:r>
      <w:r w:rsidR="00112088" w:rsidRPr="00FB6FC8">
        <w:rPr>
          <w:rFonts w:ascii="Arial" w:hAnsi="Arial" w:cs="Arial"/>
          <w:szCs w:val="24"/>
        </w:rPr>
        <w:t>2024</w:t>
      </w:r>
      <w:r w:rsidR="008E770E" w:rsidRPr="00FB6FC8">
        <w:rPr>
          <w:rFonts w:ascii="Arial" w:hAnsi="Arial" w:cs="Arial"/>
          <w:szCs w:val="24"/>
        </w:rPr>
        <w:t>.</w:t>
      </w:r>
      <w:r w:rsidRPr="00FB6FC8">
        <w:rPr>
          <w:rFonts w:ascii="Arial" w:hAnsi="Arial" w:cs="Arial"/>
          <w:szCs w:val="24"/>
        </w:rPr>
        <w:t xml:space="preserve"> (u dalj</w:t>
      </w:r>
      <w:r w:rsidR="00A31C4D">
        <w:rPr>
          <w:rFonts w:ascii="Arial" w:hAnsi="Arial" w:cs="Arial"/>
          <w:szCs w:val="24"/>
        </w:rPr>
        <w:t>nj</w:t>
      </w:r>
      <w:r w:rsidRPr="00FB6FC8">
        <w:rPr>
          <w:rFonts w:ascii="Arial" w:hAnsi="Arial" w:cs="Arial"/>
          <w:szCs w:val="24"/>
        </w:rPr>
        <w:t xml:space="preserve">em tekstu: Strategija) predstavlja sažetak glavnih načela i smjernica za politike upravljanja </w:t>
      </w:r>
      <w:r w:rsidR="002B54AA" w:rsidRPr="00FB6FC8">
        <w:rPr>
          <w:rFonts w:ascii="Arial" w:hAnsi="Arial" w:cs="Arial"/>
          <w:szCs w:val="24"/>
        </w:rPr>
        <w:t xml:space="preserve">dugom </w:t>
      </w:r>
      <w:r w:rsidR="00CE3C2E" w:rsidRPr="00FB6FC8">
        <w:rPr>
          <w:rFonts w:ascii="Arial" w:hAnsi="Arial" w:cs="Arial"/>
          <w:szCs w:val="24"/>
        </w:rPr>
        <w:t xml:space="preserve">Federacije BiH </w:t>
      </w:r>
      <w:r w:rsidR="002B54AA" w:rsidRPr="00FB6FC8">
        <w:rPr>
          <w:rFonts w:ascii="Arial" w:hAnsi="Arial" w:cs="Arial"/>
          <w:szCs w:val="24"/>
        </w:rPr>
        <w:t>u p</w:t>
      </w:r>
      <w:r w:rsidR="00A31C4D">
        <w:rPr>
          <w:rFonts w:ascii="Arial" w:hAnsi="Arial" w:cs="Arial"/>
          <w:szCs w:val="24"/>
        </w:rPr>
        <w:t>ro</w:t>
      </w:r>
      <w:r w:rsidR="002B54AA" w:rsidRPr="00FB6FC8">
        <w:rPr>
          <w:rFonts w:ascii="Arial" w:hAnsi="Arial" w:cs="Arial"/>
          <w:szCs w:val="24"/>
        </w:rPr>
        <w:t xml:space="preserve">matranom </w:t>
      </w:r>
      <w:r w:rsidR="00A31C4D">
        <w:rPr>
          <w:rFonts w:ascii="Arial" w:hAnsi="Arial" w:cs="Arial"/>
          <w:szCs w:val="24"/>
        </w:rPr>
        <w:t>razdoblju</w:t>
      </w:r>
      <w:r w:rsidR="002B54AA" w:rsidRPr="00FB6FC8">
        <w:rPr>
          <w:rFonts w:ascii="Arial" w:hAnsi="Arial" w:cs="Arial"/>
          <w:szCs w:val="24"/>
        </w:rPr>
        <w:t xml:space="preserve"> i temelji se na </w:t>
      </w:r>
      <w:r w:rsidRPr="00FB6FC8">
        <w:rPr>
          <w:rFonts w:ascii="Arial" w:hAnsi="Arial" w:cs="Arial"/>
          <w:szCs w:val="24"/>
        </w:rPr>
        <w:t>postojeć</w:t>
      </w:r>
      <w:r w:rsidR="00C4018A" w:rsidRPr="00FB6FC8">
        <w:rPr>
          <w:rFonts w:ascii="Arial" w:hAnsi="Arial" w:cs="Arial"/>
          <w:szCs w:val="24"/>
        </w:rPr>
        <w:t>em portf</w:t>
      </w:r>
      <w:r w:rsidR="00A31C4D">
        <w:rPr>
          <w:rFonts w:ascii="Arial" w:hAnsi="Arial" w:cs="Arial"/>
          <w:szCs w:val="24"/>
        </w:rPr>
        <w:t>elju</w:t>
      </w:r>
      <w:r w:rsidR="00D666B6" w:rsidRPr="00FB6FC8">
        <w:rPr>
          <w:rFonts w:ascii="Arial" w:hAnsi="Arial" w:cs="Arial"/>
          <w:szCs w:val="24"/>
        </w:rPr>
        <w:t xml:space="preserve"> duga</w:t>
      </w:r>
      <w:r w:rsidRPr="00FB6FC8">
        <w:rPr>
          <w:rFonts w:ascii="Arial" w:hAnsi="Arial" w:cs="Arial"/>
          <w:szCs w:val="24"/>
        </w:rPr>
        <w:t xml:space="preserve"> </w:t>
      </w:r>
      <w:r w:rsidR="002D19CB" w:rsidRPr="00FB6FC8">
        <w:rPr>
          <w:rFonts w:ascii="Arial" w:hAnsi="Arial" w:cs="Arial"/>
          <w:szCs w:val="24"/>
        </w:rPr>
        <w:t>F</w:t>
      </w:r>
      <w:r w:rsidR="00D666B6" w:rsidRPr="00FB6FC8">
        <w:rPr>
          <w:rFonts w:ascii="Arial" w:hAnsi="Arial" w:cs="Arial"/>
          <w:szCs w:val="24"/>
        </w:rPr>
        <w:t xml:space="preserve">ederacije </w:t>
      </w:r>
      <w:r w:rsidR="002D19CB" w:rsidRPr="00FB6FC8">
        <w:rPr>
          <w:rFonts w:ascii="Arial" w:hAnsi="Arial" w:cs="Arial"/>
          <w:szCs w:val="24"/>
        </w:rPr>
        <w:t>BiH</w:t>
      </w:r>
      <w:r w:rsidRPr="00FB6FC8">
        <w:rPr>
          <w:rFonts w:ascii="Arial" w:hAnsi="Arial" w:cs="Arial"/>
          <w:szCs w:val="24"/>
        </w:rPr>
        <w:t>, Programu javnih investicija F</w:t>
      </w:r>
      <w:r w:rsidR="00D666B6" w:rsidRPr="00FB6FC8">
        <w:rPr>
          <w:rFonts w:ascii="Arial" w:hAnsi="Arial" w:cs="Arial"/>
          <w:szCs w:val="24"/>
        </w:rPr>
        <w:t xml:space="preserve">ederacije </w:t>
      </w:r>
      <w:r w:rsidRPr="00FB6FC8">
        <w:rPr>
          <w:rFonts w:ascii="Arial" w:hAnsi="Arial" w:cs="Arial"/>
          <w:szCs w:val="24"/>
        </w:rPr>
        <w:t xml:space="preserve">BiH </w:t>
      </w:r>
      <w:r w:rsidR="00641891" w:rsidRPr="00FB6FC8">
        <w:rPr>
          <w:rFonts w:ascii="Arial" w:hAnsi="Arial" w:cs="Arial"/>
          <w:szCs w:val="24"/>
        </w:rPr>
        <w:t>202</w:t>
      </w:r>
      <w:r w:rsidR="002E7622" w:rsidRPr="00445180">
        <w:rPr>
          <w:rFonts w:ascii="Arial" w:hAnsi="Arial" w:cs="Arial"/>
          <w:szCs w:val="24"/>
        </w:rPr>
        <w:t>2</w:t>
      </w:r>
      <w:r w:rsidR="00641891" w:rsidRPr="00D912D1">
        <w:rPr>
          <w:rFonts w:ascii="Arial" w:hAnsi="Arial" w:cs="Arial"/>
          <w:szCs w:val="24"/>
        </w:rPr>
        <w:t xml:space="preserve"> – 202</w:t>
      </w:r>
      <w:r w:rsidR="002E7622" w:rsidRPr="00FB6FC8">
        <w:rPr>
          <w:rFonts w:ascii="Arial" w:hAnsi="Arial" w:cs="Arial"/>
          <w:szCs w:val="24"/>
        </w:rPr>
        <w:t>4</w:t>
      </w:r>
      <w:r w:rsidR="0079164B">
        <w:rPr>
          <w:rFonts w:ascii="Arial" w:hAnsi="Arial" w:cs="Arial"/>
          <w:szCs w:val="24"/>
        </w:rPr>
        <w:t>.</w:t>
      </w:r>
      <w:r w:rsidR="008E770E" w:rsidRPr="00FB6FC8">
        <w:rPr>
          <w:rFonts w:ascii="Arial" w:hAnsi="Arial" w:cs="Arial"/>
          <w:szCs w:val="24"/>
        </w:rPr>
        <w:t xml:space="preserve"> </w:t>
      </w:r>
      <w:r w:rsidR="006C2D03" w:rsidRPr="00FB6FC8">
        <w:rPr>
          <w:rFonts w:ascii="Arial" w:hAnsi="Arial" w:cs="Arial"/>
          <w:szCs w:val="24"/>
        </w:rPr>
        <w:t>godina</w:t>
      </w:r>
      <w:r w:rsidR="00741EF0" w:rsidRPr="00FB6FC8">
        <w:rPr>
          <w:rFonts w:ascii="Arial" w:hAnsi="Arial" w:cs="Arial"/>
          <w:szCs w:val="24"/>
        </w:rPr>
        <w:t xml:space="preserve"> (PJI</w:t>
      </w:r>
      <w:r w:rsidR="00CD4194">
        <w:rPr>
          <w:rFonts w:ascii="Arial" w:hAnsi="Arial" w:cs="Arial"/>
          <w:szCs w:val="24"/>
        </w:rPr>
        <w:t xml:space="preserve"> FBiH</w:t>
      </w:r>
      <w:r w:rsidR="006D28D7" w:rsidRPr="00FB6FC8">
        <w:rPr>
          <w:rFonts w:ascii="Arial" w:hAnsi="Arial" w:cs="Arial"/>
          <w:szCs w:val="24"/>
        </w:rPr>
        <w:t xml:space="preserve"> </w:t>
      </w:r>
      <w:r w:rsidR="00641891" w:rsidRPr="00FB6FC8">
        <w:rPr>
          <w:rFonts w:ascii="Arial" w:hAnsi="Arial" w:cs="Arial"/>
          <w:szCs w:val="24"/>
        </w:rPr>
        <w:t>202</w:t>
      </w:r>
      <w:r w:rsidR="002E7622" w:rsidRPr="00445180">
        <w:rPr>
          <w:rFonts w:ascii="Arial" w:hAnsi="Arial" w:cs="Arial"/>
          <w:szCs w:val="24"/>
        </w:rPr>
        <w:t>2</w:t>
      </w:r>
      <w:r w:rsidR="00641891" w:rsidRPr="00D912D1">
        <w:rPr>
          <w:rFonts w:ascii="Arial" w:hAnsi="Arial" w:cs="Arial"/>
          <w:szCs w:val="24"/>
        </w:rPr>
        <w:t xml:space="preserve"> – 202</w:t>
      </w:r>
      <w:r w:rsidR="002E7622" w:rsidRPr="00FB6FC8">
        <w:rPr>
          <w:rFonts w:ascii="Arial" w:hAnsi="Arial" w:cs="Arial"/>
          <w:szCs w:val="24"/>
        </w:rPr>
        <w:t>4</w:t>
      </w:r>
      <w:r w:rsidR="0079164B">
        <w:rPr>
          <w:rFonts w:ascii="Arial" w:hAnsi="Arial" w:cs="Arial"/>
          <w:szCs w:val="24"/>
        </w:rPr>
        <w:t>.</w:t>
      </w:r>
      <w:r w:rsidR="00741EF0" w:rsidRPr="00FB6FC8">
        <w:rPr>
          <w:rFonts w:ascii="Arial" w:hAnsi="Arial" w:cs="Arial"/>
          <w:szCs w:val="24"/>
        </w:rPr>
        <w:t>)</w:t>
      </w:r>
      <w:r w:rsidR="00906DA8" w:rsidRPr="00FB6FC8">
        <w:rPr>
          <w:rFonts w:ascii="Arial" w:hAnsi="Arial" w:cs="Arial"/>
          <w:szCs w:val="24"/>
        </w:rPr>
        <w:t xml:space="preserve"> i D</w:t>
      </w:r>
      <w:r w:rsidR="00087712" w:rsidRPr="00FB6FC8">
        <w:rPr>
          <w:rFonts w:ascii="Arial" w:hAnsi="Arial" w:cs="Arial"/>
          <w:szCs w:val="24"/>
        </w:rPr>
        <w:t xml:space="preserve">okumentu okvirnog </w:t>
      </w:r>
      <w:r w:rsidR="009A78EF">
        <w:rPr>
          <w:rFonts w:ascii="Arial" w:hAnsi="Arial" w:cs="Arial"/>
          <w:szCs w:val="24"/>
        </w:rPr>
        <w:t>proračun</w:t>
      </w:r>
      <w:r w:rsidR="00087712" w:rsidRPr="00FB6FC8">
        <w:rPr>
          <w:rFonts w:ascii="Arial" w:hAnsi="Arial" w:cs="Arial"/>
          <w:szCs w:val="24"/>
        </w:rPr>
        <w:t>a Federacije BiH 202</w:t>
      </w:r>
      <w:r w:rsidR="00621D01" w:rsidRPr="00445180">
        <w:rPr>
          <w:rFonts w:ascii="Arial" w:hAnsi="Arial" w:cs="Arial"/>
          <w:szCs w:val="24"/>
        </w:rPr>
        <w:t>2</w:t>
      </w:r>
      <w:r w:rsidR="00087712" w:rsidRPr="00D912D1">
        <w:rPr>
          <w:rFonts w:ascii="Arial" w:hAnsi="Arial" w:cs="Arial"/>
          <w:szCs w:val="24"/>
        </w:rPr>
        <w:t xml:space="preserve"> – 202</w:t>
      </w:r>
      <w:r w:rsidR="00621D01" w:rsidRPr="00FB6FC8">
        <w:rPr>
          <w:rFonts w:ascii="Arial" w:hAnsi="Arial" w:cs="Arial"/>
          <w:szCs w:val="24"/>
        </w:rPr>
        <w:t>4</w:t>
      </w:r>
      <w:r w:rsidR="00A31C4D">
        <w:rPr>
          <w:rFonts w:ascii="Arial" w:hAnsi="Arial" w:cs="Arial"/>
          <w:szCs w:val="24"/>
        </w:rPr>
        <w:t>.</w:t>
      </w:r>
      <w:r w:rsidR="00087712" w:rsidRPr="00FB6FC8">
        <w:rPr>
          <w:rFonts w:ascii="Arial" w:hAnsi="Arial" w:cs="Arial"/>
          <w:szCs w:val="24"/>
        </w:rPr>
        <w:t xml:space="preserve"> godine</w:t>
      </w:r>
      <w:r w:rsidR="006C2D03" w:rsidRPr="00FB6FC8">
        <w:rPr>
          <w:rFonts w:ascii="Arial" w:hAnsi="Arial" w:cs="Arial"/>
          <w:szCs w:val="24"/>
        </w:rPr>
        <w:t>.</w:t>
      </w:r>
      <w:r w:rsidR="00E378AE" w:rsidRPr="00FB6FC8">
        <w:rPr>
          <w:rFonts w:ascii="Arial" w:hAnsi="Arial" w:cs="Arial"/>
          <w:szCs w:val="24"/>
        </w:rPr>
        <w:t xml:space="preserve"> </w:t>
      </w:r>
      <w:r w:rsidR="002B54AA" w:rsidRPr="00FB6FC8">
        <w:rPr>
          <w:rFonts w:ascii="Arial" w:hAnsi="Arial" w:cs="Arial"/>
          <w:szCs w:val="24"/>
        </w:rPr>
        <w:t xml:space="preserve">Strategija </w:t>
      </w:r>
      <w:r w:rsidR="00D666B6" w:rsidRPr="00FB6FC8">
        <w:rPr>
          <w:rFonts w:ascii="Arial" w:hAnsi="Arial" w:cs="Arial"/>
          <w:szCs w:val="24"/>
        </w:rPr>
        <w:t xml:space="preserve">sadrži </w:t>
      </w:r>
      <w:r w:rsidR="002B54AA" w:rsidRPr="00FB6FC8">
        <w:rPr>
          <w:rFonts w:ascii="Arial" w:hAnsi="Arial" w:cs="Arial"/>
          <w:szCs w:val="24"/>
        </w:rPr>
        <w:t xml:space="preserve">planove </w:t>
      </w:r>
      <w:r w:rsidR="009A78EF">
        <w:rPr>
          <w:rFonts w:ascii="Arial" w:hAnsi="Arial" w:cs="Arial"/>
          <w:szCs w:val="24"/>
        </w:rPr>
        <w:t>financ</w:t>
      </w:r>
      <w:r w:rsidR="002B54AA" w:rsidRPr="00FB6FC8">
        <w:rPr>
          <w:rFonts w:ascii="Arial" w:hAnsi="Arial" w:cs="Arial"/>
          <w:szCs w:val="24"/>
        </w:rPr>
        <w:t xml:space="preserve">iranja </w:t>
      </w:r>
      <w:r w:rsidR="00F73BE7" w:rsidRPr="00FB6FC8">
        <w:rPr>
          <w:rFonts w:ascii="Arial" w:hAnsi="Arial" w:cs="Arial"/>
          <w:szCs w:val="24"/>
        </w:rPr>
        <w:t>potreba</w:t>
      </w:r>
      <w:r w:rsidR="002B54AA" w:rsidRPr="00FB6FC8">
        <w:rPr>
          <w:rFonts w:ascii="Arial" w:hAnsi="Arial" w:cs="Arial"/>
          <w:szCs w:val="24"/>
        </w:rPr>
        <w:t xml:space="preserve"> </w:t>
      </w:r>
      <w:r w:rsidR="003D6783" w:rsidRPr="00FB6FC8">
        <w:rPr>
          <w:rFonts w:ascii="Arial" w:hAnsi="Arial" w:cs="Arial"/>
          <w:szCs w:val="24"/>
        </w:rPr>
        <w:t>Vlade F</w:t>
      </w:r>
      <w:r w:rsidR="00F327B1" w:rsidRPr="00FB6FC8">
        <w:rPr>
          <w:rFonts w:ascii="Arial" w:hAnsi="Arial" w:cs="Arial"/>
          <w:szCs w:val="24"/>
        </w:rPr>
        <w:t xml:space="preserve">ederacije </w:t>
      </w:r>
      <w:r w:rsidR="003D6783" w:rsidRPr="00FB6FC8">
        <w:rPr>
          <w:rFonts w:ascii="Arial" w:hAnsi="Arial" w:cs="Arial"/>
          <w:szCs w:val="24"/>
        </w:rPr>
        <w:t xml:space="preserve">BiH </w:t>
      </w:r>
      <w:r w:rsidR="002B54AA" w:rsidRPr="00FB6FC8">
        <w:rPr>
          <w:rFonts w:ascii="Arial" w:hAnsi="Arial" w:cs="Arial"/>
          <w:szCs w:val="24"/>
        </w:rPr>
        <w:t>u naredn</w:t>
      </w:r>
      <w:r w:rsidR="007D7527" w:rsidRPr="00FB6FC8">
        <w:rPr>
          <w:rFonts w:ascii="Arial" w:hAnsi="Arial" w:cs="Arial"/>
          <w:szCs w:val="24"/>
        </w:rPr>
        <w:t>e tri</w:t>
      </w:r>
      <w:r w:rsidR="002B54AA" w:rsidRPr="00FB6FC8">
        <w:rPr>
          <w:rFonts w:ascii="Arial" w:hAnsi="Arial" w:cs="Arial"/>
          <w:szCs w:val="24"/>
        </w:rPr>
        <w:t xml:space="preserve"> godin</w:t>
      </w:r>
      <w:r w:rsidR="007D7527" w:rsidRPr="00FB6FC8">
        <w:rPr>
          <w:rFonts w:ascii="Arial" w:hAnsi="Arial" w:cs="Arial"/>
          <w:szCs w:val="24"/>
        </w:rPr>
        <w:t>e</w:t>
      </w:r>
      <w:r w:rsidR="008E770E" w:rsidRPr="00FB6FC8">
        <w:rPr>
          <w:rFonts w:ascii="Arial" w:hAnsi="Arial" w:cs="Arial"/>
          <w:szCs w:val="24"/>
        </w:rPr>
        <w:t xml:space="preserve"> kako na vanjskom tako i na unut</w:t>
      </w:r>
      <w:r w:rsidR="00A31C4D">
        <w:rPr>
          <w:rFonts w:ascii="Arial" w:hAnsi="Arial" w:cs="Arial"/>
          <w:szCs w:val="24"/>
        </w:rPr>
        <w:t>ar</w:t>
      </w:r>
      <w:r w:rsidR="008E770E" w:rsidRPr="00FB6FC8">
        <w:rPr>
          <w:rFonts w:ascii="Arial" w:hAnsi="Arial" w:cs="Arial"/>
          <w:szCs w:val="24"/>
        </w:rPr>
        <w:t>njem tržištu</w:t>
      </w:r>
      <w:r w:rsidR="002B54AA" w:rsidRPr="00FB6FC8">
        <w:rPr>
          <w:rFonts w:ascii="Arial" w:hAnsi="Arial" w:cs="Arial"/>
          <w:szCs w:val="24"/>
        </w:rPr>
        <w:t xml:space="preserve">, te indikativne mjere i alate </w:t>
      </w:r>
      <w:r w:rsidR="00D666B6" w:rsidRPr="00FB6FC8">
        <w:rPr>
          <w:rFonts w:ascii="Arial" w:hAnsi="Arial" w:cs="Arial"/>
          <w:szCs w:val="24"/>
        </w:rPr>
        <w:t>potrebne</w:t>
      </w:r>
      <w:r w:rsidR="002B54AA" w:rsidRPr="00FB6FC8">
        <w:rPr>
          <w:rFonts w:ascii="Arial" w:hAnsi="Arial" w:cs="Arial"/>
          <w:szCs w:val="24"/>
        </w:rPr>
        <w:t xml:space="preserve"> za dostizanje usvojenih strateških ciljeva.</w:t>
      </w:r>
    </w:p>
    <w:p w14:paraId="7249AF12" w14:textId="77777777" w:rsidR="00ED768D" w:rsidRPr="00AF7CAC" w:rsidRDefault="00ED768D" w:rsidP="00626FD0">
      <w:pPr>
        <w:spacing w:after="0" w:line="240" w:lineRule="auto"/>
        <w:jc w:val="both"/>
      </w:pPr>
    </w:p>
    <w:p w14:paraId="0FCE2DC5" w14:textId="77777777" w:rsidR="00ED768D" w:rsidRPr="00AF7CAC" w:rsidRDefault="00ED768D" w:rsidP="00626FD0">
      <w:pPr>
        <w:pStyle w:val="Heading1"/>
        <w:numPr>
          <w:ilvl w:val="0"/>
          <w:numId w:val="1"/>
        </w:numPr>
        <w:spacing w:before="0" w:line="240" w:lineRule="auto"/>
        <w:rPr>
          <w:rFonts w:ascii="Arial" w:hAnsi="Arial" w:cs="Arial"/>
          <w:b w:val="0"/>
          <w:color w:val="auto"/>
        </w:rPr>
      </w:pPr>
      <w:bookmarkStart w:id="2" w:name="_Toc100823727"/>
      <w:r w:rsidRPr="00AF7CAC">
        <w:rPr>
          <w:rFonts w:ascii="Arial" w:hAnsi="Arial" w:cs="Arial"/>
          <w:b w:val="0"/>
          <w:color w:val="auto"/>
        </w:rPr>
        <w:t>PRAVNI I INSTITUCIONALNI OKVIR</w:t>
      </w:r>
      <w:bookmarkEnd w:id="2"/>
    </w:p>
    <w:p w14:paraId="73BE8527" w14:textId="77777777" w:rsidR="00626FD0" w:rsidRPr="00AF7CAC" w:rsidRDefault="00626FD0" w:rsidP="00626FD0">
      <w:pPr>
        <w:spacing w:after="0" w:line="240" w:lineRule="auto"/>
      </w:pPr>
    </w:p>
    <w:p w14:paraId="6F0717E9" w14:textId="77777777" w:rsidR="00626FD0" w:rsidRPr="00AF7CAC" w:rsidRDefault="00626FD0" w:rsidP="00626FD0">
      <w:pPr>
        <w:pStyle w:val="Heading2"/>
        <w:numPr>
          <w:ilvl w:val="1"/>
          <w:numId w:val="1"/>
        </w:numPr>
        <w:spacing w:before="0" w:line="240" w:lineRule="auto"/>
      </w:pPr>
      <w:bookmarkStart w:id="3" w:name="_Toc100823728"/>
      <w:r w:rsidRPr="00AF7CAC">
        <w:rPr>
          <w:rFonts w:ascii="Arial" w:hAnsi="Arial" w:cs="Arial"/>
          <w:b w:val="0"/>
          <w:color w:val="auto"/>
        </w:rPr>
        <w:t>Pravni okvir</w:t>
      </w:r>
      <w:bookmarkEnd w:id="3"/>
    </w:p>
    <w:p w14:paraId="7E2D3176" w14:textId="77777777" w:rsidR="00626FD0" w:rsidRPr="00AF7CAC" w:rsidRDefault="00626FD0" w:rsidP="00626FD0">
      <w:pPr>
        <w:spacing w:after="0" w:line="240" w:lineRule="auto"/>
      </w:pPr>
    </w:p>
    <w:p w14:paraId="26CF8AC2" w14:textId="2C21D805" w:rsidR="00ED768D" w:rsidRPr="00087712" w:rsidRDefault="00ED768D" w:rsidP="00087712">
      <w:pPr>
        <w:spacing w:after="0"/>
        <w:ind w:firstLine="360"/>
        <w:jc w:val="both"/>
        <w:rPr>
          <w:rFonts w:ascii="Arial" w:hAnsi="Arial" w:cs="Arial"/>
        </w:rPr>
      </w:pPr>
      <w:r w:rsidRPr="00087712">
        <w:rPr>
          <w:rFonts w:ascii="Arial" w:hAnsi="Arial" w:cs="Arial"/>
        </w:rPr>
        <w:t xml:space="preserve">Kompleksnost ustavnog uređenja </w:t>
      </w:r>
      <w:r w:rsidR="00384FB2" w:rsidRPr="00087712">
        <w:rPr>
          <w:rFonts w:ascii="Arial" w:hAnsi="Arial" w:cs="Arial"/>
        </w:rPr>
        <w:t>Bosn</w:t>
      </w:r>
      <w:r w:rsidR="00A64C1D" w:rsidRPr="00087712">
        <w:rPr>
          <w:rFonts w:ascii="Arial" w:hAnsi="Arial" w:cs="Arial"/>
        </w:rPr>
        <w:t>e</w:t>
      </w:r>
      <w:r w:rsidR="00384FB2" w:rsidRPr="00087712">
        <w:rPr>
          <w:rFonts w:ascii="Arial" w:hAnsi="Arial" w:cs="Arial"/>
        </w:rPr>
        <w:t xml:space="preserve"> i Hercegovine </w:t>
      </w:r>
      <w:r w:rsidRPr="00087712">
        <w:rPr>
          <w:rFonts w:ascii="Arial" w:hAnsi="Arial" w:cs="Arial"/>
        </w:rPr>
        <w:t>rezultiral</w:t>
      </w:r>
      <w:r w:rsidR="00A64C1D" w:rsidRPr="00087712">
        <w:rPr>
          <w:rFonts w:ascii="Arial" w:hAnsi="Arial" w:cs="Arial"/>
        </w:rPr>
        <w:t>a</w:t>
      </w:r>
      <w:r w:rsidRPr="00087712">
        <w:rPr>
          <w:rFonts w:ascii="Arial" w:hAnsi="Arial" w:cs="Arial"/>
        </w:rPr>
        <w:t xml:space="preserve"> je uspostavljanjem višestrukog zakonodavnog i institucionalnog okvira za upravljanje dugom </w:t>
      </w:r>
      <w:r w:rsidR="00384FB2" w:rsidRPr="00087712">
        <w:rPr>
          <w:rFonts w:ascii="Arial" w:hAnsi="Arial" w:cs="Arial"/>
        </w:rPr>
        <w:t xml:space="preserve">na svim </w:t>
      </w:r>
      <w:r w:rsidR="00325579">
        <w:rPr>
          <w:rFonts w:ascii="Arial" w:hAnsi="Arial" w:cs="Arial"/>
        </w:rPr>
        <w:t>razinama</w:t>
      </w:r>
      <w:r w:rsidR="00384FB2" w:rsidRPr="00087712">
        <w:rPr>
          <w:rFonts w:ascii="Arial" w:hAnsi="Arial" w:cs="Arial"/>
        </w:rPr>
        <w:t xml:space="preserve"> vlasti.</w:t>
      </w:r>
    </w:p>
    <w:p w14:paraId="030AF6F1" w14:textId="60F7B1DA" w:rsidR="00ED768D" w:rsidRPr="00087712" w:rsidRDefault="00ED768D" w:rsidP="00087712">
      <w:pPr>
        <w:pStyle w:val="NoSpacing"/>
        <w:numPr>
          <w:ilvl w:val="0"/>
          <w:numId w:val="8"/>
        </w:numPr>
        <w:spacing w:line="276" w:lineRule="auto"/>
        <w:ind w:left="426" w:hanging="426"/>
        <w:jc w:val="both"/>
        <w:rPr>
          <w:rFonts w:ascii="Arial" w:hAnsi="Arial" w:cs="Arial"/>
          <w:lang w:val="hr-HR"/>
        </w:rPr>
      </w:pPr>
      <w:r w:rsidRPr="00087712">
        <w:rPr>
          <w:rFonts w:ascii="Arial" w:hAnsi="Arial" w:cs="Arial"/>
          <w:lang w:val="hr-HR"/>
        </w:rPr>
        <w:t>Procedur</w:t>
      </w:r>
      <w:r w:rsidR="00F327B1" w:rsidRPr="00087712">
        <w:rPr>
          <w:rFonts w:ascii="Arial" w:hAnsi="Arial" w:cs="Arial"/>
          <w:lang w:val="hr-HR"/>
        </w:rPr>
        <w:t>a</w:t>
      </w:r>
      <w:r w:rsidRPr="00087712">
        <w:rPr>
          <w:rFonts w:ascii="Arial" w:hAnsi="Arial" w:cs="Arial"/>
          <w:lang w:val="hr-HR"/>
        </w:rPr>
        <w:t xml:space="preserve"> ugovaranja novih vanjskih državnih zajmova </w:t>
      </w:r>
      <w:r w:rsidR="00F327B1" w:rsidRPr="00087712">
        <w:rPr>
          <w:rFonts w:ascii="Arial" w:hAnsi="Arial" w:cs="Arial"/>
          <w:lang w:val="hr-HR"/>
        </w:rPr>
        <w:t>propisana je</w:t>
      </w:r>
      <w:r w:rsidRPr="00087712">
        <w:rPr>
          <w:rFonts w:ascii="Arial" w:hAnsi="Arial" w:cs="Arial"/>
          <w:lang w:val="hr-HR"/>
        </w:rPr>
        <w:t xml:space="preserve"> član</w:t>
      </w:r>
      <w:r w:rsidR="00325579">
        <w:rPr>
          <w:rFonts w:ascii="Arial" w:hAnsi="Arial" w:cs="Arial"/>
          <w:lang w:val="hr-HR"/>
        </w:rPr>
        <w:t>k</w:t>
      </w:r>
      <w:r w:rsidR="00F327B1" w:rsidRPr="00087712">
        <w:rPr>
          <w:rFonts w:ascii="Arial" w:hAnsi="Arial" w:cs="Arial"/>
          <w:lang w:val="hr-HR"/>
        </w:rPr>
        <w:t>om</w:t>
      </w:r>
      <w:r w:rsidRPr="00087712">
        <w:rPr>
          <w:rFonts w:ascii="Arial" w:hAnsi="Arial" w:cs="Arial"/>
          <w:lang w:val="hr-HR"/>
        </w:rPr>
        <w:t xml:space="preserve"> 39. Zakona o zaduživanju, dugu i garancijama Bosne i Hercegovine („Službeni glasnik</w:t>
      </w:r>
      <w:r w:rsidR="009847D2" w:rsidRPr="00087712">
        <w:rPr>
          <w:rFonts w:ascii="Arial" w:hAnsi="Arial" w:cs="Arial"/>
          <w:lang w:val="hr-HR"/>
        </w:rPr>
        <w:t xml:space="preserve"> BiH“, br. 52/05, 103/09 i 90/16</w:t>
      </w:r>
      <w:r w:rsidR="00A31C4D">
        <w:rPr>
          <w:rFonts w:ascii="Arial" w:hAnsi="Arial" w:cs="Arial"/>
          <w:lang w:val="hr-HR"/>
        </w:rPr>
        <w:t xml:space="preserve">, </w:t>
      </w:r>
      <w:r w:rsidR="0043590E" w:rsidRPr="00087712">
        <w:rPr>
          <w:rFonts w:ascii="Arial" w:hAnsi="Arial" w:cs="Arial"/>
          <w:lang w:val="hr-HR"/>
        </w:rPr>
        <w:t>u dalj</w:t>
      </w:r>
      <w:r w:rsidR="00325579">
        <w:rPr>
          <w:rFonts w:ascii="Arial" w:hAnsi="Arial" w:cs="Arial"/>
          <w:lang w:val="hr-HR"/>
        </w:rPr>
        <w:t>nj</w:t>
      </w:r>
      <w:r w:rsidR="0043590E" w:rsidRPr="00087712">
        <w:rPr>
          <w:rFonts w:ascii="Arial" w:hAnsi="Arial" w:cs="Arial"/>
          <w:lang w:val="hr-HR"/>
        </w:rPr>
        <w:t>em te</w:t>
      </w:r>
      <w:r w:rsidR="00F327B1" w:rsidRPr="00087712">
        <w:rPr>
          <w:rFonts w:ascii="Arial" w:hAnsi="Arial" w:cs="Arial"/>
          <w:lang w:val="hr-HR"/>
        </w:rPr>
        <w:t>kstu: Zakon o zaduživanju</w:t>
      </w:r>
      <w:r w:rsidR="004476F9">
        <w:rPr>
          <w:rFonts w:ascii="Arial" w:hAnsi="Arial" w:cs="Arial"/>
          <w:lang w:val="hr-HR"/>
        </w:rPr>
        <w:t xml:space="preserve"> u BiH</w:t>
      </w:r>
      <w:r w:rsidR="00F327B1" w:rsidRPr="00087712">
        <w:rPr>
          <w:rFonts w:ascii="Arial" w:hAnsi="Arial" w:cs="Arial"/>
          <w:lang w:val="hr-HR"/>
        </w:rPr>
        <w:t>)</w:t>
      </w:r>
      <w:r w:rsidRPr="00087712">
        <w:rPr>
          <w:rFonts w:ascii="Arial" w:hAnsi="Arial" w:cs="Arial"/>
          <w:lang w:val="hr-HR"/>
        </w:rPr>
        <w:t xml:space="preserve">, a </w:t>
      </w:r>
      <w:r w:rsidR="00325579">
        <w:rPr>
          <w:rFonts w:ascii="Arial" w:hAnsi="Arial" w:cs="Arial"/>
          <w:lang w:val="hr-HR"/>
        </w:rPr>
        <w:t>alokacija ob</w:t>
      </w:r>
      <w:r w:rsidR="00F327B1" w:rsidRPr="00087712">
        <w:rPr>
          <w:rFonts w:ascii="Arial" w:hAnsi="Arial" w:cs="Arial"/>
          <w:lang w:val="hr-HR"/>
        </w:rPr>
        <w:t xml:space="preserve">veze </w:t>
      </w:r>
      <w:r w:rsidRPr="00087712">
        <w:rPr>
          <w:rFonts w:ascii="Arial" w:hAnsi="Arial" w:cs="Arial"/>
          <w:lang w:val="hr-HR"/>
        </w:rPr>
        <w:t>otplate vanjskog državnog duga član</w:t>
      </w:r>
      <w:r w:rsidR="00325579">
        <w:rPr>
          <w:rFonts w:ascii="Arial" w:hAnsi="Arial" w:cs="Arial"/>
          <w:lang w:val="hr-HR"/>
        </w:rPr>
        <w:t>k</w:t>
      </w:r>
      <w:r w:rsidR="00F327B1" w:rsidRPr="00087712">
        <w:rPr>
          <w:rFonts w:ascii="Arial" w:hAnsi="Arial" w:cs="Arial"/>
          <w:lang w:val="hr-HR"/>
        </w:rPr>
        <w:t>om</w:t>
      </w:r>
      <w:r w:rsidRPr="00087712">
        <w:rPr>
          <w:rFonts w:ascii="Arial" w:hAnsi="Arial" w:cs="Arial"/>
          <w:lang w:val="hr-HR"/>
        </w:rPr>
        <w:t xml:space="preserve"> 50;</w:t>
      </w:r>
    </w:p>
    <w:p w14:paraId="56B03372" w14:textId="0E9F41A5" w:rsidR="00ED768D" w:rsidRPr="00087712" w:rsidRDefault="00ED768D" w:rsidP="00087712">
      <w:pPr>
        <w:pStyle w:val="NoSpacing"/>
        <w:numPr>
          <w:ilvl w:val="0"/>
          <w:numId w:val="8"/>
        </w:numPr>
        <w:spacing w:line="276" w:lineRule="auto"/>
        <w:ind w:left="426" w:hanging="426"/>
        <w:jc w:val="both"/>
        <w:rPr>
          <w:rFonts w:ascii="Arial" w:hAnsi="Arial" w:cs="Arial"/>
          <w:lang w:val="hr-HR"/>
        </w:rPr>
      </w:pPr>
      <w:r w:rsidRPr="00087712">
        <w:rPr>
          <w:rFonts w:ascii="Arial" w:hAnsi="Arial" w:cs="Arial"/>
          <w:lang w:val="hr-HR"/>
        </w:rPr>
        <w:t>Zakon o zaduživanju</w:t>
      </w:r>
      <w:r w:rsidR="00130459" w:rsidRPr="00087712">
        <w:rPr>
          <w:rFonts w:ascii="Arial" w:hAnsi="Arial" w:cs="Arial"/>
          <w:lang w:val="hr-HR"/>
        </w:rPr>
        <w:t xml:space="preserve"> </w:t>
      </w:r>
      <w:r w:rsidR="00A22491">
        <w:rPr>
          <w:rFonts w:ascii="Arial" w:hAnsi="Arial" w:cs="Arial"/>
          <w:lang w:val="hr-HR"/>
        </w:rPr>
        <w:t xml:space="preserve">u BiH </w:t>
      </w:r>
      <w:r w:rsidR="00130459" w:rsidRPr="00087712">
        <w:rPr>
          <w:rFonts w:ascii="Arial" w:hAnsi="Arial" w:cs="Arial"/>
          <w:lang w:val="hr-HR"/>
        </w:rPr>
        <w:t>također</w:t>
      </w:r>
      <w:r w:rsidRPr="00087712">
        <w:rPr>
          <w:rFonts w:ascii="Arial" w:hAnsi="Arial" w:cs="Arial"/>
          <w:lang w:val="hr-HR"/>
        </w:rPr>
        <w:t xml:space="preserve"> daje ovlaštenja entitetima i </w:t>
      </w:r>
      <w:r w:rsidR="00D666B6" w:rsidRPr="00087712">
        <w:rPr>
          <w:rFonts w:ascii="Arial" w:hAnsi="Arial" w:cs="Arial"/>
          <w:lang w:val="hr-HR"/>
        </w:rPr>
        <w:t xml:space="preserve">Brčko </w:t>
      </w:r>
      <w:r w:rsidRPr="00087712">
        <w:rPr>
          <w:rFonts w:ascii="Arial" w:hAnsi="Arial" w:cs="Arial"/>
          <w:lang w:val="hr-HR"/>
        </w:rPr>
        <w:t>Distriktu da sklapaju ugovore o zaduživanju s vanjskim kreditorima po osnov</w:t>
      </w:r>
      <w:r w:rsidR="00325579">
        <w:rPr>
          <w:rFonts w:ascii="Arial" w:hAnsi="Arial" w:cs="Arial"/>
          <w:lang w:val="hr-HR"/>
        </w:rPr>
        <w:t>i</w:t>
      </w:r>
      <w:r w:rsidRPr="00087712">
        <w:rPr>
          <w:rFonts w:ascii="Arial" w:hAnsi="Arial" w:cs="Arial"/>
          <w:lang w:val="hr-HR"/>
        </w:rPr>
        <w:t xml:space="preserve"> direktnog duga</w:t>
      </w:r>
      <w:r w:rsidR="002D19CB" w:rsidRPr="00087712">
        <w:rPr>
          <w:rFonts w:ascii="Arial" w:hAnsi="Arial" w:cs="Arial"/>
          <w:lang w:val="hr-HR"/>
        </w:rPr>
        <w:t>,</w:t>
      </w:r>
      <w:r w:rsidR="00E378AE" w:rsidRPr="00087712">
        <w:rPr>
          <w:rFonts w:ascii="Arial" w:hAnsi="Arial" w:cs="Arial"/>
          <w:lang w:val="hr-HR"/>
        </w:rPr>
        <w:t xml:space="preserve"> što je </w:t>
      </w:r>
      <w:r w:rsidR="002D19CB" w:rsidRPr="00087712">
        <w:rPr>
          <w:rFonts w:ascii="Arial" w:hAnsi="Arial" w:cs="Arial"/>
          <w:lang w:val="hr-HR"/>
        </w:rPr>
        <w:t>predmet</w:t>
      </w:r>
      <w:r w:rsidR="00DB68BD" w:rsidRPr="00087712">
        <w:rPr>
          <w:rFonts w:ascii="Arial" w:hAnsi="Arial" w:cs="Arial"/>
          <w:lang w:val="hr-HR"/>
        </w:rPr>
        <w:t>om</w:t>
      </w:r>
      <w:r w:rsidR="002D19CB" w:rsidRPr="00087712">
        <w:rPr>
          <w:rFonts w:ascii="Arial" w:hAnsi="Arial" w:cs="Arial"/>
          <w:lang w:val="hr-HR"/>
        </w:rPr>
        <w:t xml:space="preserve"> prethodne </w:t>
      </w:r>
      <w:r w:rsidR="00325579" w:rsidRPr="00087712">
        <w:rPr>
          <w:rFonts w:ascii="Arial" w:hAnsi="Arial" w:cs="Arial"/>
          <w:lang w:val="hr-HR"/>
        </w:rPr>
        <w:t>suglasnosti</w:t>
      </w:r>
      <w:r w:rsidR="005537DD" w:rsidRPr="00087712">
        <w:rPr>
          <w:rFonts w:ascii="Arial" w:hAnsi="Arial" w:cs="Arial"/>
          <w:lang w:val="hr-HR"/>
        </w:rPr>
        <w:t xml:space="preserve"> Parlamentarne skupštine</w:t>
      </w:r>
      <w:r w:rsidR="002D19CB" w:rsidRPr="00087712">
        <w:rPr>
          <w:rFonts w:ascii="Arial" w:hAnsi="Arial" w:cs="Arial"/>
          <w:lang w:val="hr-HR"/>
        </w:rPr>
        <w:t xml:space="preserve"> BiH</w:t>
      </w:r>
      <w:r w:rsidRPr="00087712">
        <w:rPr>
          <w:rFonts w:ascii="Arial" w:hAnsi="Arial" w:cs="Arial"/>
          <w:lang w:val="hr-HR"/>
        </w:rPr>
        <w:t>;</w:t>
      </w:r>
    </w:p>
    <w:p w14:paraId="40B28996" w14:textId="4C16E17E" w:rsidR="00384FB2" w:rsidRPr="00087712" w:rsidRDefault="00ED768D" w:rsidP="00087712">
      <w:pPr>
        <w:pStyle w:val="NoSpacing"/>
        <w:numPr>
          <w:ilvl w:val="0"/>
          <w:numId w:val="8"/>
        </w:numPr>
        <w:spacing w:line="276" w:lineRule="auto"/>
        <w:ind w:left="426" w:hanging="426"/>
        <w:jc w:val="both"/>
        <w:rPr>
          <w:rFonts w:ascii="Arial" w:hAnsi="Arial" w:cs="Arial"/>
          <w:lang w:val="hr-HR"/>
        </w:rPr>
      </w:pPr>
      <w:r w:rsidRPr="00087712">
        <w:rPr>
          <w:rFonts w:ascii="Arial" w:hAnsi="Arial" w:cs="Arial"/>
          <w:lang w:val="hr-HR"/>
        </w:rPr>
        <w:t>U skladu sa Zakonom o dugu, zaduživanju i garancijama u Federaciji Bosne i Hercegovine („Službene novine FBiH“, br. 86/07, 24/09, 44/1</w:t>
      </w:r>
      <w:r w:rsidR="009847D2" w:rsidRPr="00087712">
        <w:rPr>
          <w:rFonts w:ascii="Arial" w:hAnsi="Arial" w:cs="Arial"/>
          <w:lang w:val="hr-HR"/>
        </w:rPr>
        <w:t>0 i 30/16</w:t>
      </w:r>
      <w:r w:rsidR="00A31C4D">
        <w:rPr>
          <w:rFonts w:ascii="Arial" w:hAnsi="Arial" w:cs="Arial"/>
          <w:lang w:val="hr-HR"/>
        </w:rPr>
        <w:t xml:space="preserve">, </w:t>
      </w:r>
      <w:r w:rsidR="009847D2" w:rsidRPr="00087712">
        <w:rPr>
          <w:rFonts w:ascii="Arial" w:hAnsi="Arial" w:cs="Arial"/>
          <w:lang w:val="hr-HR"/>
        </w:rPr>
        <w:t>u dalj</w:t>
      </w:r>
      <w:r w:rsidR="00325579">
        <w:rPr>
          <w:rFonts w:ascii="Arial" w:hAnsi="Arial" w:cs="Arial"/>
          <w:lang w:val="hr-HR"/>
        </w:rPr>
        <w:t>nj</w:t>
      </w:r>
      <w:r w:rsidR="009847D2" w:rsidRPr="00087712">
        <w:rPr>
          <w:rFonts w:ascii="Arial" w:hAnsi="Arial" w:cs="Arial"/>
          <w:lang w:val="hr-HR"/>
        </w:rPr>
        <w:t>em tekstu: Zakon o dugu u FBiH</w:t>
      </w:r>
      <w:r w:rsidRPr="00087712">
        <w:rPr>
          <w:rFonts w:ascii="Arial" w:hAnsi="Arial" w:cs="Arial"/>
          <w:lang w:val="hr-HR"/>
        </w:rPr>
        <w:t>) F</w:t>
      </w:r>
      <w:r w:rsidR="00A0450F" w:rsidRPr="00087712">
        <w:rPr>
          <w:rFonts w:ascii="Arial" w:hAnsi="Arial" w:cs="Arial"/>
          <w:lang w:val="hr-HR"/>
        </w:rPr>
        <w:t>ederacija</w:t>
      </w:r>
      <w:r w:rsidRPr="00087712">
        <w:rPr>
          <w:rFonts w:ascii="Arial" w:hAnsi="Arial" w:cs="Arial"/>
          <w:lang w:val="hr-HR"/>
        </w:rPr>
        <w:t xml:space="preserve"> </w:t>
      </w:r>
      <w:r w:rsidR="00B04DA1" w:rsidRPr="00087712">
        <w:rPr>
          <w:rFonts w:ascii="Arial" w:hAnsi="Arial" w:cs="Arial"/>
          <w:lang w:val="hr-HR"/>
        </w:rPr>
        <w:t xml:space="preserve">BiH </w:t>
      </w:r>
      <w:r w:rsidRPr="00087712">
        <w:rPr>
          <w:rFonts w:ascii="Arial" w:hAnsi="Arial" w:cs="Arial"/>
          <w:lang w:val="hr-HR"/>
        </w:rPr>
        <w:t>se može zaduživati u zemlji i u ino</w:t>
      </w:r>
      <w:r w:rsidR="00325579">
        <w:rPr>
          <w:rFonts w:ascii="Arial" w:hAnsi="Arial" w:cs="Arial"/>
          <w:lang w:val="hr-HR"/>
        </w:rPr>
        <w:t>zemstvu</w:t>
      </w:r>
      <w:r w:rsidRPr="00087712">
        <w:rPr>
          <w:rFonts w:ascii="Arial" w:hAnsi="Arial" w:cs="Arial"/>
          <w:lang w:val="hr-HR"/>
        </w:rPr>
        <w:t xml:space="preserve"> u domaćoj ili stranoj valuti. </w:t>
      </w:r>
      <w:r w:rsidR="004D2214" w:rsidRPr="00087712">
        <w:rPr>
          <w:rFonts w:ascii="Arial" w:hAnsi="Arial" w:cs="Arial"/>
          <w:lang w:val="hr-HR"/>
        </w:rPr>
        <w:t xml:space="preserve">Za </w:t>
      </w:r>
      <w:r w:rsidRPr="00087712">
        <w:rPr>
          <w:rFonts w:ascii="Arial" w:hAnsi="Arial" w:cs="Arial"/>
          <w:lang w:val="hr-HR"/>
        </w:rPr>
        <w:t>provođenje procedure zaduživanja</w:t>
      </w:r>
      <w:r w:rsidR="00F5140A" w:rsidRPr="00087712">
        <w:rPr>
          <w:rFonts w:ascii="Arial" w:hAnsi="Arial" w:cs="Arial"/>
          <w:lang w:val="hr-HR"/>
        </w:rPr>
        <w:t>, izdavanja garancija</w:t>
      </w:r>
      <w:r w:rsidRPr="00087712">
        <w:rPr>
          <w:rFonts w:ascii="Arial" w:hAnsi="Arial" w:cs="Arial"/>
          <w:lang w:val="hr-HR"/>
        </w:rPr>
        <w:t xml:space="preserve"> i upravljanje dugom F</w:t>
      </w:r>
      <w:r w:rsidR="00AF4632" w:rsidRPr="00087712">
        <w:rPr>
          <w:rFonts w:ascii="Arial" w:hAnsi="Arial" w:cs="Arial"/>
          <w:lang w:val="hr-HR"/>
        </w:rPr>
        <w:t xml:space="preserve">ederacije </w:t>
      </w:r>
      <w:r w:rsidR="00B06A96" w:rsidRPr="00087712">
        <w:rPr>
          <w:rFonts w:ascii="Arial" w:hAnsi="Arial" w:cs="Arial"/>
          <w:lang w:val="hr-HR"/>
        </w:rPr>
        <w:t>B</w:t>
      </w:r>
      <w:r w:rsidRPr="00087712">
        <w:rPr>
          <w:rFonts w:ascii="Arial" w:hAnsi="Arial" w:cs="Arial"/>
          <w:lang w:val="hr-HR"/>
        </w:rPr>
        <w:t>iH</w:t>
      </w:r>
      <w:r w:rsidR="004D2214" w:rsidRPr="00087712">
        <w:rPr>
          <w:rFonts w:ascii="Arial" w:hAnsi="Arial" w:cs="Arial"/>
          <w:lang w:val="hr-HR"/>
        </w:rPr>
        <w:t xml:space="preserve"> nadležno je F</w:t>
      </w:r>
      <w:r w:rsidR="00B04DA1" w:rsidRPr="00087712">
        <w:rPr>
          <w:rFonts w:ascii="Arial" w:hAnsi="Arial" w:cs="Arial"/>
          <w:lang w:val="hr-HR"/>
        </w:rPr>
        <w:t xml:space="preserve">ederalno ministarstvo </w:t>
      </w:r>
      <w:r w:rsidR="009A78EF">
        <w:rPr>
          <w:rFonts w:ascii="Arial" w:hAnsi="Arial" w:cs="Arial"/>
          <w:lang w:val="hr-HR"/>
        </w:rPr>
        <w:t>finan</w:t>
      </w:r>
      <w:r w:rsidR="00A31C4D">
        <w:rPr>
          <w:rFonts w:ascii="Arial" w:hAnsi="Arial" w:cs="Arial"/>
          <w:lang w:val="hr-HR"/>
        </w:rPr>
        <w:t>s</w:t>
      </w:r>
      <w:r w:rsidR="00B04DA1" w:rsidRPr="00087712">
        <w:rPr>
          <w:rFonts w:ascii="Arial" w:hAnsi="Arial" w:cs="Arial"/>
          <w:lang w:val="hr-HR"/>
        </w:rPr>
        <w:t xml:space="preserve">ija/financija (u daljem tekstu: Ministarstvo </w:t>
      </w:r>
      <w:r w:rsidR="009A78EF">
        <w:rPr>
          <w:rFonts w:ascii="Arial" w:hAnsi="Arial" w:cs="Arial"/>
          <w:lang w:val="hr-HR"/>
        </w:rPr>
        <w:t>financ</w:t>
      </w:r>
      <w:r w:rsidR="00B04DA1" w:rsidRPr="00087712">
        <w:rPr>
          <w:rFonts w:ascii="Arial" w:hAnsi="Arial" w:cs="Arial"/>
          <w:lang w:val="hr-HR"/>
        </w:rPr>
        <w:t>ija)</w:t>
      </w:r>
      <w:r w:rsidRPr="00087712">
        <w:rPr>
          <w:rFonts w:ascii="Arial" w:hAnsi="Arial" w:cs="Arial"/>
          <w:lang w:val="hr-HR"/>
        </w:rPr>
        <w:t xml:space="preserve">. </w:t>
      </w:r>
    </w:p>
    <w:p w14:paraId="1C5522ED" w14:textId="2B37CBD2" w:rsidR="00ED768D" w:rsidRPr="00087712" w:rsidRDefault="00ED768D" w:rsidP="00087712">
      <w:pPr>
        <w:pStyle w:val="NoSpacing"/>
        <w:numPr>
          <w:ilvl w:val="0"/>
          <w:numId w:val="8"/>
        </w:numPr>
        <w:spacing w:line="276" w:lineRule="auto"/>
        <w:ind w:left="426" w:hanging="426"/>
        <w:jc w:val="both"/>
        <w:rPr>
          <w:rFonts w:ascii="Arial" w:hAnsi="Arial" w:cs="Arial"/>
          <w:lang w:val="hr-HR"/>
        </w:rPr>
      </w:pPr>
      <w:r w:rsidRPr="00087712">
        <w:rPr>
          <w:rFonts w:ascii="Arial" w:hAnsi="Arial" w:cs="Arial"/>
          <w:lang w:val="hr-HR"/>
        </w:rPr>
        <w:t xml:space="preserve">Zakonom o dugu u FBiH </w:t>
      </w:r>
      <w:r w:rsidR="00B06A96" w:rsidRPr="00087712">
        <w:rPr>
          <w:rFonts w:ascii="Arial" w:hAnsi="Arial" w:cs="Arial"/>
          <w:lang w:val="hr-HR"/>
        </w:rPr>
        <w:t xml:space="preserve">utvrđeni </w:t>
      </w:r>
      <w:r w:rsidR="00274F03" w:rsidRPr="00087712">
        <w:rPr>
          <w:rFonts w:ascii="Arial" w:hAnsi="Arial" w:cs="Arial"/>
          <w:lang w:val="hr-HR"/>
        </w:rPr>
        <w:t>su</w:t>
      </w:r>
      <w:r w:rsidRPr="00087712">
        <w:rPr>
          <w:rFonts w:ascii="Arial" w:hAnsi="Arial" w:cs="Arial"/>
          <w:lang w:val="hr-HR"/>
        </w:rPr>
        <w:t xml:space="preserve"> limiti zaduživanja F</w:t>
      </w:r>
      <w:r w:rsidR="00AF4632" w:rsidRPr="00087712">
        <w:rPr>
          <w:rFonts w:ascii="Arial" w:hAnsi="Arial" w:cs="Arial"/>
          <w:lang w:val="hr-HR"/>
        </w:rPr>
        <w:t xml:space="preserve">ederacije </w:t>
      </w:r>
      <w:r w:rsidRPr="00087712">
        <w:rPr>
          <w:rFonts w:ascii="Arial" w:hAnsi="Arial" w:cs="Arial"/>
          <w:lang w:val="hr-HR"/>
        </w:rPr>
        <w:t>BiH</w:t>
      </w:r>
      <w:r w:rsidR="00A31C4D">
        <w:rPr>
          <w:rFonts w:ascii="Arial" w:hAnsi="Arial" w:cs="Arial"/>
          <w:lang w:val="hr-HR"/>
        </w:rPr>
        <w:t xml:space="preserve">, kao i svrhe u </w:t>
      </w:r>
      <w:r w:rsidR="00C2494B" w:rsidRPr="00087712">
        <w:rPr>
          <w:rFonts w:ascii="Arial" w:hAnsi="Arial" w:cs="Arial"/>
          <w:lang w:val="hr-HR"/>
        </w:rPr>
        <w:t>koje se</w:t>
      </w:r>
      <w:r w:rsidRPr="00087712">
        <w:rPr>
          <w:rFonts w:ascii="Arial" w:hAnsi="Arial" w:cs="Arial"/>
          <w:lang w:val="hr-HR"/>
        </w:rPr>
        <w:t xml:space="preserve"> F</w:t>
      </w:r>
      <w:r w:rsidR="00AF4632" w:rsidRPr="00087712">
        <w:rPr>
          <w:rFonts w:ascii="Arial" w:hAnsi="Arial" w:cs="Arial"/>
          <w:lang w:val="hr-HR"/>
        </w:rPr>
        <w:t xml:space="preserve">ederacija </w:t>
      </w:r>
      <w:r w:rsidRPr="00087712">
        <w:rPr>
          <w:rFonts w:ascii="Arial" w:hAnsi="Arial" w:cs="Arial"/>
          <w:lang w:val="hr-HR"/>
        </w:rPr>
        <w:t xml:space="preserve">BiH može zadužiti na vanjskom ili </w:t>
      </w:r>
      <w:r w:rsidR="00325579">
        <w:rPr>
          <w:rFonts w:ascii="Arial" w:hAnsi="Arial" w:cs="Arial"/>
          <w:lang w:val="hr-HR"/>
        </w:rPr>
        <w:t>unutarnjem</w:t>
      </w:r>
      <w:r w:rsidRPr="00087712">
        <w:rPr>
          <w:rFonts w:ascii="Arial" w:hAnsi="Arial" w:cs="Arial"/>
          <w:lang w:val="hr-HR"/>
        </w:rPr>
        <w:t xml:space="preserve"> tržištu</w:t>
      </w:r>
      <w:r w:rsidR="00C2494B" w:rsidRPr="00087712">
        <w:rPr>
          <w:rFonts w:ascii="Arial" w:hAnsi="Arial" w:cs="Arial"/>
          <w:lang w:val="hr-HR"/>
        </w:rPr>
        <w:t xml:space="preserve">, </w:t>
      </w:r>
      <w:r w:rsidRPr="00087712">
        <w:rPr>
          <w:rFonts w:ascii="Arial" w:hAnsi="Arial" w:cs="Arial"/>
          <w:lang w:val="hr-HR"/>
        </w:rPr>
        <w:t>te izdati garancije</w:t>
      </w:r>
      <w:r w:rsidR="00B13751" w:rsidRPr="00087712">
        <w:rPr>
          <w:rFonts w:ascii="Arial" w:hAnsi="Arial" w:cs="Arial"/>
          <w:lang w:val="hr-HR"/>
        </w:rPr>
        <w:t>.</w:t>
      </w:r>
    </w:p>
    <w:p w14:paraId="09299300" w14:textId="77777777" w:rsidR="00626FD0" w:rsidRPr="00AF7CAC" w:rsidRDefault="00626FD0" w:rsidP="00626FD0">
      <w:pPr>
        <w:pStyle w:val="NoSpacing"/>
        <w:ind w:left="426"/>
        <w:jc w:val="both"/>
        <w:rPr>
          <w:rFonts w:ascii="Arial" w:hAnsi="Arial" w:cs="Arial"/>
          <w:sz w:val="24"/>
          <w:szCs w:val="24"/>
          <w:lang w:val="hr-HR"/>
        </w:rPr>
      </w:pPr>
    </w:p>
    <w:p w14:paraId="1AF9239F" w14:textId="77777777" w:rsidR="00626FD0" w:rsidRPr="00AF7CAC" w:rsidRDefault="00626FD0" w:rsidP="00626FD0">
      <w:pPr>
        <w:pStyle w:val="Heading2"/>
        <w:numPr>
          <w:ilvl w:val="1"/>
          <w:numId w:val="1"/>
        </w:numPr>
        <w:spacing w:before="0" w:line="240" w:lineRule="auto"/>
        <w:rPr>
          <w:rFonts w:ascii="Arial" w:hAnsi="Arial" w:cs="Arial"/>
          <w:sz w:val="24"/>
          <w:szCs w:val="24"/>
        </w:rPr>
      </w:pPr>
      <w:bookmarkStart w:id="4" w:name="_Toc100823729"/>
      <w:r w:rsidRPr="00AF7CAC">
        <w:rPr>
          <w:rFonts w:ascii="Arial" w:hAnsi="Arial" w:cs="Arial"/>
          <w:b w:val="0"/>
          <w:color w:val="auto"/>
        </w:rPr>
        <w:t>Institucionalni okvir</w:t>
      </w:r>
      <w:bookmarkEnd w:id="4"/>
    </w:p>
    <w:p w14:paraId="62D83C36" w14:textId="77777777" w:rsidR="00626FD0" w:rsidRPr="00AF7CAC" w:rsidRDefault="00626FD0" w:rsidP="00626FD0">
      <w:pPr>
        <w:pStyle w:val="NoSpacing"/>
        <w:jc w:val="both"/>
        <w:rPr>
          <w:rFonts w:ascii="Arial" w:hAnsi="Arial" w:cs="Arial"/>
          <w:sz w:val="24"/>
          <w:szCs w:val="24"/>
          <w:lang w:val="hr-HR"/>
        </w:rPr>
      </w:pPr>
    </w:p>
    <w:p w14:paraId="2D334F5E" w14:textId="2E2B8F3B" w:rsidR="00B63D95" w:rsidRDefault="00626FD0" w:rsidP="00087712">
      <w:pPr>
        <w:spacing w:after="0"/>
        <w:ind w:firstLine="360"/>
        <w:jc w:val="both"/>
        <w:rPr>
          <w:rFonts w:ascii="Arial" w:hAnsi="Arial" w:cs="Arial"/>
          <w:szCs w:val="24"/>
        </w:rPr>
      </w:pPr>
      <w:r w:rsidRPr="00087712">
        <w:rPr>
          <w:rFonts w:ascii="Arial" w:hAnsi="Arial" w:cs="Arial"/>
          <w:szCs w:val="24"/>
        </w:rPr>
        <w:t>Sve transakcije vezane</w:t>
      </w:r>
      <w:r w:rsidR="009847D2" w:rsidRPr="00087712">
        <w:rPr>
          <w:rFonts w:ascii="Arial" w:hAnsi="Arial" w:cs="Arial"/>
          <w:szCs w:val="24"/>
        </w:rPr>
        <w:t xml:space="preserve"> za dug i garancije unutar </w:t>
      </w:r>
      <w:r w:rsidR="00D311D5">
        <w:rPr>
          <w:rFonts w:ascii="Arial" w:hAnsi="Arial" w:cs="Arial"/>
          <w:szCs w:val="24"/>
        </w:rPr>
        <w:t xml:space="preserve">Ministarstva </w:t>
      </w:r>
      <w:r w:rsidR="009A78EF">
        <w:rPr>
          <w:rFonts w:ascii="Arial" w:hAnsi="Arial" w:cs="Arial"/>
          <w:szCs w:val="24"/>
        </w:rPr>
        <w:t>financ</w:t>
      </w:r>
      <w:r w:rsidR="00D311D5">
        <w:rPr>
          <w:rFonts w:ascii="Arial" w:hAnsi="Arial" w:cs="Arial"/>
          <w:szCs w:val="24"/>
        </w:rPr>
        <w:t>ija</w:t>
      </w:r>
      <w:r w:rsidR="009847D2" w:rsidRPr="00087712">
        <w:rPr>
          <w:rFonts w:ascii="Arial" w:hAnsi="Arial" w:cs="Arial"/>
          <w:szCs w:val="24"/>
        </w:rPr>
        <w:t xml:space="preserve"> </w:t>
      </w:r>
      <w:r w:rsidRPr="00087712">
        <w:rPr>
          <w:rFonts w:ascii="Arial" w:hAnsi="Arial" w:cs="Arial"/>
          <w:szCs w:val="24"/>
        </w:rPr>
        <w:t>provodi Sektor za upravljanje dugom kojim rukovodi pomoćnik ministra</w:t>
      </w:r>
      <w:r w:rsidR="009847D2" w:rsidRPr="00087712">
        <w:rPr>
          <w:rFonts w:ascii="Arial" w:hAnsi="Arial" w:cs="Arial"/>
          <w:szCs w:val="24"/>
        </w:rPr>
        <w:t xml:space="preserve"> i</w:t>
      </w:r>
      <w:r w:rsidRPr="00087712">
        <w:rPr>
          <w:rFonts w:ascii="Arial" w:hAnsi="Arial" w:cs="Arial"/>
          <w:szCs w:val="24"/>
        </w:rPr>
        <w:t xml:space="preserve"> direktno je odgovoran ministru </w:t>
      </w:r>
      <w:r w:rsidR="009A78EF">
        <w:rPr>
          <w:rFonts w:ascii="Arial" w:hAnsi="Arial" w:cs="Arial"/>
          <w:szCs w:val="24"/>
        </w:rPr>
        <w:t>financ</w:t>
      </w:r>
      <w:r w:rsidRPr="00087712">
        <w:rPr>
          <w:rFonts w:ascii="Arial" w:hAnsi="Arial" w:cs="Arial"/>
          <w:szCs w:val="24"/>
        </w:rPr>
        <w:t xml:space="preserve">ija. </w:t>
      </w:r>
    </w:p>
    <w:p w14:paraId="1C8ADF54" w14:textId="24789F3E" w:rsidR="00626FD0" w:rsidRPr="00087712" w:rsidRDefault="00626FD0" w:rsidP="00087712">
      <w:pPr>
        <w:spacing w:after="0"/>
        <w:ind w:firstLine="360"/>
        <w:jc w:val="both"/>
        <w:rPr>
          <w:rFonts w:ascii="Arial" w:hAnsi="Arial" w:cs="Arial"/>
          <w:szCs w:val="24"/>
        </w:rPr>
      </w:pPr>
      <w:r w:rsidRPr="00087712">
        <w:rPr>
          <w:rFonts w:ascii="Arial" w:hAnsi="Arial" w:cs="Arial"/>
          <w:szCs w:val="24"/>
        </w:rPr>
        <w:t>Sektor se sastoji iz tri odsjeka:</w:t>
      </w:r>
    </w:p>
    <w:p w14:paraId="0440A552" w14:textId="77777777" w:rsidR="00626FD0" w:rsidRPr="00087712" w:rsidRDefault="00626FD0" w:rsidP="00087712">
      <w:pPr>
        <w:pStyle w:val="NoSpacing"/>
        <w:numPr>
          <w:ilvl w:val="0"/>
          <w:numId w:val="24"/>
        </w:numPr>
        <w:spacing w:line="276" w:lineRule="auto"/>
        <w:jc w:val="both"/>
        <w:rPr>
          <w:rFonts w:ascii="Arial" w:hAnsi="Arial" w:cs="Arial"/>
          <w:szCs w:val="24"/>
          <w:lang w:val="hr-HR"/>
        </w:rPr>
      </w:pPr>
      <w:r w:rsidRPr="00087712">
        <w:rPr>
          <w:rFonts w:ascii="Arial" w:hAnsi="Arial" w:cs="Arial"/>
          <w:szCs w:val="24"/>
          <w:lang w:val="hr-HR"/>
        </w:rPr>
        <w:t>Odsjek za zaduživanje i koordinaciju sredstava za razvoj (eng. Front office)</w:t>
      </w:r>
    </w:p>
    <w:p w14:paraId="3F12F289" w14:textId="38138BDD" w:rsidR="00626FD0" w:rsidRPr="00087712" w:rsidRDefault="00626FD0" w:rsidP="00087712">
      <w:pPr>
        <w:pStyle w:val="NoSpacing"/>
        <w:numPr>
          <w:ilvl w:val="0"/>
          <w:numId w:val="24"/>
        </w:numPr>
        <w:spacing w:line="276" w:lineRule="auto"/>
        <w:jc w:val="both"/>
        <w:rPr>
          <w:rFonts w:ascii="Arial" w:hAnsi="Arial" w:cs="Arial"/>
          <w:szCs w:val="24"/>
          <w:lang w:val="hr-HR"/>
        </w:rPr>
      </w:pPr>
      <w:r w:rsidRPr="00087712">
        <w:rPr>
          <w:rFonts w:ascii="Arial" w:hAnsi="Arial" w:cs="Arial"/>
          <w:szCs w:val="24"/>
          <w:lang w:val="hr-HR"/>
        </w:rPr>
        <w:t>Odsjek za analizu i izvješ</w:t>
      </w:r>
      <w:r w:rsidR="00325579">
        <w:rPr>
          <w:rFonts w:ascii="Arial" w:hAnsi="Arial" w:cs="Arial"/>
          <w:szCs w:val="24"/>
          <w:lang w:val="hr-HR"/>
        </w:rPr>
        <w:t>ći</w:t>
      </w:r>
      <w:r w:rsidRPr="00087712">
        <w:rPr>
          <w:rFonts w:ascii="Arial" w:hAnsi="Arial" w:cs="Arial"/>
          <w:szCs w:val="24"/>
          <w:lang w:val="hr-HR"/>
        </w:rPr>
        <w:t>vanje (eng. Middle office)</w:t>
      </w:r>
    </w:p>
    <w:p w14:paraId="54EF5101" w14:textId="77777777" w:rsidR="00626FD0" w:rsidRPr="00087712" w:rsidRDefault="00626FD0" w:rsidP="00087712">
      <w:pPr>
        <w:pStyle w:val="NoSpacing"/>
        <w:numPr>
          <w:ilvl w:val="0"/>
          <w:numId w:val="24"/>
        </w:numPr>
        <w:spacing w:line="276" w:lineRule="auto"/>
        <w:jc w:val="both"/>
        <w:rPr>
          <w:rFonts w:ascii="Arial" w:hAnsi="Arial" w:cs="Arial"/>
          <w:szCs w:val="24"/>
          <w:lang w:val="hr-HR"/>
        </w:rPr>
      </w:pPr>
      <w:r w:rsidRPr="00087712">
        <w:rPr>
          <w:rFonts w:ascii="Arial" w:hAnsi="Arial" w:cs="Arial"/>
          <w:szCs w:val="24"/>
          <w:lang w:val="hr-HR"/>
        </w:rPr>
        <w:t xml:space="preserve">Odsjek za izmirenje duga (eng. Back office) </w:t>
      </w:r>
    </w:p>
    <w:p w14:paraId="7C036807" w14:textId="77777777" w:rsidR="00626FD0" w:rsidRPr="00087712" w:rsidRDefault="00626FD0" w:rsidP="00087712">
      <w:pPr>
        <w:pStyle w:val="NoSpacing"/>
        <w:spacing w:line="276" w:lineRule="auto"/>
        <w:jc w:val="both"/>
        <w:rPr>
          <w:rFonts w:ascii="Arial" w:hAnsi="Arial" w:cs="Arial"/>
          <w:szCs w:val="24"/>
          <w:lang w:val="hr-HR"/>
        </w:rPr>
      </w:pPr>
    </w:p>
    <w:p w14:paraId="5D55F0DA" w14:textId="59714633" w:rsidR="00325579" w:rsidRPr="00087712" w:rsidRDefault="00626FD0" w:rsidP="00325579">
      <w:pPr>
        <w:pStyle w:val="NoSpacing"/>
        <w:spacing w:line="276" w:lineRule="auto"/>
        <w:ind w:firstLine="142"/>
        <w:jc w:val="both"/>
        <w:rPr>
          <w:rFonts w:ascii="Arial" w:hAnsi="Arial" w:cs="Arial"/>
          <w:szCs w:val="24"/>
          <w:lang w:val="hr-HR"/>
        </w:rPr>
      </w:pPr>
      <w:r w:rsidRPr="00087712">
        <w:rPr>
          <w:rFonts w:ascii="Arial" w:hAnsi="Arial" w:cs="Arial"/>
          <w:szCs w:val="24"/>
          <w:lang w:val="hr-HR"/>
        </w:rPr>
        <w:t>Ovakvom organizaci</w:t>
      </w:r>
      <w:r w:rsidR="00325579">
        <w:rPr>
          <w:rFonts w:ascii="Arial" w:hAnsi="Arial" w:cs="Arial"/>
          <w:szCs w:val="24"/>
          <w:lang w:val="hr-HR"/>
        </w:rPr>
        <w:t>jskom</w:t>
      </w:r>
      <w:r w:rsidRPr="00087712">
        <w:rPr>
          <w:rFonts w:ascii="Arial" w:hAnsi="Arial" w:cs="Arial"/>
          <w:szCs w:val="24"/>
          <w:lang w:val="hr-HR"/>
        </w:rPr>
        <w:t xml:space="preserve"> strukturom Sektora za upravljanje dugom osigurano je jasno razdvajanje dužnosti između službenika koji imaju ovlaštenja da pregovaraju i provode transakcije zaduživanja i onih koji su zaduženi za računovodstveno evidentiranje tih transakcija i servisiranje duga, kao i službenika koji su odgovorni za monitoring, odnosno analizu i izvješ</w:t>
      </w:r>
      <w:r w:rsidR="00325579">
        <w:rPr>
          <w:rFonts w:ascii="Arial" w:hAnsi="Arial" w:cs="Arial"/>
          <w:szCs w:val="24"/>
          <w:lang w:val="hr-HR"/>
        </w:rPr>
        <w:t>ći</w:t>
      </w:r>
      <w:r w:rsidRPr="00087712">
        <w:rPr>
          <w:rFonts w:ascii="Arial" w:hAnsi="Arial" w:cs="Arial"/>
          <w:szCs w:val="24"/>
          <w:lang w:val="hr-HR"/>
        </w:rPr>
        <w:t xml:space="preserve">vanje. </w:t>
      </w:r>
    </w:p>
    <w:p w14:paraId="00F62453" w14:textId="77777777" w:rsidR="00ED768D" w:rsidRPr="00AF7CAC" w:rsidRDefault="00ED768D" w:rsidP="00ED768D">
      <w:pPr>
        <w:pStyle w:val="Heading1"/>
        <w:numPr>
          <w:ilvl w:val="0"/>
          <w:numId w:val="1"/>
        </w:numPr>
        <w:spacing w:before="0"/>
        <w:ind w:left="567" w:hanging="425"/>
        <w:jc w:val="both"/>
        <w:rPr>
          <w:rFonts w:ascii="Arial" w:hAnsi="Arial" w:cs="Arial"/>
          <w:b w:val="0"/>
          <w:color w:val="auto"/>
        </w:rPr>
      </w:pPr>
      <w:bookmarkStart w:id="5" w:name="_Toc100823730"/>
      <w:r w:rsidRPr="00AF7CAC">
        <w:rPr>
          <w:rFonts w:ascii="Arial" w:hAnsi="Arial" w:cs="Arial"/>
          <w:b w:val="0"/>
          <w:color w:val="auto"/>
        </w:rPr>
        <w:lastRenderedPageBreak/>
        <w:t>CILJEVI I OBUHVAT STRATEGIJE UPRAVLJANJA DUGOM</w:t>
      </w:r>
      <w:bookmarkEnd w:id="5"/>
    </w:p>
    <w:p w14:paraId="7DDC3F7E" w14:textId="77777777" w:rsidR="00BE5B36" w:rsidRDefault="00BE5B36" w:rsidP="00ED768D">
      <w:pPr>
        <w:pStyle w:val="NoSpacing"/>
        <w:rPr>
          <w:rFonts w:ascii="Arial" w:hAnsi="Arial" w:cs="Arial"/>
          <w:lang w:val="hr-HR"/>
        </w:rPr>
      </w:pPr>
    </w:p>
    <w:p w14:paraId="1B80BE51" w14:textId="77777777" w:rsidR="00087712" w:rsidRPr="00AF7CAC" w:rsidRDefault="00087712" w:rsidP="00ED768D">
      <w:pPr>
        <w:pStyle w:val="NoSpacing"/>
        <w:rPr>
          <w:rFonts w:ascii="Arial" w:hAnsi="Arial" w:cs="Arial"/>
          <w:lang w:val="hr-HR"/>
        </w:rPr>
      </w:pPr>
    </w:p>
    <w:p w14:paraId="057CBF96" w14:textId="77777777" w:rsidR="00ED768D" w:rsidRPr="00087712" w:rsidRDefault="00ED768D" w:rsidP="00087712">
      <w:pPr>
        <w:pStyle w:val="Heading2"/>
        <w:numPr>
          <w:ilvl w:val="1"/>
          <w:numId w:val="1"/>
        </w:numPr>
        <w:spacing w:before="0"/>
        <w:rPr>
          <w:rFonts w:ascii="Arial" w:hAnsi="Arial" w:cs="Arial"/>
          <w:b w:val="0"/>
          <w:color w:val="auto"/>
          <w:sz w:val="22"/>
          <w:szCs w:val="22"/>
        </w:rPr>
      </w:pPr>
      <w:bookmarkStart w:id="6" w:name="_Toc100823731"/>
      <w:r w:rsidRPr="00087712">
        <w:rPr>
          <w:rFonts w:ascii="Arial" w:hAnsi="Arial" w:cs="Arial"/>
          <w:b w:val="0"/>
          <w:color w:val="auto"/>
          <w:sz w:val="22"/>
          <w:szCs w:val="22"/>
        </w:rPr>
        <w:t>Ciljevi upravljanja dugom</w:t>
      </w:r>
      <w:bookmarkEnd w:id="6"/>
    </w:p>
    <w:p w14:paraId="1DCE916B" w14:textId="77777777" w:rsidR="00ED768D" w:rsidRPr="00087712" w:rsidRDefault="00ED768D" w:rsidP="00087712">
      <w:pPr>
        <w:spacing w:after="0"/>
        <w:jc w:val="both"/>
      </w:pPr>
    </w:p>
    <w:p w14:paraId="18AD8AFE" w14:textId="77777777" w:rsidR="00ED768D" w:rsidRPr="00087712" w:rsidRDefault="00E378AE" w:rsidP="00087712">
      <w:pPr>
        <w:pStyle w:val="NoSpacing"/>
        <w:spacing w:line="276" w:lineRule="auto"/>
        <w:jc w:val="both"/>
        <w:rPr>
          <w:rFonts w:ascii="Arial" w:hAnsi="Arial" w:cs="Arial"/>
          <w:lang w:val="hr-HR"/>
        </w:rPr>
      </w:pPr>
      <w:r w:rsidRPr="00087712">
        <w:rPr>
          <w:rFonts w:ascii="Arial" w:hAnsi="Arial" w:cs="Arial"/>
          <w:lang w:val="hr-HR"/>
        </w:rPr>
        <w:t>C</w:t>
      </w:r>
      <w:r w:rsidR="00ED768D" w:rsidRPr="00087712">
        <w:rPr>
          <w:rFonts w:ascii="Arial" w:hAnsi="Arial" w:cs="Arial"/>
          <w:lang w:val="hr-HR"/>
        </w:rPr>
        <w:t>iljevi upravljanja dugom Vlade F</w:t>
      </w:r>
      <w:r w:rsidR="00D864A3" w:rsidRPr="00087712">
        <w:rPr>
          <w:rFonts w:ascii="Arial" w:hAnsi="Arial" w:cs="Arial"/>
          <w:lang w:val="hr-HR"/>
        </w:rPr>
        <w:t xml:space="preserve">ederacije </w:t>
      </w:r>
      <w:r w:rsidR="00ED768D" w:rsidRPr="00087712">
        <w:rPr>
          <w:rFonts w:ascii="Arial" w:hAnsi="Arial" w:cs="Arial"/>
          <w:lang w:val="hr-HR"/>
        </w:rPr>
        <w:t>BiH su:</w:t>
      </w:r>
    </w:p>
    <w:p w14:paraId="54B9F2F0" w14:textId="77777777" w:rsidR="00C4523E" w:rsidRPr="00087712" w:rsidRDefault="00C4523E" w:rsidP="00087712">
      <w:pPr>
        <w:pStyle w:val="NoSpacing"/>
        <w:spacing w:line="276" w:lineRule="auto"/>
        <w:jc w:val="both"/>
        <w:rPr>
          <w:rFonts w:ascii="Arial" w:hAnsi="Arial" w:cs="Arial"/>
          <w:lang w:val="hr-HR"/>
        </w:rPr>
      </w:pPr>
    </w:p>
    <w:p w14:paraId="7CA9B1A8" w14:textId="5E00E9E3" w:rsidR="00ED768D" w:rsidRPr="00FB6FC8" w:rsidRDefault="00ED768D" w:rsidP="00087712">
      <w:pPr>
        <w:pStyle w:val="NoSpacing"/>
        <w:numPr>
          <w:ilvl w:val="0"/>
          <w:numId w:val="2"/>
        </w:numPr>
        <w:spacing w:line="276" w:lineRule="auto"/>
        <w:jc w:val="both"/>
        <w:rPr>
          <w:rFonts w:ascii="Arial" w:hAnsi="Arial" w:cs="Arial"/>
          <w:lang w:val="hr-HR"/>
        </w:rPr>
      </w:pPr>
      <w:r w:rsidRPr="00D912D1">
        <w:rPr>
          <w:rFonts w:ascii="Arial" w:hAnsi="Arial" w:cs="Arial"/>
          <w:lang w:val="hr-HR"/>
        </w:rPr>
        <w:t xml:space="preserve">osiguranje </w:t>
      </w:r>
      <w:r w:rsidR="009A78EF">
        <w:rPr>
          <w:rFonts w:ascii="Arial" w:hAnsi="Arial" w:cs="Arial"/>
          <w:lang w:val="hr-HR"/>
        </w:rPr>
        <w:t>financ</w:t>
      </w:r>
      <w:r w:rsidRPr="00D912D1">
        <w:rPr>
          <w:rFonts w:ascii="Arial" w:hAnsi="Arial" w:cs="Arial"/>
          <w:lang w:val="hr-HR"/>
        </w:rPr>
        <w:t xml:space="preserve">ijskih sredstava za </w:t>
      </w:r>
      <w:r w:rsidR="009A78EF">
        <w:rPr>
          <w:rFonts w:ascii="Arial" w:hAnsi="Arial" w:cs="Arial"/>
          <w:lang w:val="hr-HR"/>
        </w:rPr>
        <w:t>financ</w:t>
      </w:r>
      <w:r w:rsidRPr="00D912D1">
        <w:rPr>
          <w:rFonts w:ascii="Arial" w:hAnsi="Arial" w:cs="Arial"/>
          <w:lang w:val="hr-HR"/>
        </w:rPr>
        <w:t xml:space="preserve">iranje vladinih potreba uz </w:t>
      </w:r>
      <w:r w:rsidR="009847D2" w:rsidRPr="00FB6FC8">
        <w:rPr>
          <w:rFonts w:ascii="Arial" w:hAnsi="Arial" w:cs="Arial"/>
          <w:lang w:val="hr-HR"/>
        </w:rPr>
        <w:t xml:space="preserve">prihvatljive troškove i rizike </w:t>
      </w:r>
      <w:r w:rsidRPr="00FB6FC8">
        <w:rPr>
          <w:rFonts w:ascii="Arial" w:hAnsi="Arial" w:cs="Arial"/>
          <w:lang w:val="hr-HR"/>
        </w:rPr>
        <w:t xml:space="preserve">u srednjem i dugom roku; </w:t>
      </w:r>
    </w:p>
    <w:p w14:paraId="15117D62" w14:textId="77777777" w:rsidR="00ED768D" w:rsidRPr="00FB6FC8" w:rsidRDefault="00ED768D" w:rsidP="00087712">
      <w:pPr>
        <w:pStyle w:val="NoSpacing"/>
        <w:numPr>
          <w:ilvl w:val="0"/>
          <w:numId w:val="2"/>
        </w:numPr>
        <w:spacing w:line="276" w:lineRule="auto"/>
        <w:jc w:val="both"/>
        <w:rPr>
          <w:rFonts w:ascii="Arial" w:hAnsi="Arial" w:cs="Arial"/>
          <w:lang w:val="hr-HR"/>
        </w:rPr>
      </w:pPr>
      <w:r w:rsidRPr="00FB6FC8">
        <w:rPr>
          <w:rFonts w:ascii="Arial" w:hAnsi="Arial" w:cs="Arial"/>
          <w:lang w:val="hr-HR"/>
        </w:rPr>
        <w:t>razvoj domaćeg tržišta vrijednosnih papira.</w:t>
      </w:r>
    </w:p>
    <w:p w14:paraId="5B03DC1C" w14:textId="77777777" w:rsidR="00C4523E" w:rsidRPr="00087712" w:rsidRDefault="00C4523E" w:rsidP="00087712">
      <w:pPr>
        <w:pStyle w:val="NoSpacing"/>
        <w:spacing w:line="276" w:lineRule="auto"/>
        <w:ind w:left="720"/>
        <w:jc w:val="both"/>
        <w:rPr>
          <w:rFonts w:ascii="Arial" w:hAnsi="Arial" w:cs="Arial"/>
          <w:lang w:val="hr-HR"/>
        </w:rPr>
      </w:pPr>
    </w:p>
    <w:p w14:paraId="3E201143" w14:textId="77777777" w:rsidR="00ED768D" w:rsidRPr="00087712" w:rsidRDefault="00ED768D" w:rsidP="00087712">
      <w:pPr>
        <w:pStyle w:val="Heading2"/>
        <w:numPr>
          <w:ilvl w:val="1"/>
          <w:numId w:val="1"/>
        </w:numPr>
        <w:spacing w:before="0"/>
        <w:rPr>
          <w:rFonts w:ascii="Arial" w:hAnsi="Arial" w:cs="Arial"/>
          <w:b w:val="0"/>
          <w:color w:val="auto"/>
          <w:sz w:val="22"/>
          <w:szCs w:val="22"/>
        </w:rPr>
      </w:pPr>
      <w:bookmarkStart w:id="7" w:name="_Toc100823732"/>
      <w:r w:rsidRPr="00087712">
        <w:rPr>
          <w:rFonts w:ascii="Arial" w:hAnsi="Arial" w:cs="Arial"/>
          <w:b w:val="0"/>
          <w:color w:val="auto"/>
          <w:sz w:val="22"/>
          <w:szCs w:val="22"/>
        </w:rPr>
        <w:t>Obuhvat Strategije</w:t>
      </w:r>
      <w:bookmarkEnd w:id="7"/>
    </w:p>
    <w:p w14:paraId="6F43112D" w14:textId="77777777" w:rsidR="009847D2" w:rsidRPr="00087712" w:rsidRDefault="009847D2" w:rsidP="00087712">
      <w:pPr>
        <w:pStyle w:val="NoSpacing"/>
        <w:spacing w:line="276" w:lineRule="auto"/>
        <w:ind w:firstLine="360"/>
        <w:jc w:val="both"/>
        <w:rPr>
          <w:rFonts w:ascii="Arial" w:hAnsi="Arial" w:cs="Arial"/>
          <w:lang w:val="hr-HR"/>
        </w:rPr>
      </w:pPr>
    </w:p>
    <w:p w14:paraId="7AF6E361" w14:textId="74D2460D" w:rsidR="001A7F1E" w:rsidRPr="00FB6FC8" w:rsidRDefault="00130459" w:rsidP="00087712">
      <w:pPr>
        <w:pStyle w:val="NoSpacing"/>
        <w:spacing w:line="276" w:lineRule="auto"/>
        <w:ind w:firstLine="360"/>
        <w:jc w:val="both"/>
        <w:rPr>
          <w:rFonts w:ascii="Arial" w:hAnsi="Arial" w:cs="Arial"/>
          <w:lang w:val="hr-HR"/>
        </w:rPr>
      </w:pPr>
      <w:r w:rsidRPr="00D912D1">
        <w:rPr>
          <w:rFonts w:ascii="Arial" w:hAnsi="Arial" w:cs="Arial"/>
          <w:lang w:val="hr-HR"/>
        </w:rPr>
        <w:t>S</w:t>
      </w:r>
      <w:r w:rsidR="00ED768D" w:rsidRPr="00D912D1">
        <w:rPr>
          <w:rFonts w:ascii="Arial" w:hAnsi="Arial" w:cs="Arial"/>
          <w:lang w:val="hr-HR"/>
        </w:rPr>
        <w:t xml:space="preserve">trategija obuhvata </w:t>
      </w:r>
      <w:r w:rsidR="009A78EF">
        <w:rPr>
          <w:rFonts w:ascii="Arial" w:hAnsi="Arial" w:cs="Arial"/>
          <w:lang w:val="hr-HR"/>
        </w:rPr>
        <w:t>portfelj</w:t>
      </w:r>
      <w:r w:rsidR="00ED768D" w:rsidRPr="00D912D1">
        <w:rPr>
          <w:rFonts w:ascii="Arial" w:hAnsi="Arial" w:cs="Arial"/>
          <w:lang w:val="hr-HR"/>
        </w:rPr>
        <w:t xml:space="preserve"> duga </w:t>
      </w:r>
      <w:r w:rsidR="004476F9" w:rsidRPr="00FB6FC8">
        <w:rPr>
          <w:rFonts w:ascii="Arial" w:hAnsi="Arial" w:cs="Arial"/>
          <w:lang w:val="hr-HR"/>
        </w:rPr>
        <w:t>na dan 31.</w:t>
      </w:r>
      <w:r w:rsidR="00DA7CD0">
        <w:rPr>
          <w:rFonts w:ascii="Arial" w:hAnsi="Arial" w:cs="Arial"/>
          <w:lang w:val="hr-HR"/>
        </w:rPr>
        <w:t xml:space="preserve"> </w:t>
      </w:r>
      <w:r w:rsidR="004476F9" w:rsidRPr="00FB6FC8">
        <w:rPr>
          <w:rFonts w:ascii="Arial" w:hAnsi="Arial" w:cs="Arial"/>
          <w:lang w:val="hr-HR"/>
        </w:rPr>
        <w:t>12.</w:t>
      </w:r>
      <w:r w:rsidR="00DA7CD0">
        <w:rPr>
          <w:rFonts w:ascii="Arial" w:hAnsi="Arial" w:cs="Arial"/>
          <w:lang w:val="hr-HR"/>
        </w:rPr>
        <w:t xml:space="preserve"> </w:t>
      </w:r>
      <w:r w:rsidR="00112088" w:rsidRPr="00FB6FC8">
        <w:rPr>
          <w:rFonts w:ascii="Arial" w:hAnsi="Arial" w:cs="Arial"/>
          <w:lang w:val="hr-HR"/>
        </w:rPr>
        <w:t>2021</w:t>
      </w:r>
      <w:r w:rsidR="004476F9" w:rsidRPr="00FB6FC8">
        <w:rPr>
          <w:rFonts w:ascii="Arial" w:hAnsi="Arial" w:cs="Arial"/>
          <w:lang w:val="hr-HR"/>
        </w:rPr>
        <w:t xml:space="preserve">. </w:t>
      </w:r>
      <w:r w:rsidR="00ED768D" w:rsidRPr="00FB6FC8">
        <w:rPr>
          <w:rFonts w:ascii="Arial" w:hAnsi="Arial" w:cs="Arial"/>
          <w:lang w:val="hr-HR"/>
        </w:rPr>
        <w:t xml:space="preserve">kojim upravlja </w:t>
      </w:r>
      <w:r w:rsidR="00AF4632" w:rsidRPr="00FB6FC8">
        <w:rPr>
          <w:rFonts w:ascii="Arial" w:hAnsi="Arial" w:cs="Arial"/>
          <w:lang w:val="hr-HR"/>
        </w:rPr>
        <w:t>Vlada Federacije BiH</w:t>
      </w:r>
      <w:r w:rsidR="00771DC5" w:rsidRPr="00FB6FC8">
        <w:rPr>
          <w:rFonts w:ascii="Arial" w:hAnsi="Arial" w:cs="Arial"/>
          <w:lang w:val="hr-HR"/>
        </w:rPr>
        <w:t xml:space="preserve"> </w:t>
      </w:r>
      <w:r w:rsidR="000D54BA" w:rsidRPr="00FB6FC8">
        <w:rPr>
          <w:rFonts w:ascii="Arial" w:hAnsi="Arial" w:cs="Arial"/>
          <w:lang w:val="hr-HR"/>
        </w:rPr>
        <w:t xml:space="preserve">i </w:t>
      </w:r>
      <w:r w:rsidR="00C2494B" w:rsidRPr="00FB6FC8">
        <w:rPr>
          <w:rFonts w:ascii="Arial" w:hAnsi="Arial" w:cs="Arial"/>
          <w:lang w:val="hr-HR"/>
        </w:rPr>
        <w:t>koji je prikazan u narednoj tab</w:t>
      </w:r>
      <w:r w:rsidR="00DA7CD0">
        <w:rPr>
          <w:rFonts w:ascii="Arial" w:hAnsi="Arial" w:cs="Arial"/>
          <w:lang w:val="hr-HR"/>
        </w:rPr>
        <w:t>lici</w:t>
      </w:r>
      <w:r w:rsidR="00C2494B" w:rsidRPr="00FB6FC8">
        <w:rPr>
          <w:rFonts w:ascii="Arial" w:hAnsi="Arial" w:cs="Arial"/>
          <w:lang w:val="hr-HR"/>
        </w:rPr>
        <w:t>.</w:t>
      </w:r>
    </w:p>
    <w:p w14:paraId="6C7E0023" w14:textId="77777777" w:rsidR="009847D2" w:rsidRPr="00FB6FC8" w:rsidRDefault="009847D2" w:rsidP="009847D2">
      <w:pPr>
        <w:pStyle w:val="NoSpacing"/>
        <w:ind w:firstLine="360"/>
        <w:jc w:val="both"/>
        <w:rPr>
          <w:rFonts w:ascii="Arial" w:hAnsi="Arial" w:cs="Arial"/>
          <w:sz w:val="24"/>
          <w:szCs w:val="24"/>
          <w:lang w:val="hr-HR"/>
        </w:rPr>
      </w:pPr>
    </w:p>
    <w:p w14:paraId="38D84151" w14:textId="7BCA3007" w:rsidR="001A7F1E" w:rsidRDefault="001A7F1E" w:rsidP="00ED768D">
      <w:pPr>
        <w:pStyle w:val="NoSpacing"/>
        <w:spacing w:line="276" w:lineRule="auto"/>
        <w:jc w:val="both"/>
        <w:rPr>
          <w:rFonts w:ascii="Arial" w:hAnsi="Arial" w:cs="Arial"/>
          <w:szCs w:val="24"/>
          <w:lang w:val="hr-HR"/>
        </w:rPr>
      </w:pPr>
      <w:r w:rsidRPr="00FB6FC8">
        <w:rPr>
          <w:rFonts w:ascii="Arial" w:hAnsi="Arial" w:cs="Arial"/>
          <w:szCs w:val="24"/>
          <w:lang w:val="hr-HR"/>
        </w:rPr>
        <w:t>Tab</w:t>
      </w:r>
      <w:r w:rsidR="00DA7CD0">
        <w:rPr>
          <w:rFonts w:ascii="Arial" w:hAnsi="Arial" w:cs="Arial"/>
          <w:szCs w:val="24"/>
          <w:lang w:val="hr-HR"/>
        </w:rPr>
        <w:t>lica</w:t>
      </w:r>
      <w:r w:rsidRPr="00FB6FC8">
        <w:rPr>
          <w:rFonts w:ascii="Arial" w:hAnsi="Arial" w:cs="Arial"/>
          <w:szCs w:val="24"/>
          <w:lang w:val="hr-HR"/>
        </w:rPr>
        <w:t xml:space="preserve"> 1. </w:t>
      </w:r>
      <w:r w:rsidR="004476F9" w:rsidRPr="00FB6FC8">
        <w:rPr>
          <w:rFonts w:ascii="Arial" w:hAnsi="Arial" w:cs="Arial"/>
          <w:szCs w:val="24"/>
          <w:lang w:val="hr-HR"/>
        </w:rPr>
        <w:t>Portf</w:t>
      </w:r>
      <w:r w:rsidR="00DA7CD0">
        <w:rPr>
          <w:rFonts w:ascii="Arial" w:hAnsi="Arial" w:cs="Arial"/>
          <w:szCs w:val="24"/>
          <w:lang w:val="hr-HR"/>
        </w:rPr>
        <w:t>elj</w:t>
      </w:r>
      <w:r w:rsidR="004476F9" w:rsidRPr="00FB6FC8">
        <w:rPr>
          <w:rFonts w:ascii="Arial" w:hAnsi="Arial" w:cs="Arial"/>
          <w:szCs w:val="24"/>
          <w:lang w:val="hr-HR"/>
        </w:rPr>
        <w:t xml:space="preserve"> d</w:t>
      </w:r>
      <w:r w:rsidR="000D54BA" w:rsidRPr="00FB6FC8">
        <w:rPr>
          <w:rFonts w:ascii="Arial" w:hAnsi="Arial" w:cs="Arial"/>
          <w:szCs w:val="24"/>
          <w:lang w:val="hr-HR"/>
        </w:rPr>
        <w:t>ug</w:t>
      </w:r>
      <w:r w:rsidR="004476F9" w:rsidRPr="00FB6FC8">
        <w:rPr>
          <w:rFonts w:ascii="Arial" w:hAnsi="Arial" w:cs="Arial"/>
          <w:szCs w:val="24"/>
          <w:lang w:val="hr-HR"/>
        </w:rPr>
        <w:t>a</w:t>
      </w:r>
      <w:r w:rsidR="000D54BA" w:rsidRPr="00FB6FC8">
        <w:rPr>
          <w:rFonts w:ascii="Arial" w:hAnsi="Arial" w:cs="Arial"/>
          <w:szCs w:val="24"/>
          <w:lang w:val="hr-HR"/>
        </w:rPr>
        <w:t xml:space="preserve"> </w:t>
      </w:r>
      <w:r w:rsidR="004476F9" w:rsidRPr="00FB6FC8">
        <w:rPr>
          <w:rFonts w:ascii="Arial" w:hAnsi="Arial" w:cs="Arial"/>
          <w:szCs w:val="24"/>
          <w:lang w:val="hr-HR"/>
        </w:rPr>
        <w:t>na dan 31.</w:t>
      </w:r>
      <w:r w:rsidR="00DA7CD0">
        <w:rPr>
          <w:rFonts w:ascii="Arial" w:hAnsi="Arial" w:cs="Arial"/>
          <w:szCs w:val="24"/>
          <w:lang w:val="hr-HR"/>
        </w:rPr>
        <w:t xml:space="preserve"> </w:t>
      </w:r>
      <w:r w:rsidR="004476F9" w:rsidRPr="00FB6FC8">
        <w:rPr>
          <w:rFonts w:ascii="Arial" w:hAnsi="Arial" w:cs="Arial"/>
          <w:szCs w:val="24"/>
          <w:lang w:val="hr-HR"/>
        </w:rPr>
        <w:t>12.</w:t>
      </w:r>
      <w:r w:rsidR="00DA7CD0">
        <w:rPr>
          <w:rFonts w:ascii="Arial" w:hAnsi="Arial" w:cs="Arial"/>
          <w:szCs w:val="24"/>
          <w:lang w:val="hr-HR"/>
        </w:rPr>
        <w:t xml:space="preserve"> </w:t>
      </w:r>
      <w:r w:rsidR="00112088" w:rsidRPr="00FB6FC8">
        <w:rPr>
          <w:rFonts w:ascii="Arial" w:hAnsi="Arial" w:cs="Arial"/>
          <w:szCs w:val="24"/>
          <w:lang w:val="hr-HR"/>
        </w:rPr>
        <w:t>2021</w:t>
      </w:r>
      <w:r w:rsidR="004476F9" w:rsidRPr="00FB6FC8">
        <w:rPr>
          <w:rFonts w:ascii="Arial" w:hAnsi="Arial" w:cs="Arial"/>
          <w:szCs w:val="24"/>
          <w:lang w:val="hr-HR"/>
        </w:rPr>
        <w:t xml:space="preserve">., </w:t>
      </w:r>
      <w:r w:rsidR="000D54BA" w:rsidRPr="00FB6FC8">
        <w:rPr>
          <w:rFonts w:ascii="Arial" w:hAnsi="Arial" w:cs="Arial"/>
          <w:szCs w:val="24"/>
          <w:lang w:val="hr-HR"/>
        </w:rPr>
        <w:t>obuhvaćen Strategijom</w:t>
      </w:r>
      <w:r w:rsidR="004476F9">
        <w:rPr>
          <w:rFonts w:ascii="Arial" w:hAnsi="Arial" w:cs="Arial"/>
          <w:szCs w:val="24"/>
          <w:lang w:val="hr-HR"/>
        </w:rPr>
        <w:t xml:space="preserve"> </w:t>
      </w:r>
    </w:p>
    <w:p w14:paraId="5F23B38B" w14:textId="77777777" w:rsidR="00AA70C2" w:rsidRDefault="00AA70C2" w:rsidP="00ED768D">
      <w:pPr>
        <w:pStyle w:val="NoSpacing"/>
        <w:spacing w:line="276" w:lineRule="auto"/>
        <w:jc w:val="both"/>
        <w:rPr>
          <w:rFonts w:ascii="Arial" w:hAnsi="Arial" w:cs="Arial"/>
          <w:szCs w:val="24"/>
          <w:lang w:val="hr-HR"/>
        </w:rPr>
      </w:pPr>
    </w:p>
    <w:tbl>
      <w:tblPr>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ook w:val="04A0" w:firstRow="1" w:lastRow="0" w:firstColumn="1" w:lastColumn="0" w:noHBand="0" w:noVBand="1"/>
      </w:tblPr>
      <w:tblGrid>
        <w:gridCol w:w="5652"/>
        <w:gridCol w:w="1728"/>
        <w:gridCol w:w="1933"/>
      </w:tblGrid>
      <w:tr w:rsidR="00AA70C2" w:rsidRPr="00AA70C2" w14:paraId="2AB483FA" w14:textId="77777777" w:rsidTr="00445180">
        <w:trPr>
          <w:trHeight w:val="300"/>
        </w:trPr>
        <w:tc>
          <w:tcPr>
            <w:tcW w:w="3034" w:type="pct"/>
            <w:shd w:val="clear" w:color="auto" w:fill="auto"/>
            <w:noWrap/>
            <w:vAlign w:val="center"/>
            <w:hideMark/>
          </w:tcPr>
          <w:p w14:paraId="1A6D2BA3" w14:textId="77777777" w:rsidR="00AA70C2" w:rsidRPr="00AA70C2" w:rsidRDefault="00AA70C2" w:rsidP="00AA70C2">
            <w:pPr>
              <w:spacing w:after="0" w:line="240" w:lineRule="auto"/>
              <w:jc w:val="center"/>
              <w:rPr>
                <w:rFonts w:ascii="Arial" w:eastAsia="Times New Roman" w:hAnsi="Arial" w:cs="Arial"/>
                <w:i/>
                <w:iCs/>
                <w:color w:val="000000"/>
                <w:lang w:val="en-US"/>
              </w:rPr>
            </w:pPr>
            <w:r w:rsidRPr="00AA70C2">
              <w:rPr>
                <w:rFonts w:ascii="Arial" w:eastAsia="Times New Roman" w:hAnsi="Arial" w:cs="Arial"/>
                <w:i/>
                <w:iCs/>
                <w:color w:val="000000"/>
              </w:rPr>
              <w:t>Vrsta duga</w:t>
            </w:r>
          </w:p>
        </w:tc>
        <w:tc>
          <w:tcPr>
            <w:tcW w:w="928" w:type="pct"/>
            <w:shd w:val="clear" w:color="auto" w:fill="auto"/>
            <w:noWrap/>
            <w:vAlign w:val="center"/>
            <w:hideMark/>
          </w:tcPr>
          <w:p w14:paraId="1AE109F1" w14:textId="77777777" w:rsidR="00AA70C2" w:rsidRDefault="00AA70C2" w:rsidP="00AA70C2">
            <w:pPr>
              <w:spacing w:after="0" w:line="240" w:lineRule="auto"/>
              <w:jc w:val="center"/>
              <w:rPr>
                <w:rFonts w:ascii="Arial" w:eastAsia="Times New Roman" w:hAnsi="Arial" w:cs="Arial"/>
                <w:i/>
                <w:iCs/>
                <w:color w:val="000000"/>
              </w:rPr>
            </w:pPr>
            <w:r w:rsidRPr="00AA70C2">
              <w:rPr>
                <w:rFonts w:ascii="Arial" w:eastAsia="Times New Roman" w:hAnsi="Arial" w:cs="Arial"/>
                <w:i/>
                <w:iCs/>
                <w:color w:val="000000"/>
              </w:rPr>
              <w:t xml:space="preserve">Uključen (√)/ </w:t>
            </w:r>
          </w:p>
          <w:p w14:paraId="692FC515" w14:textId="464718F3" w:rsidR="00AA70C2" w:rsidRPr="00AA70C2" w:rsidRDefault="00AA70C2" w:rsidP="00AA70C2">
            <w:pPr>
              <w:spacing w:after="0" w:line="240" w:lineRule="auto"/>
              <w:jc w:val="center"/>
              <w:rPr>
                <w:rFonts w:ascii="Arial" w:eastAsia="Times New Roman" w:hAnsi="Arial" w:cs="Arial"/>
                <w:i/>
                <w:iCs/>
                <w:color w:val="000000"/>
                <w:lang w:val="en-US"/>
              </w:rPr>
            </w:pPr>
            <w:r w:rsidRPr="00AA70C2">
              <w:rPr>
                <w:rFonts w:ascii="Arial" w:eastAsia="Times New Roman" w:hAnsi="Arial" w:cs="Arial"/>
                <w:i/>
                <w:iCs/>
                <w:color w:val="000000"/>
              </w:rPr>
              <w:t>Isključen (x)</w:t>
            </w:r>
          </w:p>
        </w:tc>
        <w:tc>
          <w:tcPr>
            <w:tcW w:w="1038" w:type="pct"/>
            <w:shd w:val="clear" w:color="auto" w:fill="auto"/>
            <w:noWrap/>
            <w:vAlign w:val="center"/>
            <w:hideMark/>
          </w:tcPr>
          <w:p w14:paraId="68A8B1A9" w14:textId="77777777" w:rsidR="00AA70C2" w:rsidRPr="00AA70C2" w:rsidRDefault="00AA70C2" w:rsidP="00AA70C2">
            <w:pPr>
              <w:spacing w:after="0" w:line="240" w:lineRule="auto"/>
              <w:jc w:val="right"/>
              <w:rPr>
                <w:rFonts w:ascii="Arial" w:eastAsia="Times New Roman" w:hAnsi="Arial" w:cs="Arial"/>
                <w:i/>
                <w:iCs/>
                <w:color w:val="000000"/>
                <w:lang w:val="en-US"/>
              </w:rPr>
            </w:pPr>
            <w:r w:rsidRPr="00AA70C2">
              <w:rPr>
                <w:rFonts w:ascii="Arial" w:eastAsia="Times New Roman" w:hAnsi="Arial" w:cs="Arial"/>
                <w:i/>
                <w:iCs/>
                <w:color w:val="000000"/>
              </w:rPr>
              <w:t>Iznos (mil.KM)</w:t>
            </w:r>
          </w:p>
        </w:tc>
      </w:tr>
      <w:tr w:rsidR="00AA70C2" w:rsidRPr="00AA70C2" w14:paraId="7E079BCC" w14:textId="77777777" w:rsidTr="00445180">
        <w:trPr>
          <w:trHeight w:val="300"/>
        </w:trPr>
        <w:tc>
          <w:tcPr>
            <w:tcW w:w="3034" w:type="pct"/>
            <w:shd w:val="clear" w:color="auto" w:fill="auto"/>
            <w:noWrap/>
            <w:vAlign w:val="center"/>
            <w:hideMark/>
          </w:tcPr>
          <w:p w14:paraId="6A37D0A7" w14:textId="77777777" w:rsidR="00AA70C2" w:rsidRPr="00445180" w:rsidRDefault="00AA70C2">
            <w:pPr>
              <w:spacing w:after="0" w:line="240" w:lineRule="auto"/>
              <w:jc w:val="both"/>
              <w:rPr>
                <w:rFonts w:ascii="Arial" w:eastAsia="Times New Roman" w:hAnsi="Arial" w:cs="Arial"/>
                <w:i/>
                <w:iCs/>
                <w:color w:val="000000"/>
                <w:lang w:val="en-US"/>
              </w:rPr>
            </w:pPr>
            <w:r w:rsidRPr="00445180">
              <w:rPr>
                <w:rFonts w:ascii="Arial" w:eastAsia="Times New Roman" w:hAnsi="Arial" w:cs="Arial"/>
                <w:i/>
                <w:iCs/>
                <w:color w:val="000000"/>
              </w:rPr>
              <w:t>Vanjski dug FBiH, od čega:</w:t>
            </w:r>
          </w:p>
        </w:tc>
        <w:tc>
          <w:tcPr>
            <w:tcW w:w="928" w:type="pct"/>
            <w:shd w:val="clear" w:color="auto" w:fill="auto"/>
            <w:noWrap/>
            <w:vAlign w:val="center"/>
            <w:hideMark/>
          </w:tcPr>
          <w:p w14:paraId="7A4C97C4" w14:textId="77777777" w:rsidR="00AA70C2" w:rsidRPr="00AA70C2" w:rsidRDefault="00AA70C2" w:rsidP="00AA70C2">
            <w:pPr>
              <w:spacing w:after="0" w:line="240" w:lineRule="auto"/>
              <w:jc w:val="both"/>
              <w:rPr>
                <w:rFonts w:ascii="Arial" w:eastAsia="Times New Roman" w:hAnsi="Arial" w:cs="Arial"/>
                <w:i/>
                <w:iCs/>
                <w:color w:val="000000"/>
                <w:lang w:val="en-US"/>
              </w:rPr>
            </w:pPr>
          </w:p>
        </w:tc>
        <w:tc>
          <w:tcPr>
            <w:tcW w:w="1038" w:type="pct"/>
            <w:shd w:val="clear" w:color="auto" w:fill="auto"/>
            <w:noWrap/>
            <w:vAlign w:val="center"/>
            <w:hideMark/>
          </w:tcPr>
          <w:p w14:paraId="67673921" w14:textId="77777777" w:rsidR="00AA70C2" w:rsidRPr="00AA70C2" w:rsidRDefault="00AA70C2" w:rsidP="00AA70C2">
            <w:pPr>
              <w:spacing w:after="0" w:line="240" w:lineRule="auto"/>
              <w:jc w:val="right"/>
              <w:rPr>
                <w:rFonts w:ascii="Arial" w:eastAsia="Times New Roman" w:hAnsi="Arial" w:cs="Arial"/>
                <w:i/>
                <w:iCs/>
                <w:color w:val="000000"/>
                <w:lang w:val="en-US"/>
              </w:rPr>
            </w:pPr>
            <w:r w:rsidRPr="00AA70C2">
              <w:rPr>
                <w:rFonts w:ascii="Arial" w:eastAsia="Times New Roman" w:hAnsi="Arial" w:cs="Arial"/>
                <w:i/>
                <w:iCs/>
                <w:color w:val="000000"/>
              </w:rPr>
              <w:t>5.402,00</w:t>
            </w:r>
          </w:p>
        </w:tc>
      </w:tr>
      <w:tr w:rsidR="00AA70C2" w:rsidRPr="00AA70C2" w14:paraId="1C857866" w14:textId="77777777" w:rsidTr="00445180">
        <w:trPr>
          <w:trHeight w:val="300"/>
        </w:trPr>
        <w:tc>
          <w:tcPr>
            <w:tcW w:w="3034" w:type="pct"/>
            <w:shd w:val="clear" w:color="auto" w:fill="auto"/>
            <w:noWrap/>
            <w:vAlign w:val="center"/>
            <w:hideMark/>
          </w:tcPr>
          <w:p w14:paraId="04F0E822" w14:textId="6568DDB9" w:rsidR="00AA70C2" w:rsidRPr="00445180" w:rsidRDefault="00AA70C2" w:rsidP="00445180">
            <w:pPr>
              <w:pStyle w:val="ListParagraph"/>
              <w:numPr>
                <w:ilvl w:val="0"/>
                <w:numId w:val="31"/>
              </w:numPr>
              <w:spacing w:after="0" w:line="240" w:lineRule="auto"/>
              <w:rPr>
                <w:rFonts w:ascii="Times New Roman" w:eastAsia="Times New Roman" w:hAnsi="Times New Roman" w:cs="Times New Roman"/>
                <w:color w:val="000000"/>
                <w:sz w:val="14"/>
                <w:szCs w:val="14"/>
                <w:lang w:val="en-US"/>
              </w:rPr>
            </w:pPr>
            <w:r w:rsidRPr="00445180">
              <w:rPr>
                <w:rFonts w:ascii="Arial" w:eastAsia="Times New Roman" w:hAnsi="Arial" w:cs="Arial"/>
                <w:i/>
                <w:iCs/>
                <w:color w:val="000000"/>
              </w:rPr>
              <w:t>Relevantni vanjski dug FBiH</w:t>
            </w:r>
          </w:p>
        </w:tc>
        <w:tc>
          <w:tcPr>
            <w:tcW w:w="928" w:type="pct"/>
            <w:shd w:val="clear" w:color="auto" w:fill="auto"/>
            <w:noWrap/>
            <w:vAlign w:val="center"/>
            <w:hideMark/>
          </w:tcPr>
          <w:p w14:paraId="2906201E" w14:textId="77777777" w:rsidR="00AA70C2" w:rsidRPr="00AA70C2" w:rsidRDefault="00AA70C2" w:rsidP="00AA70C2">
            <w:pPr>
              <w:spacing w:after="0" w:line="240" w:lineRule="auto"/>
              <w:jc w:val="center"/>
              <w:rPr>
                <w:rFonts w:ascii="Arial" w:eastAsia="Times New Roman" w:hAnsi="Arial" w:cs="Arial"/>
                <w:b/>
                <w:bCs/>
                <w:color w:val="448AD7"/>
                <w:lang w:val="en-US"/>
              </w:rPr>
            </w:pPr>
            <w:r w:rsidRPr="00AA70C2">
              <w:rPr>
                <w:rFonts w:ascii="Arial" w:eastAsia="Times New Roman" w:hAnsi="Arial" w:cs="Arial"/>
                <w:b/>
                <w:bCs/>
                <w:color w:val="448AD7"/>
              </w:rPr>
              <w:t>√</w:t>
            </w:r>
          </w:p>
        </w:tc>
        <w:tc>
          <w:tcPr>
            <w:tcW w:w="1038" w:type="pct"/>
            <w:shd w:val="clear" w:color="auto" w:fill="auto"/>
            <w:noWrap/>
            <w:vAlign w:val="center"/>
            <w:hideMark/>
          </w:tcPr>
          <w:p w14:paraId="6B0AE87A" w14:textId="77777777" w:rsidR="00AA70C2" w:rsidRPr="00AA70C2" w:rsidRDefault="00AA70C2" w:rsidP="00AA70C2">
            <w:pPr>
              <w:spacing w:after="0" w:line="240" w:lineRule="auto"/>
              <w:jc w:val="right"/>
              <w:rPr>
                <w:rFonts w:ascii="Arial" w:eastAsia="Times New Roman" w:hAnsi="Arial" w:cs="Arial"/>
                <w:i/>
                <w:iCs/>
                <w:color w:val="000000"/>
                <w:lang w:val="en-US"/>
              </w:rPr>
            </w:pPr>
            <w:r w:rsidRPr="00AA70C2">
              <w:rPr>
                <w:rFonts w:ascii="Arial" w:eastAsia="Times New Roman" w:hAnsi="Arial" w:cs="Arial"/>
                <w:i/>
                <w:iCs/>
                <w:color w:val="000000"/>
              </w:rPr>
              <w:t>5.336,83</w:t>
            </w:r>
          </w:p>
        </w:tc>
      </w:tr>
      <w:tr w:rsidR="00AA70C2" w:rsidRPr="00FB6FC8" w14:paraId="3742A17C" w14:textId="77777777" w:rsidTr="00445180">
        <w:trPr>
          <w:trHeight w:val="300"/>
        </w:trPr>
        <w:tc>
          <w:tcPr>
            <w:tcW w:w="3034" w:type="pct"/>
            <w:shd w:val="clear" w:color="auto" w:fill="auto"/>
            <w:noWrap/>
            <w:vAlign w:val="center"/>
            <w:hideMark/>
          </w:tcPr>
          <w:p w14:paraId="4768A012" w14:textId="6C678F8B" w:rsidR="00AA70C2" w:rsidRPr="00445180" w:rsidRDefault="00AA70C2" w:rsidP="00445180">
            <w:pPr>
              <w:pStyle w:val="ListParagraph"/>
              <w:numPr>
                <w:ilvl w:val="0"/>
                <w:numId w:val="31"/>
              </w:numPr>
              <w:spacing w:after="0" w:line="240" w:lineRule="auto"/>
              <w:rPr>
                <w:rFonts w:ascii="Arial" w:eastAsia="Times New Roman" w:hAnsi="Arial" w:cs="Arial"/>
                <w:color w:val="000000"/>
                <w:lang w:val="en-US"/>
              </w:rPr>
            </w:pPr>
            <w:r w:rsidRPr="00445180">
              <w:rPr>
                <w:rFonts w:ascii="Arial" w:eastAsia="Times New Roman" w:hAnsi="Arial" w:cs="Arial"/>
                <w:i/>
                <w:iCs/>
                <w:color w:val="000000"/>
              </w:rPr>
              <w:t>Direktni vanjski dug FBiH</w:t>
            </w:r>
          </w:p>
        </w:tc>
        <w:tc>
          <w:tcPr>
            <w:tcW w:w="928" w:type="pct"/>
            <w:shd w:val="clear" w:color="auto" w:fill="auto"/>
            <w:noWrap/>
            <w:vAlign w:val="center"/>
            <w:hideMark/>
          </w:tcPr>
          <w:p w14:paraId="13D1A32A" w14:textId="77777777" w:rsidR="00AA70C2" w:rsidRPr="00AA70C2" w:rsidRDefault="00AA70C2" w:rsidP="00AA70C2">
            <w:pPr>
              <w:spacing w:after="0" w:line="240" w:lineRule="auto"/>
              <w:jc w:val="center"/>
              <w:rPr>
                <w:rFonts w:ascii="Arial" w:eastAsia="Times New Roman" w:hAnsi="Arial" w:cs="Arial"/>
                <w:b/>
                <w:bCs/>
                <w:color w:val="448AD7"/>
                <w:lang w:val="en-US"/>
              </w:rPr>
            </w:pPr>
            <w:r w:rsidRPr="00AA70C2">
              <w:rPr>
                <w:rFonts w:ascii="Arial" w:eastAsia="Times New Roman" w:hAnsi="Arial" w:cs="Arial"/>
                <w:b/>
                <w:bCs/>
                <w:color w:val="448AD7"/>
              </w:rPr>
              <w:t>√</w:t>
            </w:r>
          </w:p>
        </w:tc>
        <w:tc>
          <w:tcPr>
            <w:tcW w:w="1038" w:type="pct"/>
            <w:shd w:val="clear" w:color="auto" w:fill="auto"/>
            <w:noWrap/>
            <w:vAlign w:val="center"/>
            <w:hideMark/>
          </w:tcPr>
          <w:p w14:paraId="6C6D46D1" w14:textId="77777777" w:rsidR="00AA70C2" w:rsidRPr="00D912D1" w:rsidRDefault="00AA70C2" w:rsidP="00AA70C2">
            <w:pPr>
              <w:spacing w:after="0" w:line="240" w:lineRule="auto"/>
              <w:jc w:val="right"/>
              <w:rPr>
                <w:rFonts w:ascii="Arial" w:eastAsia="Times New Roman" w:hAnsi="Arial" w:cs="Arial"/>
                <w:i/>
                <w:iCs/>
                <w:color w:val="000000"/>
                <w:lang w:val="en-US"/>
              </w:rPr>
            </w:pPr>
            <w:r w:rsidRPr="00445180">
              <w:rPr>
                <w:rFonts w:ascii="Arial" w:eastAsia="Times New Roman" w:hAnsi="Arial" w:cs="Arial"/>
                <w:i/>
                <w:iCs/>
                <w:color w:val="000000"/>
              </w:rPr>
              <w:t>65,17</w:t>
            </w:r>
          </w:p>
        </w:tc>
      </w:tr>
      <w:tr w:rsidR="00AA70C2" w:rsidRPr="00AA70C2" w14:paraId="3560FB20" w14:textId="77777777" w:rsidTr="00445180">
        <w:trPr>
          <w:trHeight w:val="300"/>
        </w:trPr>
        <w:tc>
          <w:tcPr>
            <w:tcW w:w="3034" w:type="pct"/>
            <w:shd w:val="clear" w:color="auto" w:fill="auto"/>
            <w:noWrap/>
            <w:vAlign w:val="center"/>
            <w:hideMark/>
          </w:tcPr>
          <w:p w14:paraId="1239D8B5" w14:textId="356A0D44" w:rsidR="00AA70C2" w:rsidRPr="00445180" w:rsidRDefault="00DA7CD0">
            <w:pPr>
              <w:spacing w:after="0" w:line="240" w:lineRule="auto"/>
              <w:rPr>
                <w:rFonts w:ascii="Arial" w:eastAsia="Times New Roman" w:hAnsi="Arial" w:cs="Arial"/>
                <w:i/>
                <w:iCs/>
                <w:color w:val="000000"/>
                <w:lang w:val="en-US"/>
              </w:rPr>
            </w:pPr>
            <w:r>
              <w:rPr>
                <w:rFonts w:ascii="Arial" w:eastAsia="Times New Roman" w:hAnsi="Arial" w:cs="Arial"/>
                <w:i/>
                <w:iCs/>
                <w:color w:val="000000"/>
              </w:rPr>
              <w:t>Unutarnji</w:t>
            </w:r>
            <w:r w:rsidR="00AA70C2" w:rsidRPr="00445180">
              <w:rPr>
                <w:rFonts w:ascii="Arial" w:eastAsia="Times New Roman" w:hAnsi="Arial" w:cs="Arial"/>
                <w:i/>
                <w:iCs/>
                <w:color w:val="000000"/>
              </w:rPr>
              <w:t xml:space="preserve"> dug FBiH, od čega:</w:t>
            </w:r>
          </w:p>
        </w:tc>
        <w:tc>
          <w:tcPr>
            <w:tcW w:w="928" w:type="pct"/>
            <w:shd w:val="clear" w:color="auto" w:fill="auto"/>
            <w:noWrap/>
            <w:vAlign w:val="center"/>
            <w:hideMark/>
          </w:tcPr>
          <w:p w14:paraId="503B563E" w14:textId="77777777" w:rsidR="00AA70C2" w:rsidRPr="00AA70C2" w:rsidRDefault="00AA70C2" w:rsidP="00AA70C2">
            <w:pPr>
              <w:spacing w:after="0" w:line="240" w:lineRule="auto"/>
              <w:rPr>
                <w:rFonts w:ascii="Arial" w:eastAsia="Times New Roman" w:hAnsi="Arial" w:cs="Arial"/>
                <w:i/>
                <w:iCs/>
                <w:color w:val="000000"/>
                <w:lang w:val="en-US"/>
              </w:rPr>
            </w:pPr>
          </w:p>
        </w:tc>
        <w:tc>
          <w:tcPr>
            <w:tcW w:w="1038" w:type="pct"/>
            <w:shd w:val="clear" w:color="auto" w:fill="auto"/>
            <w:noWrap/>
            <w:vAlign w:val="center"/>
            <w:hideMark/>
          </w:tcPr>
          <w:p w14:paraId="0F687519" w14:textId="77777777" w:rsidR="00AA70C2" w:rsidRPr="00AA70C2" w:rsidRDefault="00AA70C2" w:rsidP="00AA70C2">
            <w:pPr>
              <w:spacing w:after="0" w:line="240" w:lineRule="auto"/>
              <w:jc w:val="right"/>
              <w:rPr>
                <w:rFonts w:ascii="Arial" w:eastAsia="Times New Roman" w:hAnsi="Arial" w:cs="Arial"/>
                <w:i/>
                <w:iCs/>
                <w:color w:val="000000"/>
                <w:lang w:val="en-US"/>
              </w:rPr>
            </w:pPr>
            <w:r w:rsidRPr="00AA70C2">
              <w:rPr>
                <w:rFonts w:ascii="Arial" w:eastAsia="Times New Roman" w:hAnsi="Arial" w:cs="Arial"/>
                <w:i/>
                <w:iCs/>
                <w:color w:val="000000"/>
              </w:rPr>
              <w:t>754,27</w:t>
            </w:r>
          </w:p>
        </w:tc>
      </w:tr>
      <w:tr w:rsidR="00AA70C2" w:rsidRPr="00AA70C2" w14:paraId="754EA7B6" w14:textId="77777777" w:rsidTr="00445180">
        <w:trPr>
          <w:trHeight w:val="300"/>
        </w:trPr>
        <w:tc>
          <w:tcPr>
            <w:tcW w:w="3034" w:type="pct"/>
            <w:shd w:val="clear" w:color="auto" w:fill="auto"/>
            <w:noWrap/>
            <w:vAlign w:val="center"/>
            <w:hideMark/>
          </w:tcPr>
          <w:p w14:paraId="648ED98F" w14:textId="61A99B3D" w:rsidR="00AA70C2" w:rsidRPr="00445180" w:rsidRDefault="00AA70C2" w:rsidP="00445180">
            <w:pPr>
              <w:pStyle w:val="ListParagraph"/>
              <w:numPr>
                <w:ilvl w:val="0"/>
                <w:numId w:val="31"/>
              </w:numPr>
              <w:spacing w:after="0" w:line="240" w:lineRule="auto"/>
              <w:rPr>
                <w:rFonts w:ascii="Arial" w:eastAsia="Times New Roman" w:hAnsi="Arial" w:cs="Arial"/>
                <w:i/>
                <w:iCs/>
                <w:color w:val="000000"/>
                <w:lang w:val="en-US"/>
              </w:rPr>
            </w:pPr>
            <w:r w:rsidRPr="00445180">
              <w:rPr>
                <w:rFonts w:ascii="Arial" w:eastAsia="Times New Roman" w:hAnsi="Arial" w:cs="Arial"/>
                <w:i/>
                <w:iCs/>
                <w:color w:val="000000"/>
              </w:rPr>
              <w:t>Trezorski zapisi  FBiH</w:t>
            </w:r>
          </w:p>
        </w:tc>
        <w:tc>
          <w:tcPr>
            <w:tcW w:w="928" w:type="pct"/>
            <w:shd w:val="clear" w:color="auto" w:fill="auto"/>
            <w:noWrap/>
            <w:vAlign w:val="center"/>
            <w:hideMark/>
          </w:tcPr>
          <w:p w14:paraId="573D221B" w14:textId="77777777" w:rsidR="00AA70C2" w:rsidRPr="00AA70C2" w:rsidRDefault="00AA70C2" w:rsidP="00AA70C2">
            <w:pPr>
              <w:spacing w:after="0" w:line="240" w:lineRule="auto"/>
              <w:jc w:val="center"/>
              <w:rPr>
                <w:rFonts w:ascii="Arial" w:eastAsia="Times New Roman" w:hAnsi="Arial" w:cs="Arial"/>
                <w:b/>
                <w:bCs/>
                <w:color w:val="448AD7"/>
                <w:lang w:val="en-US"/>
              </w:rPr>
            </w:pPr>
            <w:r w:rsidRPr="00AA70C2">
              <w:rPr>
                <w:rFonts w:ascii="Arial" w:eastAsia="Times New Roman" w:hAnsi="Arial" w:cs="Arial"/>
                <w:b/>
                <w:bCs/>
                <w:color w:val="448AD7"/>
              </w:rPr>
              <w:t>√</w:t>
            </w:r>
          </w:p>
        </w:tc>
        <w:tc>
          <w:tcPr>
            <w:tcW w:w="1038" w:type="pct"/>
            <w:shd w:val="clear" w:color="auto" w:fill="auto"/>
            <w:noWrap/>
            <w:vAlign w:val="center"/>
            <w:hideMark/>
          </w:tcPr>
          <w:p w14:paraId="5F5259DF" w14:textId="57F1D4E0" w:rsidR="00AA70C2" w:rsidRPr="00AA70C2" w:rsidRDefault="00AA70C2" w:rsidP="00AA70C2">
            <w:pPr>
              <w:spacing w:after="0" w:line="240" w:lineRule="auto"/>
              <w:jc w:val="right"/>
              <w:rPr>
                <w:rFonts w:ascii="Arial" w:eastAsia="Times New Roman" w:hAnsi="Arial" w:cs="Arial"/>
                <w:i/>
                <w:iCs/>
                <w:color w:val="000000"/>
                <w:lang w:val="en-US"/>
              </w:rPr>
            </w:pPr>
            <w:r w:rsidRPr="00AA70C2">
              <w:rPr>
                <w:rFonts w:ascii="Arial" w:eastAsia="Times New Roman" w:hAnsi="Arial" w:cs="Arial"/>
                <w:i/>
                <w:iCs/>
                <w:color w:val="000000"/>
              </w:rPr>
              <w:t>50</w:t>
            </w:r>
            <w:r w:rsidR="00D91D19">
              <w:rPr>
                <w:rFonts w:ascii="Arial" w:eastAsia="Times New Roman" w:hAnsi="Arial" w:cs="Arial"/>
                <w:i/>
                <w:iCs/>
                <w:color w:val="000000"/>
              </w:rPr>
              <w:t>,00</w:t>
            </w:r>
          </w:p>
        </w:tc>
      </w:tr>
      <w:tr w:rsidR="00AA70C2" w:rsidRPr="00AA70C2" w14:paraId="5628ACD4" w14:textId="77777777" w:rsidTr="00445180">
        <w:trPr>
          <w:trHeight w:val="300"/>
        </w:trPr>
        <w:tc>
          <w:tcPr>
            <w:tcW w:w="3034" w:type="pct"/>
            <w:shd w:val="clear" w:color="auto" w:fill="auto"/>
            <w:noWrap/>
            <w:vAlign w:val="center"/>
            <w:hideMark/>
          </w:tcPr>
          <w:p w14:paraId="6584D9F1" w14:textId="5EB1DCC0" w:rsidR="00AA70C2" w:rsidRPr="00445180" w:rsidRDefault="00AA70C2" w:rsidP="00445180">
            <w:pPr>
              <w:pStyle w:val="ListParagraph"/>
              <w:numPr>
                <w:ilvl w:val="0"/>
                <w:numId w:val="31"/>
              </w:numPr>
              <w:spacing w:after="0" w:line="240" w:lineRule="auto"/>
              <w:rPr>
                <w:rFonts w:ascii="Arial" w:eastAsia="Times New Roman" w:hAnsi="Arial" w:cs="Arial"/>
                <w:i/>
                <w:iCs/>
                <w:color w:val="000000"/>
                <w:lang w:val="en-US"/>
              </w:rPr>
            </w:pPr>
            <w:r w:rsidRPr="00445180">
              <w:rPr>
                <w:rFonts w:ascii="Arial" w:eastAsia="Times New Roman" w:hAnsi="Arial" w:cs="Arial"/>
                <w:i/>
                <w:iCs/>
                <w:color w:val="000000"/>
              </w:rPr>
              <w:t>Trezorske obveznice  FBiH</w:t>
            </w:r>
          </w:p>
        </w:tc>
        <w:tc>
          <w:tcPr>
            <w:tcW w:w="928" w:type="pct"/>
            <w:shd w:val="clear" w:color="auto" w:fill="auto"/>
            <w:noWrap/>
            <w:vAlign w:val="center"/>
            <w:hideMark/>
          </w:tcPr>
          <w:p w14:paraId="34A9D0E3" w14:textId="77777777" w:rsidR="00AA70C2" w:rsidRPr="00AA70C2" w:rsidRDefault="00AA70C2" w:rsidP="00AA70C2">
            <w:pPr>
              <w:spacing w:after="0" w:line="240" w:lineRule="auto"/>
              <w:jc w:val="center"/>
              <w:rPr>
                <w:rFonts w:ascii="Arial" w:eastAsia="Times New Roman" w:hAnsi="Arial" w:cs="Arial"/>
                <w:b/>
                <w:bCs/>
                <w:color w:val="448AD7"/>
                <w:lang w:val="en-US"/>
              </w:rPr>
            </w:pPr>
            <w:r w:rsidRPr="00AA70C2">
              <w:rPr>
                <w:rFonts w:ascii="Arial" w:eastAsia="Times New Roman" w:hAnsi="Arial" w:cs="Arial"/>
                <w:b/>
                <w:bCs/>
                <w:color w:val="448AD7"/>
              </w:rPr>
              <w:t>√</w:t>
            </w:r>
          </w:p>
        </w:tc>
        <w:tc>
          <w:tcPr>
            <w:tcW w:w="1038" w:type="pct"/>
            <w:shd w:val="clear" w:color="auto" w:fill="auto"/>
            <w:noWrap/>
            <w:vAlign w:val="center"/>
            <w:hideMark/>
          </w:tcPr>
          <w:p w14:paraId="71BF623D" w14:textId="7380761B" w:rsidR="00AA70C2" w:rsidRPr="00AA70C2" w:rsidRDefault="00AA70C2" w:rsidP="00AA70C2">
            <w:pPr>
              <w:spacing w:after="0" w:line="240" w:lineRule="auto"/>
              <w:jc w:val="right"/>
              <w:rPr>
                <w:rFonts w:ascii="Arial" w:eastAsia="Times New Roman" w:hAnsi="Arial" w:cs="Arial"/>
                <w:i/>
                <w:iCs/>
                <w:color w:val="000000"/>
                <w:lang w:val="en-US"/>
              </w:rPr>
            </w:pPr>
            <w:r w:rsidRPr="00AA70C2">
              <w:rPr>
                <w:rFonts w:ascii="Arial" w:eastAsia="Times New Roman" w:hAnsi="Arial" w:cs="Arial"/>
                <w:i/>
                <w:iCs/>
                <w:color w:val="000000"/>
              </w:rPr>
              <w:t>630</w:t>
            </w:r>
            <w:r w:rsidR="00D91D19">
              <w:rPr>
                <w:rFonts w:ascii="Arial" w:eastAsia="Times New Roman" w:hAnsi="Arial" w:cs="Arial"/>
                <w:i/>
                <w:iCs/>
                <w:color w:val="000000"/>
              </w:rPr>
              <w:t>,00</w:t>
            </w:r>
          </w:p>
        </w:tc>
      </w:tr>
      <w:tr w:rsidR="00AA70C2" w:rsidRPr="00AA70C2" w14:paraId="0296977C" w14:textId="77777777" w:rsidTr="00445180">
        <w:trPr>
          <w:trHeight w:val="300"/>
        </w:trPr>
        <w:tc>
          <w:tcPr>
            <w:tcW w:w="3034" w:type="pct"/>
            <w:shd w:val="clear" w:color="auto" w:fill="auto"/>
            <w:noWrap/>
            <w:vAlign w:val="center"/>
            <w:hideMark/>
          </w:tcPr>
          <w:p w14:paraId="717B25CB" w14:textId="62F7736B" w:rsidR="00AA70C2" w:rsidRPr="00445180" w:rsidRDefault="00AA70C2" w:rsidP="00445180">
            <w:pPr>
              <w:pStyle w:val="ListParagraph"/>
              <w:numPr>
                <w:ilvl w:val="0"/>
                <w:numId w:val="31"/>
              </w:numPr>
              <w:spacing w:after="0" w:line="240" w:lineRule="auto"/>
              <w:rPr>
                <w:rFonts w:ascii="Arial" w:eastAsia="Times New Roman" w:hAnsi="Arial" w:cs="Arial"/>
                <w:i/>
                <w:iCs/>
                <w:color w:val="000000"/>
                <w:lang w:val="en-US"/>
              </w:rPr>
            </w:pPr>
            <w:r w:rsidRPr="00445180">
              <w:rPr>
                <w:rFonts w:ascii="Arial" w:eastAsia="Times New Roman" w:hAnsi="Arial" w:cs="Arial"/>
                <w:i/>
                <w:iCs/>
                <w:color w:val="000000"/>
              </w:rPr>
              <w:t>Obveznice stare devizne štednje (SDŠ)</w:t>
            </w:r>
          </w:p>
        </w:tc>
        <w:tc>
          <w:tcPr>
            <w:tcW w:w="928" w:type="pct"/>
            <w:shd w:val="clear" w:color="auto" w:fill="auto"/>
            <w:noWrap/>
            <w:vAlign w:val="center"/>
            <w:hideMark/>
          </w:tcPr>
          <w:p w14:paraId="1C65C25A" w14:textId="77777777" w:rsidR="00AA70C2" w:rsidRPr="00AA70C2" w:rsidRDefault="00AA70C2" w:rsidP="00AA70C2">
            <w:pPr>
              <w:spacing w:after="0" w:line="240" w:lineRule="auto"/>
              <w:jc w:val="center"/>
              <w:rPr>
                <w:rFonts w:ascii="Arial" w:eastAsia="Times New Roman" w:hAnsi="Arial" w:cs="Arial"/>
                <w:b/>
                <w:bCs/>
                <w:color w:val="448AD7"/>
                <w:lang w:val="en-US"/>
              </w:rPr>
            </w:pPr>
            <w:r w:rsidRPr="00AA70C2">
              <w:rPr>
                <w:rFonts w:ascii="Arial" w:eastAsia="Times New Roman" w:hAnsi="Arial" w:cs="Arial"/>
                <w:b/>
                <w:bCs/>
                <w:color w:val="448AD7"/>
              </w:rPr>
              <w:t>√</w:t>
            </w:r>
          </w:p>
        </w:tc>
        <w:tc>
          <w:tcPr>
            <w:tcW w:w="1038" w:type="pct"/>
            <w:shd w:val="clear" w:color="auto" w:fill="auto"/>
            <w:noWrap/>
            <w:vAlign w:val="center"/>
            <w:hideMark/>
          </w:tcPr>
          <w:p w14:paraId="06DDB5DD" w14:textId="223FD6C2" w:rsidR="00AA70C2" w:rsidRPr="00AA70C2" w:rsidRDefault="00AA70C2" w:rsidP="00AA70C2">
            <w:pPr>
              <w:spacing w:after="0" w:line="240" w:lineRule="auto"/>
              <w:jc w:val="right"/>
              <w:rPr>
                <w:rFonts w:ascii="Arial" w:eastAsia="Times New Roman" w:hAnsi="Arial" w:cs="Arial"/>
                <w:i/>
                <w:iCs/>
                <w:color w:val="000000"/>
                <w:lang w:val="en-US"/>
              </w:rPr>
            </w:pPr>
            <w:r w:rsidRPr="00AA70C2">
              <w:rPr>
                <w:rFonts w:ascii="Arial" w:eastAsia="Times New Roman" w:hAnsi="Arial" w:cs="Arial"/>
                <w:i/>
                <w:iCs/>
                <w:color w:val="000000"/>
              </w:rPr>
              <w:t>0</w:t>
            </w:r>
            <w:r w:rsidR="00D91D19">
              <w:rPr>
                <w:rFonts w:ascii="Arial" w:eastAsia="Times New Roman" w:hAnsi="Arial" w:cs="Arial"/>
                <w:i/>
                <w:iCs/>
                <w:color w:val="000000"/>
              </w:rPr>
              <w:t>,00</w:t>
            </w:r>
          </w:p>
        </w:tc>
      </w:tr>
      <w:tr w:rsidR="00AA70C2" w:rsidRPr="00AA70C2" w14:paraId="79360D96" w14:textId="77777777" w:rsidTr="00445180">
        <w:trPr>
          <w:trHeight w:val="300"/>
        </w:trPr>
        <w:tc>
          <w:tcPr>
            <w:tcW w:w="3034" w:type="pct"/>
            <w:shd w:val="clear" w:color="auto" w:fill="auto"/>
            <w:noWrap/>
            <w:vAlign w:val="center"/>
            <w:hideMark/>
          </w:tcPr>
          <w:p w14:paraId="663E2C5D" w14:textId="32869E58" w:rsidR="00AA70C2" w:rsidRPr="00445180" w:rsidRDefault="00AA70C2" w:rsidP="00445180">
            <w:pPr>
              <w:pStyle w:val="ListParagraph"/>
              <w:numPr>
                <w:ilvl w:val="0"/>
                <w:numId w:val="31"/>
              </w:numPr>
              <w:spacing w:after="0" w:line="240" w:lineRule="auto"/>
              <w:rPr>
                <w:rFonts w:ascii="Arial" w:eastAsia="Times New Roman" w:hAnsi="Arial" w:cs="Arial"/>
                <w:i/>
                <w:iCs/>
                <w:color w:val="000000"/>
                <w:lang w:val="en-US"/>
              </w:rPr>
            </w:pPr>
            <w:r w:rsidRPr="00445180">
              <w:rPr>
                <w:rFonts w:ascii="Arial" w:eastAsia="Times New Roman" w:hAnsi="Arial" w:cs="Arial"/>
                <w:i/>
                <w:iCs/>
                <w:color w:val="000000"/>
              </w:rPr>
              <w:t>Obveznice za ratna potraživanja (RT)</w:t>
            </w:r>
          </w:p>
        </w:tc>
        <w:tc>
          <w:tcPr>
            <w:tcW w:w="928" w:type="pct"/>
            <w:shd w:val="clear" w:color="auto" w:fill="auto"/>
            <w:noWrap/>
            <w:vAlign w:val="center"/>
            <w:hideMark/>
          </w:tcPr>
          <w:p w14:paraId="7A38CE17" w14:textId="77777777" w:rsidR="00AA70C2" w:rsidRPr="00AA70C2" w:rsidRDefault="00AA70C2" w:rsidP="00AA70C2">
            <w:pPr>
              <w:spacing w:after="0" w:line="240" w:lineRule="auto"/>
              <w:jc w:val="center"/>
              <w:rPr>
                <w:rFonts w:ascii="Arial" w:eastAsia="Times New Roman" w:hAnsi="Arial" w:cs="Arial"/>
                <w:b/>
                <w:bCs/>
                <w:color w:val="448AD7"/>
                <w:lang w:val="en-US"/>
              </w:rPr>
            </w:pPr>
            <w:r w:rsidRPr="00AA70C2">
              <w:rPr>
                <w:rFonts w:ascii="Arial" w:eastAsia="Times New Roman" w:hAnsi="Arial" w:cs="Arial"/>
                <w:b/>
                <w:bCs/>
                <w:color w:val="448AD7"/>
              </w:rPr>
              <w:t>√</w:t>
            </w:r>
          </w:p>
        </w:tc>
        <w:tc>
          <w:tcPr>
            <w:tcW w:w="1038" w:type="pct"/>
            <w:shd w:val="clear" w:color="auto" w:fill="auto"/>
            <w:noWrap/>
            <w:vAlign w:val="center"/>
            <w:hideMark/>
          </w:tcPr>
          <w:p w14:paraId="7047452F" w14:textId="77777777" w:rsidR="00AA70C2" w:rsidRPr="00AA70C2" w:rsidRDefault="00AA70C2" w:rsidP="00AA70C2">
            <w:pPr>
              <w:spacing w:after="0" w:line="240" w:lineRule="auto"/>
              <w:jc w:val="right"/>
              <w:rPr>
                <w:rFonts w:ascii="Arial" w:eastAsia="Times New Roman" w:hAnsi="Arial" w:cs="Arial"/>
                <w:i/>
                <w:iCs/>
                <w:color w:val="000000"/>
                <w:lang w:val="en-US"/>
              </w:rPr>
            </w:pPr>
            <w:r w:rsidRPr="00AA70C2">
              <w:rPr>
                <w:rFonts w:ascii="Arial" w:eastAsia="Times New Roman" w:hAnsi="Arial" w:cs="Arial"/>
                <w:i/>
                <w:iCs/>
                <w:color w:val="000000"/>
              </w:rPr>
              <w:t>74,27</w:t>
            </w:r>
          </w:p>
        </w:tc>
      </w:tr>
      <w:tr w:rsidR="00AA70C2" w:rsidRPr="00AA70C2" w14:paraId="0DAFCB70" w14:textId="77777777" w:rsidTr="00445180">
        <w:trPr>
          <w:trHeight w:val="300"/>
        </w:trPr>
        <w:tc>
          <w:tcPr>
            <w:tcW w:w="3034" w:type="pct"/>
            <w:shd w:val="clear" w:color="auto" w:fill="auto"/>
            <w:noWrap/>
            <w:vAlign w:val="center"/>
            <w:hideMark/>
          </w:tcPr>
          <w:p w14:paraId="29B43AE4" w14:textId="100F0205" w:rsidR="00AA70C2" w:rsidRPr="00445180" w:rsidRDefault="00AA70C2">
            <w:pPr>
              <w:spacing w:after="0" w:line="240" w:lineRule="auto"/>
              <w:rPr>
                <w:rFonts w:ascii="Calibri" w:eastAsia="Times New Roman" w:hAnsi="Calibri" w:cs="Calibri"/>
                <w:color w:val="0563C1"/>
                <w:lang w:val="en-US"/>
              </w:rPr>
            </w:pPr>
            <w:r w:rsidRPr="00445180">
              <w:rPr>
                <w:rFonts w:ascii="Calibri" w:eastAsia="Times New Roman" w:hAnsi="Calibri" w:cs="Calibri"/>
              </w:rPr>
              <w:footnoteReference w:customMarkFollows="1" w:id="1"/>
              <w:t>G</w:t>
            </w:r>
            <w:r w:rsidR="003415FF" w:rsidRPr="00445180">
              <w:rPr>
                <w:rFonts w:ascii="Calibri" w:eastAsia="Times New Roman" w:hAnsi="Calibri" w:cs="Calibri"/>
              </w:rPr>
              <w:t>ARANCIJE</w:t>
            </w:r>
            <w:r w:rsidR="003415FF" w:rsidRPr="00445180">
              <w:rPr>
                <w:rStyle w:val="FootnoteReference"/>
                <w:rFonts w:ascii="Calibri" w:eastAsia="Times New Roman" w:hAnsi="Calibri" w:cs="Calibri"/>
              </w:rPr>
              <w:footnoteReference w:id="2"/>
            </w:r>
          </w:p>
        </w:tc>
        <w:tc>
          <w:tcPr>
            <w:tcW w:w="928" w:type="pct"/>
            <w:shd w:val="clear" w:color="auto" w:fill="auto"/>
            <w:noWrap/>
            <w:vAlign w:val="center"/>
            <w:hideMark/>
          </w:tcPr>
          <w:p w14:paraId="0243F900" w14:textId="77777777" w:rsidR="00AA70C2" w:rsidRPr="00AA70C2" w:rsidRDefault="00AA70C2" w:rsidP="00AA70C2">
            <w:pPr>
              <w:spacing w:after="0" w:line="240" w:lineRule="auto"/>
              <w:rPr>
                <w:rFonts w:ascii="Calibri" w:eastAsia="Times New Roman" w:hAnsi="Calibri" w:cs="Calibri"/>
                <w:color w:val="0563C1"/>
                <w:u w:val="single"/>
                <w:lang w:val="en-US"/>
              </w:rPr>
            </w:pPr>
          </w:p>
        </w:tc>
        <w:tc>
          <w:tcPr>
            <w:tcW w:w="1038" w:type="pct"/>
            <w:shd w:val="clear" w:color="auto" w:fill="auto"/>
            <w:noWrap/>
            <w:vAlign w:val="center"/>
            <w:hideMark/>
          </w:tcPr>
          <w:p w14:paraId="04B42303" w14:textId="77777777" w:rsidR="00AA70C2" w:rsidRPr="00AA70C2" w:rsidRDefault="00AA70C2" w:rsidP="00AA70C2">
            <w:pPr>
              <w:spacing w:after="0" w:line="240" w:lineRule="auto"/>
              <w:jc w:val="right"/>
              <w:rPr>
                <w:rFonts w:ascii="Arial" w:eastAsia="Times New Roman" w:hAnsi="Arial" w:cs="Arial"/>
                <w:i/>
                <w:iCs/>
                <w:color w:val="000000"/>
                <w:lang w:val="en-US"/>
              </w:rPr>
            </w:pPr>
            <w:r w:rsidRPr="00AA70C2">
              <w:rPr>
                <w:rFonts w:ascii="Arial" w:eastAsia="Times New Roman" w:hAnsi="Arial" w:cs="Arial"/>
                <w:i/>
                <w:iCs/>
                <w:color w:val="000000"/>
              </w:rPr>
              <w:t> </w:t>
            </w:r>
          </w:p>
        </w:tc>
      </w:tr>
      <w:tr w:rsidR="00AA70C2" w:rsidRPr="00AA70C2" w14:paraId="0F856335" w14:textId="77777777" w:rsidTr="00445180">
        <w:trPr>
          <w:trHeight w:val="300"/>
        </w:trPr>
        <w:tc>
          <w:tcPr>
            <w:tcW w:w="3034" w:type="pct"/>
            <w:shd w:val="clear" w:color="auto" w:fill="auto"/>
            <w:noWrap/>
            <w:vAlign w:val="center"/>
            <w:hideMark/>
          </w:tcPr>
          <w:p w14:paraId="2C1C4BA4" w14:textId="40E6C02C" w:rsidR="00AA70C2" w:rsidRPr="00445180" w:rsidRDefault="00AA70C2" w:rsidP="00445180">
            <w:pPr>
              <w:pStyle w:val="ListParagraph"/>
              <w:numPr>
                <w:ilvl w:val="0"/>
                <w:numId w:val="31"/>
              </w:numPr>
              <w:spacing w:after="0" w:line="240" w:lineRule="auto"/>
              <w:rPr>
                <w:rFonts w:ascii="Arial" w:eastAsia="Times New Roman" w:hAnsi="Arial" w:cs="Arial"/>
                <w:i/>
                <w:iCs/>
                <w:color w:val="000000"/>
                <w:lang w:val="en-US"/>
              </w:rPr>
            </w:pPr>
            <w:r w:rsidRPr="00445180">
              <w:rPr>
                <w:rFonts w:ascii="Arial" w:eastAsia="Times New Roman" w:hAnsi="Arial" w:cs="Arial"/>
                <w:i/>
                <w:iCs/>
                <w:color w:val="000000"/>
              </w:rPr>
              <w:t>Garancije JP u vlasništvu F</w:t>
            </w:r>
            <w:r w:rsidR="00AD6396" w:rsidRPr="00445180">
              <w:rPr>
                <w:rFonts w:ascii="Arial" w:eastAsia="Times New Roman" w:hAnsi="Arial" w:cs="Arial"/>
                <w:i/>
                <w:iCs/>
                <w:color w:val="000000"/>
              </w:rPr>
              <w:t>B</w:t>
            </w:r>
            <w:r w:rsidRPr="00445180">
              <w:rPr>
                <w:rFonts w:ascii="Arial" w:eastAsia="Times New Roman" w:hAnsi="Arial" w:cs="Arial"/>
                <w:i/>
                <w:iCs/>
                <w:color w:val="000000"/>
              </w:rPr>
              <w:t>iH</w:t>
            </w:r>
          </w:p>
        </w:tc>
        <w:tc>
          <w:tcPr>
            <w:tcW w:w="928" w:type="pct"/>
            <w:shd w:val="clear" w:color="auto" w:fill="auto"/>
            <w:noWrap/>
            <w:vAlign w:val="center"/>
            <w:hideMark/>
          </w:tcPr>
          <w:p w14:paraId="548E9381" w14:textId="77777777" w:rsidR="00AA70C2" w:rsidRPr="00AA70C2" w:rsidRDefault="00AA70C2" w:rsidP="00AA70C2">
            <w:pPr>
              <w:spacing w:after="0" w:line="240" w:lineRule="auto"/>
              <w:jc w:val="center"/>
              <w:rPr>
                <w:rFonts w:ascii="Arial" w:eastAsia="Times New Roman" w:hAnsi="Arial" w:cs="Arial"/>
                <w:color w:val="448AD7"/>
                <w:lang w:val="en-US"/>
              </w:rPr>
            </w:pPr>
            <w:r w:rsidRPr="00AA70C2">
              <w:rPr>
                <w:rFonts w:ascii="Arial" w:eastAsia="Times New Roman" w:hAnsi="Arial" w:cs="Arial"/>
                <w:color w:val="448AD7"/>
              </w:rPr>
              <w:t>x</w:t>
            </w:r>
          </w:p>
        </w:tc>
        <w:tc>
          <w:tcPr>
            <w:tcW w:w="1038" w:type="pct"/>
            <w:shd w:val="clear" w:color="auto" w:fill="auto"/>
            <w:noWrap/>
            <w:vAlign w:val="center"/>
            <w:hideMark/>
          </w:tcPr>
          <w:p w14:paraId="7CBD918A" w14:textId="77777777" w:rsidR="00AA70C2" w:rsidRPr="00AA70C2" w:rsidRDefault="00AA70C2" w:rsidP="00AA70C2">
            <w:pPr>
              <w:spacing w:after="0" w:line="240" w:lineRule="auto"/>
              <w:jc w:val="right"/>
              <w:rPr>
                <w:rFonts w:ascii="Arial" w:eastAsia="Times New Roman" w:hAnsi="Arial" w:cs="Arial"/>
                <w:i/>
                <w:iCs/>
                <w:color w:val="000000"/>
                <w:lang w:val="en-US"/>
              </w:rPr>
            </w:pPr>
            <w:r w:rsidRPr="00AA70C2">
              <w:rPr>
                <w:rFonts w:ascii="Arial" w:eastAsia="Times New Roman" w:hAnsi="Arial" w:cs="Arial"/>
                <w:i/>
                <w:iCs/>
                <w:color w:val="000000"/>
              </w:rPr>
              <w:t>1.200,86</w:t>
            </w:r>
          </w:p>
        </w:tc>
      </w:tr>
      <w:tr w:rsidR="00AA70C2" w:rsidRPr="00AA70C2" w14:paraId="51ABCFA7" w14:textId="77777777" w:rsidTr="00445180">
        <w:trPr>
          <w:trHeight w:val="300"/>
        </w:trPr>
        <w:tc>
          <w:tcPr>
            <w:tcW w:w="3034" w:type="pct"/>
            <w:shd w:val="clear" w:color="auto" w:fill="auto"/>
            <w:noWrap/>
            <w:vAlign w:val="center"/>
            <w:hideMark/>
          </w:tcPr>
          <w:p w14:paraId="0B3B9657" w14:textId="69806020" w:rsidR="00AA70C2" w:rsidRPr="00445180" w:rsidRDefault="00AA70C2" w:rsidP="00445180">
            <w:pPr>
              <w:pStyle w:val="ListParagraph"/>
              <w:numPr>
                <w:ilvl w:val="0"/>
                <w:numId w:val="31"/>
              </w:numPr>
              <w:spacing w:after="0" w:line="240" w:lineRule="auto"/>
              <w:rPr>
                <w:rFonts w:ascii="Arial" w:eastAsia="Times New Roman" w:hAnsi="Arial" w:cs="Arial"/>
                <w:i/>
                <w:iCs/>
                <w:color w:val="000000"/>
                <w:lang w:val="en-US"/>
              </w:rPr>
            </w:pPr>
            <w:r w:rsidRPr="00445180">
              <w:rPr>
                <w:rFonts w:ascii="Arial" w:eastAsia="Times New Roman" w:hAnsi="Arial" w:cs="Arial"/>
                <w:i/>
                <w:iCs/>
                <w:color w:val="000000"/>
              </w:rPr>
              <w:t>Garancijski fond</w:t>
            </w:r>
            <w:r w:rsidR="00FB6FC8">
              <w:rPr>
                <w:rFonts w:ascii="Arial" w:eastAsia="Times New Roman" w:hAnsi="Arial" w:cs="Arial"/>
                <w:i/>
                <w:iCs/>
                <w:color w:val="000000"/>
              </w:rPr>
              <w:t xml:space="preserve"> </w:t>
            </w:r>
            <w:r w:rsidR="00FB6FC8" w:rsidRPr="00E038F6">
              <w:rPr>
                <w:rFonts w:ascii="Arial" w:eastAsia="Times New Roman" w:hAnsi="Arial" w:cs="Arial"/>
                <w:i/>
                <w:iCs/>
                <w:color w:val="000000"/>
              </w:rPr>
              <w:t>FBiH</w:t>
            </w:r>
          </w:p>
        </w:tc>
        <w:tc>
          <w:tcPr>
            <w:tcW w:w="928" w:type="pct"/>
            <w:shd w:val="clear" w:color="auto" w:fill="auto"/>
            <w:noWrap/>
            <w:vAlign w:val="center"/>
            <w:hideMark/>
          </w:tcPr>
          <w:p w14:paraId="08032FEC" w14:textId="77777777" w:rsidR="00AA70C2" w:rsidRPr="00AA70C2" w:rsidRDefault="00AA70C2" w:rsidP="00AA70C2">
            <w:pPr>
              <w:spacing w:after="0" w:line="240" w:lineRule="auto"/>
              <w:jc w:val="center"/>
              <w:rPr>
                <w:rFonts w:ascii="Arial" w:eastAsia="Times New Roman" w:hAnsi="Arial" w:cs="Arial"/>
                <w:color w:val="448AD7"/>
                <w:lang w:val="en-US"/>
              </w:rPr>
            </w:pPr>
            <w:r w:rsidRPr="00AA70C2">
              <w:rPr>
                <w:rFonts w:ascii="Arial" w:eastAsia="Times New Roman" w:hAnsi="Arial" w:cs="Arial"/>
                <w:color w:val="448AD7"/>
              </w:rPr>
              <w:t>x</w:t>
            </w:r>
          </w:p>
        </w:tc>
        <w:tc>
          <w:tcPr>
            <w:tcW w:w="1038" w:type="pct"/>
            <w:shd w:val="clear" w:color="auto" w:fill="auto"/>
            <w:noWrap/>
            <w:vAlign w:val="center"/>
            <w:hideMark/>
          </w:tcPr>
          <w:p w14:paraId="7D521991" w14:textId="77777777" w:rsidR="00AA70C2" w:rsidRPr="00AA70C2" w:rsidRDefault="00AA70C2" w:rsidP="00AA70C2">
            <w:pPr>
              <w:spacing w:after="0" w:line="240" w:lineRule="auto"/>
              <w:jc w:val="right"/>
              <w:rPr>
                <w:rFonts w:ascii="Arial" w:eastAsia="Times New Roman" w:hAnsi="Arial" w:cs="Arial"/>
                <w:i/>
                <w:iCs/>
                <w:color w:val="000000"/>
                <w:lang w:val="en-US"/>
              </w:rPr>
            </w:pPr>
            <w:r w:rsidRPr="00AA70C2">
              <w:rPr>
                <w:rFonts w:ascii="Arial" w:eastAsia="Times New Roman" w:hAnsi="Arial" w:cs="Arial"/>
                <w:i/>
                <w:iCs/>
                <w:color w:val="000000"/>
                <w:lang w:val="en-US"/>
              </w:rPr>
              <w:t>100,09</w:t>
            </w:r>
          </w:p>
        </w:tc>
      </w:tr>
      <w:tr w:rsidR="00AA70C2" w:rsidRPr="00AA70C2" w14:paraId="5EFA0648" w14:textId="77777777" w:rsidTr="00445180">
        <w:trPr>
          <w:trHeight w:val="315"/>
        </w:trPr>
        <w:tc>
          <w:tcPr>
            <w:tcW w:w="3034" w:type="pct"/>
            <w:shd w:val="clear" w:color="auto" w:fill="auto"/>
            <w:noWrap/>
            <w:vAlign w:val="center"/>
            <w:hideMark/>
          </w:tcPr>
          <w:p w14:paraId="474A1CCC" w14:textId="77777777" w:rsidR="00AA70C2" w:rsidRPr="00AA70C2" w:rsidRDefault="00AA70C2" w:rsidP="00AA70C2">
            <w:pPr>
              <w:spacing w:after="0" w:line="240" w:lineRule="auto"/>
              <w:rPr>
                <w:rFonts w:ascii="Arial" w:eastAsia="Times New Roman" w:hAnsi="Arial" w:cs="Arial"/>
                <w:i/>
                <w:iCs/>
                <w:color w:val="000000"/>
                <w:lang w:val="en-US"/>
              </w:rPr>
            </w:pPr>
            <w:r w:rsidRPr="00AA70C2">
              <w:rPr>
                <w:rFonts w:ascii="Arial" w:eastAsia="Times New Roman" w:hAnsi="Arial" w:cs="Arial"/>
                <w:i/>
                <w:iCs/>
                <w:color w:val="000000"/>
              </w:rPr>
              <w:t>UKUPAN dug obuhvaćen strategijom</w:t>
            </w:r>
          </w:p>
        </w:tc>
        <w:tc>
          <w:tcPr>
            <w:tcW w:w="928" w:type="pct"/>
            <w:shd w:val="clear" w:color="auto" w:fill="auto"/>
            <w:noWrap/>
            <w:vAlign w:val="center"/>
            <w:hideMark/>
          </w:tcPr>
          <w:p w14:paraId="013FA3DE" w14:textId="77777777" w:rsidR="00AA70C2" w:rsidRPr="00AA70C2" w:rsidRDefault="00AA70C2" w:rsidP="00AA70C2">
            <w:pPr>
              <w:spacing w:after="0" w:line="240" w:lineRule="auto"/>
              <w:jc w:val="center"/>
              <w:rPr>
                <w:rFonts w:ascii="Arial" w:eastAsia="Times New Roman" w:hAnsi="Arial" w:cs="Arial"/>
                <w:b/>
                <w:bCs/>
                <w:i/>
                <w:iCs/>
                <w:color w:val="31849B"/>
                <w:lang w:val="en-US"/>
              </w:rPr>
            </w:pPr>
            <w:r w:rsidRPr="00AA70C2">
              <w:rPr>
                <w:rFonts w:ascii="Arial" w:eastAsia="Times New Roman" w:hAnsi="Arial" w:cs="Arial"/>
                <w:b/>
                <w:bCs/>
                <w:i/>
                <w:iCs/>
                <w:color w:val="31849B"/>
              </w:rPr>
              <w:t> </w:t>
            </w:r>
          </w:p>
        </w:tc>
        <w:tc>
          <w:tcPr>
            <w:tcW w:w="1038" w:type="pct"/>
            <w:shd w:val="clear" w:color="auto" w:fill="auto"/>
            <w:noWrap/>
            <w:vAlign w:val="center"/>
            <w:hideMark/>
          </w:tcPr>
          <w:p w14:paraId="017E2264" w14:textId="77777777" w:rsidR="00AA70C2" w:rsidRPr="00AA70C2" w:rsidRDefault="00AA70C2" w:rsidP="00AA70C2">
            <w:pPr>
              <w:spacing w:after="0" w:line="240" w:lineRule="auto"/>
              <w:jc w:val="right"/>
              <w:rPr>
                <w:rFonts w:ascii="Arial" w:eastAsia="Times New Roman" w:hAnsi="Arial" w:cs="Arial"/>
                <w:i/>
                <w:iCs/>
                <w:color w:val="000000"/>
                <w:lang w:val="en-US"/>
              </w:rPr>
            </w:pPr>
            <w:r w:rsidRPr="00445180">
              <w:rPr>
                <w:rFonts w:ascii="Arial" w:eastAsia="Times New Roman" w:hAnsi="Arial" w:cs="Arial"/>
                <w:i/>
                <w:iCs/>
                <w:color w:val="000000"/>
              </w:rPr>
              <w:t>6.156,28</w:t>
            </w:r>
          </w:p>
        </w:tc>
      </w:tr>
    </w:tbl>
    <w:p w14:paraId="77ABBD20" w14:textId="77777777" w:rsidR="00AA70C2" w:rsidRDefault="00AA70C2" w:rsidP="00ED768D">
      <w:pPr>
        <w:pStyle w:val="NoSpacing"/>
        <w:spacing w:line="276" w:lineRule="auto"/>
        <w:jc w:val="both"/>
        <w:rPr>
          <w:rFonts w:ascii="Arial" w:hAnsi="Arial" w:cs="Arial"/>
          <w:szCs w:val="24"/>
          <w:lang w:val="hr-HR"/>
        </w:rPr>
      </w:pPr>
    </w:p>
    <w:p w14:paraId="3EA2B894" w14:textId="77777777" w:rsidR="000D54BA" w:rsidRPr="000D54BA" w:rsidRDefault="000D54BA" w:rsidP="00ED768D">
      <w:pPr>
        <w:pStyle w:val="NoSpacing"/>
        <w:spacing w:line="276" w:lineRule="auto"/>
        <w:jc w:val="both"/>
        <w:rPr>
          <w:rFonts w:ascii="Arial" w:hAnsi="Arial" w:cs="Arial"/>
          <w:sz w:val="16"/>
          <w:szCs w:val="24"/>
          <w:lang w:val="hr-HR"/>
        </w:rPr>
      </w:pPr>
    </w:p>
    <w:p w14:paraId="515F7E90" w14:textId="77777777" w:rsidR="0019168F" w:rsidRPr="00AF7CAC" w:rsidRDefault="0019168F" w:rsidP="00C4523E">
      <w:pPr>
        <w:spacing w:after="0" w:line="240" w:lineRule="auto"/>
        <w:jc w:val="both"/>
      </w:pPr>
    </w:p>
    <w:p w14:paraId="57873A38" w14:textId="77777777" w:rsidR="007539E2" w:rsidRPr="00AF7CAC" w:rsidRDefault="007539E2" w:rsidP="00C4523E">
      <w:pPr>
        <w:spacing w:after="0" w:line="240" w:lineRule="auto"/>
        <w:jc w:val="both"/>
      </w:pPr>
    </w:p>
    <w:p w14:paraId="79D1635C" w14:textId="51990509" w:rsidR="00ED768D" w:rsidRPr="00AF7CAC" w:rsidRDefault="00DA7CD0" w:rsidP="00627D74">
      <w:pPr>
        <w:pStyle w:val="Heading1"/>
        <w:numPr>
          <w:ilvl w:val="0"/>
          <w:numId w:val="2"/>
        </w:numPr>
        <w:spacing w:before="0"/>
        <w:rPr>
          <w:rFonts w:ascii="Arial" w:hAnsi="Arial" w:cs="Arial"/>
          <w:b w:val="0"/>
          <w:color w:val="auto"/>
        </w:rPr>
      </w:pPr>
      <w:bookmarkStart w:id="8" w:name="_Toc100823733"/>
      <w:r>
        <w:rPr>
          <w:rFonts w:ascii="Arial" w:hAnsi="Arial" w:cs="Arial"/>
          <w:b w:val="0"/>
          <w:color w:val="auto"/>
        </w:rPr>
        <w:t>PORTFELJ</w:t>
      </w:r>
      <w:r w:rsidR="00ED768D" w:rsidRPr="00AF7CAC">
        <w:rPr>
          <w:rFonts w:ascii="Arial" w:hAnsi="Arial" w:cs="Arial"/>
          <w:b w:val="0"/>
          <w:color w:val="auto"/>
        </w:rPr>
        <w:t xml:space="preserve"> </w:t>
      </w:r>
      <w:r w:rsidR="009D5680" w:rsidRPr="00AF7CAC">
        <w:rPr>
          <w:rFonts w:ascii="Arial" w:hAnsi="Arial" w:cs="Arial"/>
          <w:b w:val="0"/>
          <w:color w:val="auto"/>
        </w:rPr>
        <w:t xml:space="preserve">DUGA </w:t>
      </w:r>
      <w:r w:rsidR="00ED768D" w:rsidRPr="00AF7CAC">
        <w:rPr>
          <w:rFonts w:ascii="Arial" w:hAnsi="Arial" w:cs="Arial"/>
          <w:b w:val="0"/>
          <w:color w:val="auto"/>
        </w:rPr>
        <w:t>VLAD</w:t>
      </w:r>
      <w:r w:rsidR="009D5680" w:rsidRPr="00AF7CAC">
        <w:rPr>
          <w:rFonts w:ascii="Arial" w:hAnsi="Arial" w:cs="Arial"/>
          <w:b w:val="0"/>
          <w:color w:val="auto"/>
        </w:rPr>
        <w:t>E F</w:t>
      </w:r>
      <w:r w:rsidR="00A5324C" w:rsidRPr="00AF7CAC">
        <w:rPr>
          <w:rFonts w:ascii="Arial" w:hAnsi="Arial" w:cs="Arial"/>
          <w:b w:val="0"/>
          <w:color w:val="auto"/>
        </w:rPr>
        <w:t xml:space="preserve">EDERACIJE </w:t>
      </w:r>
      <w:r w:rsidR="009D5680" w:rsidRPr="00AF7CAC">
        <w:rPr>
          <w:rFonts w:ascii="Arial" w:hAnsi="Arial" w:cs="Arial"/>
          <w:b w:val="0"/>
          <w:color w:val="auto"/>
        </w:rPr>
        <w:t>BIH</w:t>
      </w:r>
      <w:bookmarkEnd w:id="8"/>
    </w:p>
    <w:p w14:paraId="70DDCBA3" w14:textId="77777777" w:rsidR="00ED768D" w:rsidRDefault="00ED768D" w:rsidP="00ED768D">
      <w:pPr>
        <w:pStyle w:val="NoSpacing"/>
        <w:jc w:val="both"/>
        <w:rPr>
          <w:rFonts w:ascii="Arial" w:hAnsi="Arial" w:cs="Arial"/>
          <w:color w:val="E36C0A" w:themeColor="accent6" w:themeShade="BF"/>
          <w:lang w:val="hr-HR"/>
        </w:rPr>
      </w:pPr>
    </w:p>
    <w:p w14:paraId="3511F242" w14:textId="77777777" w:rsidR="00087712" w:rsidRPr="006B2DC8" w:rsidRDefault="00087712" w:rsidP="00ED768D">
      <w:pPr>
        <w:pStyle w:val="NoSpacing"/>
        <w:jc w:val="both"/>
        <w:rPr>
          <w:rFonts w:ascii="Arial" w:hAnsi="Arial" w:cs="Arial"/>
          <w:color w:val="E36C0A" w:themeColor="accent6" w:themeShade="BF"/>
          <w:lang w:val="hr-HR"/>
        </w:rPr>
      </w:pPr>
    </w:p>
    <w:p w14:paraId="07DA18F1" w14:textId="7FBB9799" w:rsidR="000F2CF5" w:rsidRPr="006B2DC8" w:rsidRDefault="00DA7CD0" w:rsidP="00087712">
      <w:pPr>
        <w:pStyle w:val="ParagraphNumbering"/>
        <w:numPr>
          <w:ilvl w:val="0"/>
          <w:numId w:val="0"/>
        </w:numPr>
        <w:autoSpaceDE w:val="0"/>
        <w:spacing w:after="0" w:line="276" w:lineRule="auto"/>
        <w:ind w:firstLine="360"/>
        <w:jc w:val="both"/>
        <w:rPr>
          <w:rFonts w:ascii="Arial" w:eastAsiaTheme="minorHAnsi" w:hAnsi="Arial" w:cs="Arial"/>
          <w:sz w:val="22"/>
          <w:szCs w:val="22"/>
        </w:rPr>
      </w:pPr>
      <w:r>
        <w:rPr>
          <w:rFonts w:ascii="Arial" w:eastAsiaTheme="minorHAnsi" w:hAnsi="Arial" w:cs="Arial"/>
          <w:sz w:val="22"/>
          <w:szCs w:val="22"/>
        </w:rPr>
        <w:t>Portfelj</w:t>
      </w:r>
      <w:r w:rsidR="000F2CF5" w:rsidRPr="006B2DC8">
        <w:rPr>
          <w:rFonts w:ascii="Arial" w:eastAsiaTheme="minorHAnsi" w:hAnsi="Arial" w:cs="Arial"/>
          <w:sz w:val="22"/>
          <w:szCs w:val="22"/>
        </w:rPr>
        <w:t xml:space="preserve"> duga za koji je odgovorna i kojim upravlja Vlada F</w:t>
      </w:r>
      <w:r w:rsidR="00AF4632" w:rsidRPr="006B2DC8">
        <w:rPr>
          <w:rFonts w:ascii="Arial" w:eastAsiaTheme="minorHAnsi" w:hAnsi="Arial" w:cs="Arial"/>
          <w:sz w:val="22"/>
          <w:szCs w:val="22"/>
        </w:rPr>
        <w:t xml:space="preserve">ederacije </w:t>
      </w:r>
      <w:r w:rsidR="00087712" w:rsidRPr="006B2DC8">
        <w:rPr>
          <w:rFonts w:ascii="Arial" w:eastAsiaTheme="minorHAnsi" w:hAnsi="Arial" w:cs="Arial"/>
          <w:sz w:val="22"/>
          <w:szCs w:val="22"/>
        </w:rPr>
        <w:t>BiH na dan 31.</w:t>
      </w:r>
      <w:r>
        <w:rPr>
          <w:rFonts w:ascii="Arial" w:eastAsiaTheme="minorHAnsi" w:hAnsi="Arial" w:cs="Arial"/>
          <w:sz w:val="22"/>
          <w:szCs w:val="22"/>
        </w:rPr>
        <w:t xml:space="preserve"> </w:t>
      </w:r>
      <w:r w:rsidR="00087712" w:rsidRPr="006B2DC8">
        <w:rPr>
          <w:rFonts w:ascii="Arial" w:eastAsiaTheme="minorHAnsi" w:hAnsi="Arial" w:cs="Arial"/>
          <w:sz w:val="22"/>
          <w:szCs w:val="22"/>
        </w:rPr>
        <w:t>12.</w:t>
      </w:r>
      <w:r>
        <w:rPr>
          <w:rFonts w:ascii="Arial" w:eastAsiaTheme="minorHAnsi" w:hAnsi="Arial" w:cs="Arial"/>
          <w:sz w:val="22"/>
          <w:szCs w:val="22"/>
        </w:rPr>
        <w:t xml:space="preserve"> </w:t>
      </w:r>
      <w:r w:rsidR="008D650F" w:rsidRPr="006B2DC8">
        <w:rPr>
          <w:rFonts w:ascii="Arial" w:eastAsiaTheme="minorHAnsi" w:hAnsi="Arial" w:cs="Arial"/>
          <w:sz w:val="22"/>
          <w:szCs w:val="22"/>
        </w:rPr>
        <w:t>2021</w:t>
      </w:r>
      <w:r w:rsidR="000F2CF5" w:rsidRPr="006B2DC8">
        <w:rPr>
          <w:rFonts w:ascii="Arial" w:eastAsiaTheme="minorHAnsi" w:hAnsi="Arial" w:cs="Arial"/>
          <w:sz w:val="22"/>
          <w:szCs w:val="22"/>
        </w:rPr>
        <w:t xml:space="preserve">. </w:t>
      </w:r>
      <w:r w:rsidR="008B5A0B" w:rsidRPr="006B2DC8">
        <w:rPr>
          <w:rFonts w:ascii="Arial" w:eastAsiaTheme="minorHAnsi" w:hAnsi="Arial" w:cs="Arial"/>
          <w:sz w:val="22"/>
          <w:szCs w:val="22"/>
        </w:rPr>
        <w:t>iznos</w:t>
      </w:r>
      <w:r w:rsidR="00C4523E" w:rsidRPr="006B2DC8">
        <w:rPr>
          <w:rFonts w:ascii="Arial" w:eastAsiaTheme="minorHAnsi" w:hAnsi="Arial" w:cs="Arial"/>
          <w:sz w:val="22"/>
          <w:szCs w:val="22"/>
        </w:rPr>
        <w:t>i</w:t>
      </w:r>
      <w:r w:rsidR="000F2CF5" w:rsidRPr="006B2DC8">
        <w:rPr>
          <w:rFonts w:ascii="Arial" w:eastAsiaTheme="minorHAnsi" w:hAnsi="Arial" w:cs="Arial"/>
          <w:sz w:val="22"/>
          <w:szCs w:val="22"/>
        </w:rPr>
        <w:t xml:space="preserve"> </w:t>
      </w:r>
      <w:r w:rsidR="00335615" w:rsidRPr="00445180">
        <w:rPr>
          <w:rFonts w:ascii="Arial" w:eastAsiaTheme="minorHAnsi" w:hAnsi="Arial" w:cs="Arial"/>
          <w:sz w:val="22"/>
          <w:szCs w:val="22"/>
        </w:rPr>
        <w:t>6.156,28</w:t>
      </w:r>
      <w:r w:rsidR="0081777B" w:rsidRPr="006B2DC8">
        <w:rPr>
          <w:rFonts w:ascii="Arial" w:eastAsiaTheme="minorHAnsi" w:hAnsi="Arial" w:cs="Arial"/>
          <w:sz w:val="22"/>
          <w:szCs w:val="22"/>
        </w:rPr>
        <w:t xml:space="preserve"> </w:t>
      </w:r>
      <w:r w:rsidR="00E672EB" w:rsidRPr="006B2DC8">
        <w:rPr>
          <w:rFonts w:ascii="Arial" w:eastAsiaTheme="minorHAnsi" w:hAnsi="Arial" w:cs="Arial"/>
          <w:sz w:val="22"/>
          <w:szCs w:val="22"/>
        </w:rPr>
        <w:t>mil.KM</w:t>
      </w:r>
      <w:r w:rsidR="008F15D0" w:rsidRPr="006B2DC8">
        <w:rPr>
          <w:rStyle w:val="FootnoteReference"/>
          <w:rFonts w:ascii="Arial" w:eastAsiaTheme="minorHAnsi" w:hAnsi="Arial" w:cs="Arial"/>
          <w:sz w:val="22"/>
          <w:szCs w:val="22"/>
        </w:rPr>
        <w:footnoteReference w:id="3"/>
      </w:r>
      <w:r w:rsidR="000F2CF5" w:rsidRPr="006B2DC8">
        <w:rPr>
          <w:rFonts w:ascii="Arial" w:eastAsiaTheme="minorHAnsi" w:hAnsi="Arial" w:cs="Arial"/>
          <w:sz w:val="22"/>
          <w:szCs w:val="22"/>
        </w:rPr>
        <w:t xml:space="preserve"> (</w:t>
      </w:r>
      <w:r w:rsidR="00335615" w:rsidRPr="006B2DC8">
        <w:rPr>
          <w:rFonts w:ascii="Arial" w:eastAsiaTheme="minorHAnsi" w:hAnsi="Arial" w:cs="Arial"/>
          <w:sz w:val="22"/>
          <w:szCs w:val="22"/>
        </w:rPr>
        <w:t>3.567,55</w:t>
      </w:r>
      <w:r w:rsidR="0081777B" w:rsidRPr="006B2DC8">
        <w:rPr>
          <w:rFonts w:ascii="Arial" w:eastAsiaTheme="minorHAnsi" w:hAnsi="Arial" w:cs="Arial"/>
          <w:sz w:val="22"/>
          <w:szCs w:val="22"/>
        </w:rPr>
        <w:t xml:space="preserve"> </w:t>
      </w:r>
      <w:r w:rsidR="00E72547" w:rsidRPr="006B2DC8">
        <w:rPr>
          <w:rFonts w:ascii="Arial" w:eastAsiaTheme="minorHAnsi" w:hAnsi="Arial" w:cs="Arial"/>
          <w:sz w:val="22"/>
          <w:szCs w:val="22"/>
        </w:rPr>
        <w:t>mil.</w:t>
      </w:r>
      <w:r w:rsidR="009847D2" w:rsidRPr="006B2DC8">
        <w:rPr>
          <w:rFonts w:ascii="Arial" w:eastAsiaTheme="minorHAnsi" w:hAnsi="Arial" w:cs="Arial"/>
          <w:sz w:val="22"/>
          <w:szCs w:val="22"/>
        </w:rPr>
        <w:t xml:space="preserve"> </w:t>
      </w:r>
      <w:r w:rsidR="00E72547" w:rsidRPr="006B2DC8">
        <w:rPr>
          <w:rFonts w:ascii="Arial" w:eastAsiaTheme="minorHAnsi" w:hAnsi="Arial" w:cs="Arial"/>
          <w:sz w:val="22"/>
          <w:szCs w:val="22"/>
        </w:rPr>
        <w:t>USD</w:t>
      </w:r>
      <w:r w:rsidR="000F2CF5" w:rsidRPr="006B2DC8">
        <w:rPr>
          <w:rFonts w:ascii="Arial" w:eastAsiaTheme="minorHAnsi" w:hAnsi="Arial" w:cs="Arial"/>
          <w:sz w:val="22"/>
          <w:szCs w:val="22"/>
        </w:rPr>
        <w:t xml:space="preserve"> ili </w:t>
      </w:r>
      <w:r w:rsidR="00066640" w:rsidRPr="00445180">
        <w:rPr>
          <w:rFonts w:ascii="Arial" w:eastAsia="Times New Roman" w:hAnsi="Arial" w:cs="Arial"/>
          <w:bCs/>
          <w:sz w:val="22"/>
          <w:szCs w:val="22"/>
          <w:lang w:eastAsia="zh-CN"/>
        </w:rPr>
        <w:t>26,82</w:t>
      </w:r>
      <w:r w:rsidR="000F2CF5" w:rsidRPr="006B2DC8">
        <w:rPr>
          <w:rFonts w:ascii="Arial" w:eastAsiaTheme="minorHAnsi" w:hAnsi="Arial" w:cs="Arial"/>
          <w:sz w:val="22"/>
          <w:szCs w:val="22"/>
        </w:rPr>
        <w:t>% BDP-a</w:t>
      </w:r>
      <w:r w:rsidR="00B93399" w:rsidRPr="006B2DC8">
        <w:rPr>
          <w:rStyle w:val="FootnoteReference"/>
          <w:rFonts w:ascii="Arial" w:eastAsiaTheme="minorHAnsi" w:hAnsi="Arial" w:cs="Arial"/>
          <w:sz w:val="22"/>
          <w:szCs w:val="22"/>
        </w:rPr>
        <w:footnoteReference w:id="4"/>
      </w:r>
      <w:r w:rsidR="000F2CF5" w:rsidRPr="006B2DC8">
        <w:rPr>
          <w:rFonts w:ascii="Arial" w:eastAsiaTheme="minorHAnsi" w:hAnsi="Arial" w:cs="Arial"/>
          <w:sz w:val="22"/>
          <w:szCs w:val="22"/>
        </w:rPr>
        <w:t xml:space="preserve"> F</w:t>
      </w:r>
      <w:r w:rsidR="00D864A3" w:rsidRPr="006B2DC8">
        <w:rPr>
          <w:rFonts w:ascii="Arial" w:eastAsiaTheme="minorHAnsi" w:hAnsi="Arial" w:cs="Arial"/>
          <w:sz w:val="22"/>
          <w:szCs w:val="22"/>
        </w:rPr>
        <w:t xml:space="preserve">ederacije </w:t>
      </w:r>
      <w:r w:rsidR="000F2CF5" w:rsidRPr="006B2DC8">
        <w:rPr>
          <w:rFonts w:ascii="Arial" w:eastAsiaTheme="minorHAnsi" w:hAnsi="Arial" w:cs="Arial"/>
          <w:sz w:val="22"/>
          <w:szCs w:val="22"/>
        </w:rPr>
        <w:t>BiH</w:t>
      </w:r>
      <w:r w:rsidR="00D666B6" w:rsidRPr="006B2DC8">
        <w:rPr>
          <w:rFonts w:ascii="Arial" w:eastAsiaTheme="minorHAnsi" w:hAnsi="Arial" w:cs="Arial"/>
          <w:sz w:val="22"/>
          <w:szCs w:val="22"/>
        </w:rPr>
        <w:t>), a</w:t>
      </w:r>
      <w:r w:rsidR="000F2CF5" w:rsidRPr="006B2DC8">
        <w:rPr>
          <w:rFonts w:ascii="Arial" w:eastAsiaTheme="minorHAnsi" w:hAnsi="Arial" w:cs="Arial"/>
          <w:sz w:val="22"/>
          <w:szCs w:val="22"/>
        </w:rPr>
        <w:t xml:space="preserve"> </w:t>
      </w:r>
      <w:r w:rsidR="00D666B6" w:rsidRPr="006B2DC8">
        <w:rPr>
          <w:rFonts w:ascii="Arial" w:eastAsiaTheme="minorHAnsi" w:hAnsi="Arial" w:cs="Arial"/>
          <w:sz w:val="22"/>
          <w:szCs w:val="22"/>
        </w:rPr>
        <w:t>s</w:t>
      </w:r>
      <w:r w:rsidR="000F2CF5" w:rsidRPr="006B2DC8">
        <w:rPr>
          <w:rFonts w:ascii="Arial" w:eastAsiaTheme="minorHAnsi" w:hAnsi="Arial" w:cs="Arial"/>
          <w:sz w:val="22"/>
          <w:szCs w:val="22"/>
        </w:rPr>
        <w:t>astoji se od vanjskog duga</w:t>
      </w:r>
      <w:r w:rsidR="00892DCC" w:rsidRPr="006B2DC8">
        <w:rPr>
          <w:rFonts w:ascii="Arial" w:eastAsiaTheme="minorHAnsi" w:hAnsi="Arial" w:cs="Arial"/>
          <w:sz w:val="22"/>
          <w:szCs w:val="22"/>
        </w:rPr>
        <w:t xml:space="preserve"> </w:t>
      </w:r>
      <w:r w:rsidR="0019168F" w:rsidRPr="006B2DC8">
        <w:rPr>
          <w:rFonts w:ascii="Arial" w:eastAsiaTheme="minorHAnsi" w:hAnsi="Arial" w:cs="Arial"/>
          <w:sz w:val="22"/>
          <w:szCs w:val="22"/>
        </w:rPr>
        <w:t>u</w:t>
      </w:r>
      <w:r w:rsidR="00892DCC" w:rsidRPr="006B2DC8">
        <w:rPr>
          <w:rFonts w:ascii="Arial" w:eastAsiaTheme="minorHAnsi" w:hAnsi="Arial" w:cs="Arial"/>
          <w:sz w:val="22"/>
          <w:szCs w:val="22"/>
        </w:rPr>
        <w:t xml:space="preserve"> iznos</w:t>
      </w:r>
      <w:r w:rsidR="0019168F" w:rsidRPr="006B2DC8">
        <w:rPr>
          <w:rFonts w:ascii="Arial" w:eastAsiaTheme="minorHAnsi" w:hAnsi="Arial" w:cs="Arial"/>
          <w:sz w:val="22"/>
          <w:szCs w:val="22"/>
        </w:rPr>
        <w:t>u</w:t>
      </w:r>
      <w:r w:rsidR="000F2CF5" w:rsidRPr="006B2DC8">
        <w:rPr>
          <w:rFonts w:ascii="Arial" w:eastAsiaTheme="minorHAnsi" w:hAnsi="Arial" w:cs="Arial"/>
          <w:sz w:val="22"/>
          <w:szCs w:val="22"/>
        </w:rPr>
        <w:t xml:space="preserve"> od </w:t>
      </w:r>
      <w:r w:rsidR="00335615" w:rsidRPr="006B2DC8">
        <w:rPr>
          <w:rFonts w:ascii="Arial" w:eastAsiaTheme="minorHAnsi" w:hAnsi="Arial" w:cs="Arial"/>
          <w:sz w:val="22"/>
          <w:szCs w:val="22"/>
        </w:rPr>
        <w:t>5.402,01</w:t>
      </w:r>
      <w:r w:rsidR="000F2CF5" w:rsidRPr="006B2DC8">
        <w:rPr>
          <w:rFonts w:ascii="Arial" w:eastAsiaTheme="minorHAnsi" w:hAnsi="Arial" w:cs="Arial"/>
          <w:sz w:val="22"/>
          <w:szCs w:val="22"/>
        </w:rPr>
        <w:t xml:space="preserve"> </w:t>
      </w:r>
      <w:r w:rsidR="00E672EB" w:rsidRPr="006B2DC8">
        <w:rPr>
          <w:rFonts w:ascii="Arial" w:eastAsiaTheme="minorHAnsi" w:hAnsi="Arial" w:cs="Arial"/>
          <w:sz w:val="22"/>
          <w:szCs w:val="22"/>
        </w:rPr>
        <w:t>mil.KM</w:t>
      </w:r>
      <w:r w:rsidR="000F2CF5" w:rsidRPr="006B2DC8">
        <w:rPr>
          <w:rFonts w:ascii="Arial" w:eastAsiaTheme="minorHAnsi" w:hAnsi="Arial" w:cs="Arial"/>
          <w:sz w:val="22"/>
          <w:szCs w:val="22"/>
        </w:rPr>
        <w:t xml:space="preserve"> (</w:t>
      </w:r>
      <w:r w:rsidR="00335615" w:rsidRPr="00445180">
        <w:rPr>
          <w:rFonts w:ascii="Arial" w:eastAsiaTheme="minorHAnsi" w:hAnsi="Arial" w:cs="Arial"/>
          <w:sz w:val="22"/>
          <w:szCs w:val="22"/>
        </w:rPr>
        <w:t>3,130,45</w:t>
      </w:r>
      <w:r w:rsidR="00245A96" w:rsidRPr="006B2DC8">
        <w:rPr>
          <w:rFonts w:ascii="Arial" w:eastAsia="Arial" w:hAnsi="Arial" w:cs="Arial"/>
          <w:sz w:val="22"/>
          <w:szCs w:val="22"/>
        </w:rPr>
        <w:t xml:space="preserve"> </w:t>
      </w:r>
      <w:r w:rsidR="000F2CF5" w:rsidRPr="006B2DC8">
        <w:rPr>
          <w:rFonts w:ascii="Arial" w:eastAsiaTheme="minorHAnsi" w:hAnsi="Arial" w:cs="Arial"/>
          <w:sz w:val="22"/>
          <w:szCs w:val="22"/>
        </w:rPr>
        <w:t>mil.</w:t>
      </w:r>
      <w:r w:rsidR="00D945EA" w:rsidRPr="006B2DC8">
        <w:rPr>
          <w:rFonts w:ascii="Arial" w:eastAsiaTheme="minorHAnsi" w:hAnsi="Arial" w:cs="Arial"/>
          <w:sz w:val="22"/>
          <w:szCs w:val="22"/>
        </w:rPr>
        <w:t xml:space="preserve"> </w:t>
      </w:r>
      <w:r w:rsidR="000F2CF5" w:rsidRPr="006B2DC8">
        <w:rPr>
          <w:rFonts w:ascii="Arial" w:eastAsiaTheme="minorHAnsi" w:hAnsi="Arial" w:cs="Arial"/>
          <w:sz w:val="22"/>
          <w:szCs w:val="22"/>
        </w:rPr>
        <w:t xml:space="preserve">USD ili </w:t>
      </w:r>
      <w:r w:rsidR="008B47E3" w:rsidRPr="006B2DC8">
        <w:rPr>
          <w:rFonts w:ascii="Arial" w:eastAsiaTheme="minorHAnsi" w:hAnsi="Arial" w:cs="Arial"/>
          <w:sz w:val="22"/>
          <w:szCs w:val="22"/>
        </w:rPr>
        <w:t>8</w:t>
      </w:r>
      <w:r w:rsidR="00762FBB" w:rsidRPr="00445180">
        <w:rPr>
          <w:rFonts w:ascii="Arial" w:eastAsiaTheme="minorHAnsi" w:hAnsi="Arial" w:cs="Arial"/>
          <w:sz w:val="22"/>
          <w:szCs w:val="22"/>
        </w:rPr>
        <w:t>7,75</w:t>
      </w:r>
      <w:r w:rsidR="000F2CF5" w:rsidRPr="006B2DC8">
        <w:rPr>
          <w:rFonts w:ascii="Arial" w:eastAsiaTheme="minorHAnsi" w:hAnsi="Arial" w:cs="Arial"/>
          <w:sz w:val="22"/>
          <w:szCs w:val="22"/>
        </w:rPr>
        <w:t>% ukupnog duga</w:t>
      </w:r>
      <w:r w:rsidR="00D666B6" w:rsidRPr="006B2DC8">
        <w:rPr>
          <w:rFonts w:ascii="Arial" w:eastAsiaTheme="minorHAnsi" w:hAnsi="Arial" w:cs="Arial"/>
          <w:sz w:val="22"/>
          <w:szCs w:val="22"/>
        </w:rPr>
        <w:t>)</w:t>
      </w:r>
      <w:r w:rsidR="00A56991" w:rsidRPr="006B2DC8">
        <w:rPr>
          <w:rFonts w:ascii="Arial" w:eastAsiaTheme="minorHAnsi" w:hAnsi="Arial" w:cs="Arial"/>
          <w:sz w:val="22"/>
          <w:szCs w:val="22"/>
        </w:rPr>
        <w:t xml:space="preserve"> </w:t>
      </w:r>
      <w:r w:rsidR="00D666B6" w:rsidRPr="006B2DC8">
        <w:rPr>
          <w:rFonts w:ascii="Arial" w:eastAsiaTheme="minorHAnsi" w:hAnsi="Arial" w:cs="Arial"/>
          <w:sz w:val="22"/>
          <w:szCs w:val="22"/>
        </w:rPr>
        <w:t xml:space="preserve">i </w:t>
      </w:r>
      <w:r w:rsidR="009A78EF">
        <w:rPr>
          <w:rFonts w:ascii="Arial" w:eastAsiaTheme="minorHAnsi" w:hAnsi="Arial" w:cs="Arial"/>
          <w:sz w:val="22"/>
          <w:szCs w:val="22"/>
        </w:rPr>
        <w:t>unutarnjeg</w:t>
      </w:r>
      <w:r w:rsidR="000F2CF5" w:rsidRPr="006B2DC8">
        <w:rPr>
          <w:rFonts w:ascii="Arial" w:eastAsiaTheme="minorHAnsi" w:hAnsi="Arial" w:cs="Arial"/>
          <w:sz w:val="22"/>
          <w:szCs w:val="22"/>
        </w:rPr>
        <w:t xml:space="preserve"> dug</w:t>
      </w:r>
      <w:r w:rsidR="00D666B6" w:rsidRPr="006B2DC8">
        <w:rPr>
          <w:rFonts w:ascii="Arial" w:eastAsiaTheme="minorHAnsi" w:hAnsi="Arial" w:cs="Arial"/>
          <w:sz w:val="22"/>
          <w:szCs w:val="22"/>
        </w:rPr>
        <w:t>a</w:t>
      </w:r>
      <w:r w:rsidR="000F2CF5" w:rsidRPr="006B2DC8">
        <w:rPr>
          <w:rFonts w:ascii="Arial" w:eastAsiaTheme="minorHAnsi" w:hAnsi="Arial" w:cs="Arial"/>
          <w:sz w:val="22"/>
          <w:szCs w:val="22"/>
        </w:rPr>
        <w:t xml:space="preserve"> </w:t>
      </w:r>
      <w:r w:rsidR="00D666B6" w:rsidRPr="006B2DC8">
        <w:rPr>
          <w:rFonts w:ascii="Arial" w:eastAsiaTheme="minorHAnsi" w:hAnsi="Arial" w:cs="Arial"/>
          <w:sz w:val="22"/>
          <w:szCs w:val="22"/>
        </w:rPr>
        <w:t xml:space="preserve">u </w:t>
      </w:r>
      <w:r w:rsidR="000F2CF5" w:rsidRPr="006B2DC8">
        <w:rPr>
          <w:rFonts w:ascii="Arial" w:eastAsiaTheme="minorHAnsi" w:hAnsi="Arial" w:cs="Arial"/>
          <w:sz w:val="22"/>
          <w:szCs w:val="22"/>
        </w:rPr>
        <w:t>iznos</w:t>
      </w:r>
      <w:r w:rsidR="00D666B6" w:rsidRPr="006B2DC8">
        <w:rPr>
          <w:rFonts w:ascii="Arial" w:eastAsiaTheme="minorHAnsi" w:hAnsi="Arial" w:cs="Arial"/>
          <w:sz w:val="22"/>
          <w:szCs w:val="22"/>
        </w:rPr>
        <w:t>u od</w:t>
      </w:r>
      <w:r w:rsidR="000F2CF5" w:rsidRPr="006B2DC8">
        <w:rPr>
          <w:rFonts w:ascii="Arial" w:eastAsiaTheme="minorHAnsi" w:hAnsi="Arial" w:cs="Arial"/>
          <w:sz w:val="22"/>
          <w:szCs w:val="22"/>
        </w:rPr>
        <w:t xml:space="preserve"> </w:t>
      </w:r>
      <w:r w:rsidR="00335615" w:rsidRPr="006B2DC8">
        <w:rPr>
          <w:rFonts w:ascii="Arial" w:eastAsiaTheme="minorHAnsi" w:hAnsi="Arial" w:cs="Arial"/>
          <w:sz w:val="22"/>
          <w:szCs w:val="22"/>
        </w:rPr>
        <w:t>754,27</w:t>
      </w:r>
      <w:r w:rsidR="000F2CF5" w:rsidRPr="006B2DC8">
        <w:rPr>
          <w:rFonts w:ascii="Arial" w:eastAsiaTheme="minorHAnsi" w:hAnsi="Arial" w:cs="Arial"/>
          <w:sz w:val="22"/>
          <w:szCs w:val="22"/>
        </w:rPr>
        <w:t xml:space="preserve"> </w:t>
      </w:r>
      <w:r w:rsidR="00E672EB" w:rsidRPr="006B2DC8">
        <w:rPr>
          <w:rFonts w:ascii="Arial" w:eastAsiaTheme="minorHAnsi" w:hAnsi="Arial" w:cs="Arial"/>
          <w:sz w:val="22"/>
          <w:szCs w:val="22"/>
        </w:rPr>
        <w:t>mil.KM</w:t>
      </w:r>
      <w:r w:rsidR="002F295B" w:rsidRPr="006B2DC8">
        <w:rPr>
          <w:rFonts w:ascii="Arial" w:eastAsiaTheme="minorHAnsi" w:hAnsi="Arial" w:cs="Arial"/>
          <w:sz w:val="22"/>
          <w:szCs w:val="22"/>
        </w:rPr>
        <w:t xml:space="preserve"> (</w:t>
      </w:r>
      <w:r w:rsidR="00335615" w:rsidRPr="00445180">
        <w:rPr>
          <w:rFonts w:ascii="Arial" w:eastAsiaTheme="minorHAnsi" w:hAnsi="Arial" w:cs="Arial"/>
          <w:sz w:val="22"/>
          <w:szCs w:val="22"/>
        </w:rPr>
        <w:t>437,10</w:t>
      </w:r>
      <w:r w:rsidR="000F2CF5" w:rsidRPr="006B2DC8">
        <w:rPr>
          <w:rFonts w:ascii="Arial" w:eastAsiaTheme="minorHAnsi" w:hAnsi="Arial" w:cs="Arial"/>
          <w:sz w:val="22"/>
          <w:szCs w:val="22"/>
        </w:rPr>
        <w:t xml:space="preserve"> </w:t>
      </w:r>
      <w:r w:rsidR="00E72547" w:rsidRPr="006B2DC8">
        <w:rPr>
          <w:rFonts w:ascii="Arial" w:eastAsiaTheme="minorHAnsi" w:hAnsi="Arial" w:cs="Arial"/>
          <w:sz w:val="22"/>
          <w:szCs w:val="22"/>
        </w:rPr>
        <w:t>mil.</w:t>
      </w:r>
      <w:r w:rsidR="00D945EA" w:rsidRPr="006B2DC8">
        <w:rPr>
          <w:rFonts w:ascii="Arial" w:eastAsiaTheme="minorHAnsi" w:hAnsi="Arial" w:cs="Arial"/>
          <w:sz w:val="22"/>
          <w:szCs w:val="22"/>
        </w:rPr>
        <w:t xml:space="preserve"> </w:t>
      </w:r>
      <w:r w:rsidR="00E72547" w:rsidRPr="006B2DC8">
        <w:rPr>
          <w:rFonts w:ascii="Arial" w:eastAsiaTheme="minorHAnsi" w:hAnsi="Arial" w:cs="Arial"/>
          <w:sz w:val="22"/>
          <w:szCs w:val="22"/>
        </w:rPr>
        <w:t>USD</w:t>
      </w:r>
      <w:r w:rsidR="00D666B6" w:rsidRPr="006B2DC8">
        <w:rPr>
          <w:rFonts w:ascii="Arial" w:eastAsiaTheme="minorHAnsi" w:hAnsi="Arial" w:cs="Arial"/>
          <w:sz w:val="22"/>
          <w:szCs w:val="22"/>
        </w:rPr>
        <w:t xml:space="preserve"> ili </w:t>
      </w:r>
      <w:r w:rsidR="008B47E3" w:rsidRPr="006B2DC8">
        <w:rPr>
          <w:rFonts w:ascii="Arial" w:eastAsiaTheme="minorHAnsi" w:hAnsi="Arial" w:cs="Arial"/>
          <w:sz w:val="22"/>
          <w:szCs w:val="22"/>
        </w:rPr>
        <w:t>1</w:t>
      </w:r>
      <w:r w:rsidR="00762FBB" w:rsidRPr="00445180">
        <w:rPr>
          <w:rFonts w:ascii="Arial" w:eastAsiaTheme="minorHAnsi" w:hAnsi="Arial" w:cs="Arial"/>
          <w:sz w:val="22"/>
          <w:szCs w:val="22"/>
        </w:rPr>
        <w:t>2,25</w:t>
      </w:r>
      <w:r w:rsidR="009E320A" w:rsidRPr="006B2DC8">
        <w:rPr>
          <w:rFonts w:ascii="Arial" w:eastAsiaTheme="minorHAnsi" w:hAnsi="Arial" w:cs="Arial"/>
          <w:sz w:val="22"/>
          <w:szCs w:val="22"/>
        </w:rPr>
        <w:t>%</w:t>
      </w:r>
      <w:r w:rsidR="00D666B6" w:rsidRPr="006B2DC8">
        <w:rPr>
          <w:rFonts w:ascii="Arial" w:eastAsiaTheme="minorHAnsi" w:hAnsi="Arial" w:cs="Arial"/>
          <w:sz w:val="22"/>
          <w:szCs w:val="22"/>
        </w:rPr>
        <w:t xml:space="preserve"> ukupnog duga</w:t>
      </w:r>
      <w:r w:rsidR="000F2CF5" w:rsidRPr="006B2DC8">
        <w:rPr>
          <w:rFonts w:ascii="Arial" w:eastAsiaTheme="minorHAnsi" w:hAnsi="Arial" w:cs="Arial"/>
          <w:sz w:val="22"/>
          <w:szCs w:val="22"/>
        </w:rPr>
        <w:t>).</w:t>
      </w:r>
    </w:p>
    <w:p w14:paraId="4E40C02F" w14:textId="621901F1" w:rsidR="00ED768D" w:rsidRDefault="00ED768D" w:rsidP="00ED768D">
      <w:pPr>
        <w:pStyle w:val="ParagraphNumbering"/>
        <w:numPr>
          <w:ilvl w:val="0"/>
          <w:numId w:val="0"/>
        </w:numPr>
        <w:autoSpaceDE w:val="0"/>
        <w:spacing w:after="0" w:line="240" w:lineRule="auto"/>
        <w:jc w:val="both"/>
        <w:rPr>
          <w:rFonts w:ascii="Arial" w:eastAsiaTheme="minorHAnsi" w:hAnsi="Arial" w:cs="Arial"/>
          <w:sz w:val="22"/>
        </w:rPr>
      </w:pPr>
      <w:r w:rsidRPr="00D912D1">
        <w:rPr>
          <w:rFonts w:ascii="Arial" w:eastAsiaTheme="minorHAnsi" w:hAnsi="Arial" w:cs="Arial"/>
          <w:sz w:val="22"/>
        </w:rPr>
        <w:lastRenderedPageBreak/>
        <w:t>Ta</w:t>
      </w:r>
      <w:r w:rsidR="00DA7CD0">
        <w:rPr>
          <w:rFonts w:ascii="Arial" w:eastAsiaTheme="minorHAnsi" w:hAnsi="Arial" w:cs="Arial"/>
          <w:sz w:val="22"/>
        </w:rPr>
        <w:t>blica</w:t>
      </w:r>
      <w:r w:rsidRPr="00D912D1">
        <w:rPr>
          <w:rFonts w:ascii="Arial" w:eastAsiaTheme="minorHAnsi" w:hAnsi="Arial" w:cs="Arial"/>
          <w:sz w:val="22"/>
        </w:rPr>
        <w:t xml:space="preserve"> </w:t>
      </w:r>
      <w:r w:rsidR="001A7F1E" w:rsidRPr="00D912D1">
        <w:rPr>
          <w:rFonts w:ascii="Arial" w:eastAsiaTheme="minorHAnsi" w:hAnsi="Arial" w:cs="Arial"/>
          <w:sz w:val="22"/>
        </w:rPr>
        <w:t>2</w:t>
      </w:r>
      <w:r w:rsidRPr="00FB6FC8">
        <w:rPr>
          <w:rFonts w:ascii="Arial" w:eastAsiaTheme="minorHAnsi" w:hAnsi="Arial" w:cs="Arial"/>
          <w:sz w:val="22"/>
        </w:rPr>
        <w:t xml:space="preserve">. Ukupan dug </w:t>
      </w:r>
      <w:r w:rsidR="005901E5" w:rsidRPr="00FB6FC8">
        <w:rPr>
          <w:rFonts w:ascii="Arial" w:eastAsiaTheme="minorHAnsi" w:hAnsi="Arial" w:cs="Arial"/>
          <w:sz w:val="22"/>
        </w:rPr>
        <w:t xml:space="preserve">obuhvaćen Strategijom </w:t>
      </w:r>
      <w:r w:rsidR="00881774" w:rsidRPr="00FB6FC8">
        <w:rPr>
          <w:rFonts w:ascii="Arial" w:eastAsiaTheme="minorHAnsi" w:hAnsi="Arial" w:cs="Arial"/>
          <w:sz w:val="22"/>
        </w:rPr>
        <w:t>na dan 31.</w:t>
      </w:r>
      <w:r w:rsidR="00DA7CD0">
        <w:rPr>
          <w:rFonts w:ascii="Arial" w:eastAsiaTheme="minorHAnsi" w:hAnsi="Arial" w:cs="Arial"/>
          <w:sz w:val="22"/>
        </w:rPr>
        <w:t xml:space="preserve"> </w:t>
      </w:r>
      <w:r w:rsidR="00881774" w:rsidRPr="00FB6FC8">
        <w:rPr>
          <w:rFonts w:ascii="Arial" w:eastAsiaTheme="minorHAnsi" w:hAnsi="Arial" w:cs="Arial"/>
          <w:sz w:val="22"/>
        </w:rPr>
        <w:t>12.</w:t>
      </w:r>
      <w:r w:rsidR="00DA7CD0">
        <w:rPr>
          <w:rFonts w:ascii="Arial" w:eastAsiaTheme="minorHAnsi" w:hAnsi="Arial" w:cs="Arial"/>
          <w:sz w:val="22"/>
        </w:rPr>
        <w:t xml:space="preserve"> </w:t>
      </w:r>
      <w:r w:rsidR="003027C2" w:rsidRPr="00FB6FC8">
        <w:rPr>
          <w:rFonts w:ascii="Arial" w:eastAsiaTheme="minorHAnsi" w:hAnsi="Arial" w:cs="Arial"/>
          <w:sz w:val="22"/>
        </w:rPr>
        <w:t>2021</w:t>
      </w:r>
      <w:r w:rsidR="00DA7CD0">
        <w:rPr>
          <w:rFonts w:ascii="Arial" w:eastAsiaTheme="minorHAnsi" w:hAnsi="Arial" w:cs="Arial"/>
          <w:sz w:val="22"/>
        </w:rPr>
        <w:t xml:space="preserve">. </w:t>
      </w:r>
    </w:p>
    <w:p w14:paraId="4412EDB6" w14:textId="77777777" w:rsidR="00A70846" w:rsidRDefault="00A70846" w:rsidP="00ED768D">
      <w:pPr>
        <w:pStyle w:val="ParagraphNumbering"/>
        <w:numPr>
          <w:ilvl w:val="0"/>
          <w:numId w:val="0"/>
        </w:numPr>
        <w:autoSpaceDE w:val="0"/>
        <w:spacing w:after="0" w:line="240" w:lineRule="auto"/>
        <w:jc w:val="both"/>
        <w:rPr>
          <w:rFonts w:ascii="Arial" w:eastAsiaTheme="minorHAnsi" w:hAnsi="Arial" w:cs="Arial"/>
          <w:sz w:val="22"/>
        </w:rPr>
      </w:pPr>
    </w:p>
    <w:tbl>
      <w:tblPr>
        <w:tblW w:w="5000" w:type="pct"/>
        <w:tblLook w:val="04A0" w:firstRow="1" w:lastRow="0" w:firstColumn="1" w:lastColumn="0" w:noHBand="0" w:noVBand="1"/>
      </w:tblPr>
      <w:tblGrid>
        <w:gridCol w:w="2954"/>
        <w:gridCol w:w="2066"/>
        <w:gridCol w:w="2228"/>
        <w:gridCol w:w="2065"/>
      </w:tblGrid>
      <w:tr w:rsidR="00A70846" w:rsidRPr="00A70846" w14:paraId="441AC000" w14:textId="77777777" w:rsidTr="00445180">
        <w:trPr>
          <w:trHeight w:val="345"/>
        </w:trPr>
        <w:tc>
          <w:tcPr>
            <w:tcW w:w="1284" w:type="pct"/>
            <w:tcBorders>
              <w:top w:val="single" w:sz="8" w:space="0" w:color="4F81BD"/>
              <w:left w:val="single" w:sz="8" w:space="0" w:color="4F81BD"/>
              <w:bottom w:val="single" w:sz="8" w:space="0" w:color="4F81BD"/>
              <w:right w:val="nil"/>
            </w:tcBorders>
            <w:shd w:val="clear" w:color="auto" w:fill="auto"/>
            <w:noWrap/>
            <w:vAlign w:val="center"/>
            <w:hideMark/>
          </w:tcPr>
          <w:p w14:paraId="59C220A4" w14:textId="77777777" w:rsidR="00A70846" w:rsidRPr="00A70846" w:rsidRDefault="00A70846" w:rsidP="00A70846">
            <w:pPr>
              <w:spacing w:after="0" w:line="240" w:lineRule="auto"/>
              <w:jc w:val="center"/>
              <w:rPr>
                <w:rFonts w:ascii="Arial Narrow" w:eastAsia="Times New Roman" w:hAnsi="Arial Narrow" w:cs="Calibri"/>
                <w:lang w:val="en-US"/>
              </w:rPr>
            </w:pPr>
            <w:r w:rsidRPr="00A70846">
              <w:rPr>
                <w:rFonts w:ascii="Arial Narrow" w:eastAsia="Times New Roman" w:hAnsi="Arial Narrow" w:cs="Calibri"/>
              </w:rPr>
              <w:t>Opis</w:t>
            </w:r>
          </w:p>
        </w:tc>
        <w:tc>
          <w:tcPr>
            <w:tcW w:w="1210" w:type="pct"/>
            <w:tcBorders>
              <w:top w:val="single" w:sz="8" w:space="0" w:color="4F81BD"/>
              <w:left w:val="nil"/>
              <w:bottom w:val="single" w:sz="8" w:space="0" w:color="4F81BD"/>
              <w:right w:val="nil"/>
            </w:tcBorders>
            <w:shd w:val="clear" w:color="auto" w:fill="auto"/>
            <w:noWrap/>
            <w:vAlign w:val="center"/>
            <w:hideMark/>
          </w:tcPr>
          <w:p w14:paraId="076B0AF3" w14:textId="77777777" w:rsidR="00A70846" w:rsidRPr="00A70846" w:rsidRDefault="00A70846" w:rsidP="00A70846">
            <w:pPr>
              <w:spacing w:after="0" w:line="240" w:lineRule="auto"/>
              <w:jc w:val="center"/>
              <w:rPr>
                <w:rFonts w:ascii="Arial Narrow" w:eastAsia="Times New Roman" w:hAnsi="Arial Narrow" w:cs="Calibri"/>
                <w:lang w:val="en-US"/>
              </w:rPr>
            </w:pPr>
            <w:r w:rsidRPr="00A70846">
              <w:rPr>
                <w:rFonts w:ascii="Arial Narrow" w:eastAsia="Times New Roman" w:hAnsi="Arial Narrow" w:cs="Calibri"/>
              </w:rPr>
              <w:t>Vanjski dug</w:t>
            </w:r>
          </w:p>
        </w:tc>
        <w:tc>
          <w:tcPr>
            <w:tcW w:w="1297" w:type="pct"/>
            <w:tcBorders>
              <w:top w:val="single" w:sz="8" w:space="0" w:color="4F81BD"/>
              <w:left w:val="nil"/>
              <w:bottom w:val="single" w:sz="8" w:space="0" w:color="4F81BD"/>
              <w:right w:val="nil"/>
            </w:tcBorders>
            <w:shd w:val="clear" w:color="auto" w:fill="auto"/>
            <w:noWrap/>
            <w:vAlign w:val="center"/>
            <w:hideMark/>
          </w:tcPr>
          <w:p w14:paraId="308FB7D0" w14:textId="4D5AD759" w:rsidR="00A70846" w:rsidRPr="00A70846" w:rsidRDefault="00DA7CD0" w:rsidP="00A70846">
            <w:pPr>
              <w:spacing w:after="0" w:line="240" w:lineRule="auto"/>
              <w:jc w:val="center"/>
              <w:rPr>
                <w:rFonts w:ascii="Arial Narrow" w:eastAsia="Times New Roman" w:hAnsi="Arial Narrow" w:cs="Calibri"/>
                <w:lang w:val="en-US"/>
              </w:rPr>
            </w:pPr>
            <w:r>
              <w:rPr>
                <w:rFonts w:ascii="Arial Narrow" w:eastAsia="Times New Roman" w:hAnsi="Arial Narrow" w:cs="Calibri"/>
              </w:rPr>
              <w:t>Unutarnji</w:t>
            </w:r>
            <w:r w:rsidR="00A70846" w:rsidRPr="00A70846">
              <w:rPr>
                <w:rFonts w:ascii="Arial Narrow" w:eastAsia="Times New Roman" w:hAnsi="Arial Narrow" w:cs="Calibri"/>
              </w:rPr>
              <w:t xml:space="preserve"> dug</w:t>
            </w:r>
          </w:p>
        </w:tc>
        <w:tc>
          <w:tcPr>
            <w:tcW w:w="1210" w:type="pct"/>
            <w:tcBorders>
              <w:top w:val="single" w:sz="8" w:space="0" w:color="4F81BD"/>
              <w:left w:val="nil"/>
              <w:bottom w:val="single" w:sz="8" w:space="0" w:color="4F81BD"/>
              <w:right w:val="single" w:sz="8" w:space="0" w:color="4F81BD"/>
            </w:tcBorders>
            <w:shd w:val="clear" w:color="auto" w:fill="auto"/>
            <w:noWrap/>
            <w:vAlign w:val="center"/>
            <w:hideMark/>
          </w:tcPr>
          <w:p w14:paraId="148B6E7F" w14:textId="77777777" w:rsidR="00A70846" w:rsidRPr="00A70846" w:rsidRDefault="00A70846" w:rsidP="00A70846">
            <w:pPr>
              <w:spacing w:after="0" w:line="240" w:lineRule="auto"/>
              <w:jc w:val="center"/>
              <w:rPr>
                <w:rFonts w:ascii="Arial Narrow" w:eastAsia="Times New Roman" w:hAnsi="Arial Narrow" w:cs="Calibri"/>
                <w:lang w:val="en-US"/>
              </w:rPr>
            </w:pPr>
            <w:r w:rsidRPr="00A70846">
              <w:rPr>
                <w:rFonts w:ascii="Arial Narrow" w:eastAsia="Times New Roman" w:hAnsi="Arial Narrow" w:cs="Calibri"/>
              </w:rPr>
              <w:t>Ukupni dug</w:t>
            </w:r>
          </w:p>
        </w:tc>
      </w:tr>
      <w:tr w:rsidR="00A70846" w:rsidRPr="00A70846" w14:paraId="66E9DD63" w14:textId="77777777" w:rsidTr="00445180">
        <w:trPr>
          <w:trHeight w:val="330"/>
        </w:trPr>
        <w:tc>
          <w:tcPr>
            <w:tcW w:w="1284" w:type="pct"/>
            <w:tcBorders>
              <w:top w:val="nil"/>
              <w:left w:val="single" w:sz="8" w:space="0" w:color="4F81BD"/>
              <w:bottom w:val="nil"/>
              <w:right w:val="nil"/>
            </w:tcBorders>
            <w:shd w:val="clear" w:color="auto" w:fill="auto"/>
            <w:noWrap/>
            <w:vAlign w:val="center"/>
            <w:hideMark/>
          </w:tcPr>
          <w:p w14:paraId="51448CE0" w14:textId="77777777" w:rsidR="00A70846" w:rsidRPr="00A70846" w:rsidRDefault="00A70846" w:rsidP="00A70846">
            <w:pPr>
              <w:spacing w:after="0" w:line="240" w:lineRule="auto"/>
              <w:rPr>
                <w:rFonts w:ascii="Arial Narrow" w:eastAsia="Times New Roman" w:hAnsi="Arial Narrow" w:cs="Calibri"/>
                <w:lang w:val="en-US"/>
              </w:rPr>
            </w:pPr>
            <w:r w:rsidRPr="00A70846">
              <w:rPr>
                <w:rFonts w:ascii="Arial Narrow" w:eastAsia="Times New Roman" w:hAnsi="Arial Narrow" w:cs="Calibri"/>
              </w:rPr>
              <w:t xml:space="preserve">Iznos (u mil. KM) </w:t>
            </w:r>
          </w:p>
        </w:tc>
        <w:tc>
          <w:tcPr>
            <w:tcW w:w="1210" w:type="pct"/>
            <w:tcBorders>
              <w:top w:val="nil"/>
              <w:left w:val="nil"/>
              <w:bottom w:val="nil"/>
              <w:right w:val="nil"/>
            </w:tcBorders>
            <w:shd w:val="clear" w:color="auto" w:fill="auto"/>
            <w:noWrap/>
            <w:vAlign w:val="center"/>
            <w:hideMark/>
          </w:tcPr>
          <w:p w14:paraId="4DDD5526" w14:textId="7360D78A" w:rsidR="00A70846" w:rsidRPr="00A70846" w:rsidRDefault="00A70846">
            <w:pPr>
              <w:spacing w:after="0" w:line="240" w:lineRule="auto"/>
              <w:jc w:val="center"/>
              <w:rPr>
                <w:rFonts w:ascii="Arial Narrow" w:eastAsia="Times New Roman" w:hAnsi="Arial Narrow" w:cs="Calibri"/>
                <w:lang w:val="en-US"/>
              </w:rPr>
            </w:pPr>
            <w:r w:rsidRPr="00A70846">
              <w:rPr>
                <w:rFonts w:ascii="Arial Narrow" w:eastAsia="Times New Roman" w:hAnsi="Arial Narrow" w:cs="Calibri"/>
              </w:rPr>
              <w:t>5.402,0</w:t>
            </w:r>
            <w:r w:rsidR="009C19C2">
              <w:rPr>
                <w:rFonts w:ascii="Arial Narrow" w:eastAsia="Times New Roman" w:hAnsi="Arial Narrow" w:cs="Calibri"/>
              </w:rPr>
              <w:t>1</w:t>
            </w:r>
          </w:p>
        </w:tc>
        <w:tc>
          <w:tcPr>
            <w:tcW w:w="1297" w:type="pct"/>
            <w:tcBorders>
              <w:top w:val="nil"/>
              <w:left w:val="nil"/>
              <w:bottom w:val="nil"/>
              <w:right w:val="nil"/>
            </w:tcBorders>
            <w:shd w:val="clear" w:color="auto" w:fill="auto"/>
            <w:noWrap/>
            <w:vAlign w:val="center"/>
            <w:hideMark/>
          </w:tcPr>
          <w:p w14:paraId="3F188299" w14:textId="1957A234" w:rsidR="00A70846" w:rsidRPr="00A70846" w:rsidRDefault="00A70846">
            <w:pPr>
              <w:spacing w:after="0" w:line="240" w:lineRule="auto"/>
              <w:jc w:val="center"/>
              <w:rPr>
                <w:rFonts w:ascii="Arial Narrow" w:eastAsia="Times New Roman" w:hAnsi="Arial Narrow" w:cs="Calibri"/>
                <w:lang w:val="en-US"/>
              </w:rPr>
            </w:pPr>
            <w:r w:rsidRPr="00A70846">
              <w:rPr>
                <w:rFonts w:ascii="Arial Narrow" w:eastAsia="Times New Roman" w:hAnsi="Arial Narrow" w:cs="Arial"/>
              </w:rPr>
              <w:t>754,27</w:t>
            </w:r>
          </w:p>
        </w:tc>
        <w:tc>
          <w:tcPr>
            <w:tcW w:w="1210" w:type="pct"/>
            <w:tcBorders>
              <w:top w:val="nil"/>
              <w:left w:val="nil"/>
              <w:bottom w:val="nil"/>
              <w:right w:val="single" w:sz="8" w:space="0" w:color="4F81BD"/>
            </w:tcBorders>
            <w:shd w:val="clear" w:color="auto" w:fill="auto"/>
            <w:noWrap/>
            <w:vAlign w:val="center"/>
            <w:hideMark/>
          </w:tcPr>
          <w:p w14:paraId="2A5701B9" w14:textId="77777777" w:rsidR="00A70846" w:rsidRPr="00A70846" w:rsidRDefault="00A70846" w:rsidP="00A70846">
            <w:pPr>
              <w:spacing w:after="0" w:line="240" w:lineRule="auto"/>
              <w:jc w:val="center"/>
              <w:rPr>
                <w:rFonts w:ascii="Arial Narrow" w:eastAsia="Times New Roman" w:hAnsi="Arial Narrow" w:cs="Calibri"/>
                <w:lang w:val="en-US"/>
              </w:rPr>
            </w:pPr>
            <w:r w:rsidRPr="00A70846">
              <w:rPr>
                <w:rFonts w:ascii="Arial Narrow" w:eastAsia="Times New Roman" w:hAnsi="Arial Narrow" w:cs="Calibri"/>
              </w:rPr>
              <w:t>6.156,28</w:t>
            </w:r>
          </w:p>
        </w:tc>
      </w:tr>
      <w:tr w:rsidR="00A70846" w:rsidRPr="00A70846" w14:paraId="38EBCC48" w14:textId="77777777" w:rsidTr="00445180">
        <w:trPr>
          <w:trHeight w:val="330"/>
        </w:trPr>
        <w:tc>
          <w:tcPr>
            <w:tcW w:w="1284" w:type="pct"/>
            <w:tcBorders>
              <w:top w:val="nil"/>
              <w:left w:val="single" w:sz="8" w:space="0" w:color="4F81BD"/>
              <w:bottom w:val="nil"/>
              <w:right w:val="nil"/>
            </w:tcBorders>
            <w:shd w:val="clear" w:color="auto" w:fill="auto"/>
            <w:noWrap/>
            <w:vAlign w:val="center"/>
            <w:hideMark/>
          </w:tcPr>
          <w:p w14:paraId="34DF0E3C" w14:textId="77777777" w:rsidR="00A70846" w:rsidRPr="00A70846" w:rsidRDefault="00A70846" w:rsidP="00A70846">
            <w:pPr>
              <w:spacing w:after="0" w:line="240" w:lineRule="auto"/>
              <w:rPr>
                <w:rFonts w:ascii="Arial Narrow" w:eastAsia="Times New Roman" w:hAnsi="Arial Narrow" w:cs="Calibri"/>
                <w:lang w:val="en-US"/>
              </w:rPr>
            </w:pPr>
            <w:r w:rsidRPr="00A70846">
              <w:rPr>
                <w:rFonts w:ascii="Arial Narrow" w:eastAsia="Times New Roman" w:hAnsi="Arial Narrow" w:cs="Calibri"/>
              </w:rPr>
              <w:t xml:space="preserve">Iznos (u mil. USD) </w:t>
            </w:r>
          </w:p>
        </w:tc>
        <w:tc>
          <w:tcPr>
            <w:tcW w:w="1210" w:type="pct"/>
            <w:tcBorders>
              <w:top w:val="nil"/>
              <w:left w:val="nil"/>
              <w:bottom w:val="nil"/>
              <w:right w:val="nil"/>
            </w:tcBorders>
            <w:shd w:val="clear" w:color="auto" w:fill="auto"/>
            <w:noWrap/>
            <w:vAlign w:val="center"/>
            <w:hideMark/>
          </w:tcPr>
          <w:p w14:paraId="6C31E385" w14:textId="77777777" w:rsidR="00A70846" w:rsidRPr="00A70846" w:rsidRDefault="00A70846" w:rsidP="00A70846">
            <w:pPr>
              <w:spacing w:after="0" w:line="240" w:lineRule="auto"/>
              <w:jc w:val="center"/>
              <w:rPr>
                <w:rFonts w:ascii="Arial Narrow" w:eastAsia="Times New Roman" w:hAnsi="Arial Narrow" w:cs="Calibri"/>
                <w:lang w:val="en-US"/>
              </w:rPr>
            </w:pPr>
            <w:r w:rsidRPr="00A70846">
              <w:rPr>
                <w:rFonts w:ascii="Arial Narrow" w:eastAsia="Times New Roman" w:hAnsi="Arial Narrow" w:cs="Calibri"/>
              </w:rPr>
              <w:t>3.130,45</w:t>
            </w:r>
          </w:p>
        </w:tc>
        <w:tc>
          <w:tcPr>
            <w:tcW w:w="1297" w:type="pct"/>
            <w:tcBorders>
              <w:top w:val="nil"/>
              <w:left w:val="nil"/>
              <w:bottom w:val="nil"/>
              <w:right w:val="nil"/>
            </w:tcBorders>
            <w:shd w:val="clear" w:color="auto" w:fill="auto"/>
            <w:noWrap/>
            <w:vAlign w:val="center"/>
            <w:hideMark/>
          </w:tcPr>
          <w:p w14:paraId="50F24958" w14:textId="77777777" w:rsidR="00A70846" w:rsidRPr="00A70846" w:rsidRDefault="00A70846" w:rsidP="00A70846">
            <w:pPr>
              <w:spacing w:after="0" w:line="240" w:lineRule="auto"/>
              <w:jc w:val="center"/>
              <w:rPr>
                <w:rFonts w:ascii="Arial Narrow" w:eastAsia="Times New Roman" w:hAnsi="Arial Narrow" w:cs="Calibri"/>
                <w:lang w:val="en-US"/>
              </w:rPr>
            </w:pPr>
            <w:r w:rsidRPr="00A70846">
              <w:rPr>
                <w:rFonts w:ascii="Arial Narrow" w:eastAsia="Times New Roman" w:hAnsi="Arial Narrow" w:cs="Calibri"/>
              </w:rPr>
              <w:t>437,1</w:t>
            </w:r>
          </w:p>
        </w:tc>
        <w:tc>
          <w:tcPr>
            <w:tcW w:w="1210" w:type="pct"/>
            <w:tcBorders>
              <w:top w:val="nil"/>
              <w:left w:val="nil"/>
              <w:bottom w:val="nil"/>
              <w:right w:val="single" w:sz="8" w:space="0" w:color="4F81BD"/>
            </w:tcBorders>
            <w:shd w:val="clear" w:color="auto" w:fill="auto"/>
            <w:noWrap/>
            <w:vAlign w:val="center"/>
            <w:hideMark/>
          </w:tcPr>
          <w:p w14:paraId="79F4A1B0" w14:textId="77777777" w:rsidR="00A70846" w:rsidRPr="00A70846" w:rsidRDefault="00A70846" w:rsidP="00A70846">
            <w:pPr>
              <w:spacing w:after="0" w:line="240" w:lineRule="auto"/>
              <w:jc w:val="center"/>
              <w:rPr>
                <w:rFonts w:ascii="Arial Narrow" w:eastAsia="Times New Roman" w:hAnsi="Arial Narrow" w:cs="Calibri"/>
                <w:lang w:val="en-US"/>
              </w:rPr>
            </w:pPr>
            <w:r w:rsidRPr="00A70846">
              <w:rPr>
                <w:rFonts w:ascii="Arial Narrow" w:eastAsia="Times New Roman" w:hAnsi="Arial Narrow" w:cs="Calibri"/>
              </w:rPr>
              <w:t>3.567,55</w:t>
            </w:r>
          </w:p>
        </w:tc>
      </w:tr>
      <w:tr w:rsidR="00A70846" w:rsidRPr="00A70846" w14:paraId="23F9DFFF" w14:textId="77777777" w:rsidTr="00445180">
        <w:trPr>
          <w:trHeight w:val="345"/>
        </w:trPr>
        <w:tc>
          <w:tcPr>
            <w:tcW w:w="1284" w:type="pct"/>
            <w:tcBorders>
              <w:top w:val="nil"/>
              <w:left w:val="single" w:sz="8" w:space="0" w:color="4F81BD"/>
              <w:bottom w:val="single" w:sz="8" w:space="0" w:color="4F81BD"/>
              <w:right w:val="nil"/>
            </w:tcBorders>
            <w:shd w:val="clear" w:color="auto" w:fill="auto"/>
            <w:noWrap/>
            <w:vAlign w:val="center"/>
            <w:hideMark/>
          </w:tcPr>
          <w:p w14:paraId="4908BCFF" w14:textId="77777777" w:rsidR="00A70846" w:rsidRPr="00A70846" w:rsidRDefault="00A70846" w:rsidP="00A70846">
            <w:pPr>
              <w:spacing w:after="0" w:line="240" w:lineRule="auto"/>
              <w:rPr>
                <w:rFonts w:ascii="Arial Narrow" w:eastAsia="Times New Roman" w:hAnsi="Arial Narrow" w:cs="Calibri"/>
                <w:lang w:val="en-US"/>
              </w:rPr>
            </w:pPr>
            <w:r w:rsidRPr="00A70846">
              <w:rPr>
                <w:rFonts w:ascii="Arial Narrow" w:eastAsia="Times New Roman" w:hAnsi="Arial Narrow" w:cs="Calibri"/>
              </w:rPr>
              <w:t>Nominalni dug kao % BDP-a FBiH</w:t>
            </w:r>
          </w:p>
        </w:tc>
        <w:tc>
          <w:tcPr>
            <w:tcW w:w="1210" w:type="pct"/>
            <w:tcBorders>
              <w:top w:val="nil"/>
              <w:left w:val="nil"/>
              <w:bottom w:val="single" w:sz="8" w:space="0" w:color="4F81BD"/>
              <w:right w:val="nil"/>
            </w:tcBorders>
            <w:shd w:val="clear" w:color="auto" w:fill="auto"/>
            <w:noWrap/>
            <w:vAlign w:val="center"/>
            <w:hideMark/>
          </w:tcPr>
          <w:p w14:paraId="6F47707B" w14:textId="77777777" w:rsidR="00A70846" w:rsidRPr="00A70846" w:rsidRDefault="00A70846" w:rsidP="00A70846">
            <w:pPr>
              <w:spacing w:after="0" w:line="240" w:lineRule="auto"/>
              <w:jc w:val="center"/>
              <w:rPr>
                <w:rFonts w:ascii="Arial Narrow" w:eastAsia="Times New Roman" w:hAnsi="Arial Narrow" w:cs="Calibri"/>
                <w:lang w:val="en-US"/>
              </w:rPr>
            </w:pPr>
            <w:r w:rsidRPr="00A70846">
              <w:rPr>
                <w:rFonts w:ascii="Arial Narrow" w:eastAsia="Times New Roman" w:hAnsi="Arial Narrow" w:cs="Calibri"/>
              </w:rPr>
              <w:t>23,53%</w:t>
            </w:r>
          </w:p>
        </w:tc>
        <w:tc>
          <w:tcPr>
            <w:tcW w:w="1297" w:type="pct"/>
            <w:tcBorders>
              <w:top w:val="nil"/>
              <w:left w:val="nil"/>
              <w:bottom w:val="single" w:sz="8" w:space="0" w:color="4F81BD"/>
              <w:right w:val="nil"/>
            </w:tcBorders>
            <w:shd w:val="clear" w:color="auto" w:fill="auto"/>
            <w:noWrap/>
            <w:vAlign w:val="center"/>
            <w:hideMark/>
          </w:tcPr>
          <w:p w14:paraId="22B30377" w14:textId="77777777" w:rsidR="00A70846" w:rsidRPr="00A70846" w:rsidRDefault="00A70846" w:rsidP="00A70846">
            <w:pPr>
              <w:spacing w:after="0" w:line="240" w:lineRule="auto"/>
              <w:jc w:val="center"/>
              <w:rPr>
                <w:rFonts w:ascii="Arial Narrow" w:eastAsia="Times New Roman" w:hAnsi="Arial Narrow" w:cs="Calibri"/>
                <w:lang w:val="en-US"/>
              </w:rPr>
            </w:pPr>
            <w:r w:rsidRPr="00A70846">
              <w:rPr>
                <w:rFonts w:ascii="Arial Narrow" w:eastAsia="Times New Roman" w:hAnsi="Arial Narrow" w:cs="Calibri"/>
              </w:rPr>
              <w:t>3,29%</w:t>
            </w:r>
          </w:p>
        </w:tc>
        <w:tc>
          <w:tcPr>
            <w:tcW w:w="1210" w:type="pct"/>
            <w:tcBorders>
              <w:top w:val="nil"/>
              <w:left w:val="nil"/>
              <w:bottom w:val="single" w:sz="8" w:space="0" w:color="4F81BD"/>
              <w:right w:val="single" w:sz="8" w:space="0" w:color="4F81BD"/>
            </w:tcBorders>
            <w:shd w:val="clear" w:color="auto" w:fill="auto"/>
            <w:noWrap/>
            <w:vAlign w:val="center"/>
            <w:hideMark/>
          </w:tcPr>
          <w:p w14:paraId="4898AB8B" w14:textId="77777777" w:rsidR="00A70846" w:rsidRPr="00A70846" w:rsidRDefault="00A70846" w:rsidP="00A70846">
            <w:pPr>
              <w:spacing w:after="0" w:line="240" w:lineRule="auto"/>
              <w:jc w:val="center"/>
              <w:rPr>
                <w:rFonts w:ascii="Arial Narrow" w:eastAsia="Times New Roman" w:hAnsi="Arial Narrow" w:cs="Calibri"/>
                <w:lang w:val="en-US"/>
              </w:rPr>
            </w:pPr>
            <w:r w:rsidRPr="00A70846">
              <w:rPr>
                <w:rFonts w:ascii="Arial Narrow" w:eastAsia="Times New Roman" w:hAnsi="Arial Narrow" w:cs="Calibri"/>
              </w:rPr>
              <w:t>26,82%</w:t>
            </w:r>
          </w:p>
        </w:tc>
      </w:tr>
    </w:tbl>
    <w:p w14:paraId="2519A6DD" w14:textId="77777777" w:rsidR="000B344E" w:rsidRPr="00AB28DD" w:rsidRDefault="000B344E" w:rsidP="00ED768D">
      <w:pPr>
        <w:pStyle w:val="ParagraphNumbering"/>
        <w:numPr>
          <w:ilvl w:val="0"/>
          <w:numId w:val="0"/>
        </w:numPr>
        <w:autoSpaceDE w:val="0"/>
        <w:spacing w:after="0" w:line="240" w:lineRule="auto"/>
        <w:jc w:val="both"/>
        <w:rPr>
          <w:rFonts w:ascii="Arial" w:eastAsiaTheme="minorHAnsi" w:hAnsi="Arial" w:cs="Arial"/>
        </w:rPr>
      </w:pPr>
    </w:p>
    <w:p w14:paraId="274D6459" w14:textId="37F21688" w:rsidR="00B8613F" w:rsidRPr="00D76E05" w:rsidRDefault="00B8613F" w:rsidP="000B344E">
      <w:pPr>
        <w:spacing w:after="0"/>
        <w:rPr>
          <w:sz w:val="20"/>
        </w:rPr>
      </w:pPr>
    </w:p>
    <w:p w14:paraId="6E78FBC9" w14:textId="5D9994BD" w:rsidR="008A373E" w:rsidRPr="00AF7CAC" w:rsidRDefault="00ED768D" w:rsidP="00330FB6">
      <w:pPr>
        <w:pStyle w:val="Heading2"/>
        <w:numPr>
          <w:ilvl w:val="1"/>
          <w:numId w:val="10"/>
        </w:numPr>
        <w:spacing w:before="0" w:line="240" w:lineRule="auto"/>
        <w:rPr>
          <w:rFonts w:ascii="Arial" w:hAnsi="Arial" w:cs="Arial"/>
          <w:b w:val="0"/>
          <w:color w:val="auto"/>
        </w:rPr>
      </w:pPr>
      <w:bookmarkStart w:id="9" w:name="_Toc100823734"/>
      <w:r w:rsidRPr="000D54BA">
        <w:rPr>
          <w:rFonts w:ascii="Arial" w:hAnsi="Arial" w:cs="Arial"/>
          <w:b w:val="0"/>
          <w:color w:val="auto"/>
          <w:sz w:val="22"/>
        </w:rPr>
        <w:t>Struktura vanjskog duga F</w:t>
      </w:r>
      <w:r w:rsidR="00B664C6" w:rsidRPr="000D54BA">
        <w:rPr>
          <w:rFonts w:ascii="Arial" w:hAnsi="Arial" w:cs="Arial"/>
          <w:b w:val="0"/>
          <w:color w:val="auto"/>
          <w:sz w:val="22"/>
        </w:rPr>
        <w:t xml:space="preserve">ederacije </w:t>
      </w:r>
      <w:r w:rsidRPr="000D54BA">
        <w:rPr>
          <w:rFonts w:ascii="Arial" w:hAnsi="Arial" w:cs="Arial"/>
          <w:b w:val="0"/>
          <w:color w:val="auto"/>
          <w:sz w:val="22"/>
        </w:rPr>
        <w:t>BiH</w:t>
      </w:r>
      <w:r w:rsidR="008B5A0B" w:rsidRPr="000D54BA">
        <w:rPr>
          <w:rFonts w:ascii="Arial" w:hAnsi="Arial" w:cs="Arial"/>
          <w:b w:val="0"/>
          <w:color w:val="auto"/>
          <w:sz w:val="22"/>
        </w:rPr>
        <w:t xml:space="preserve"> na </w:t>
      </w:r>
      <w:r w:rsidR="008B5A0B" w:rsidRPr="00D912D1">
        <w:rPr>
          <w:rFonts w:ascii="Arial" w:hAnsi="Arial" w:cs="Arial"/>
          <w:b w:val="0"/>
          <w:color w:val="auto"/>
          <w:sz w:val="22"/>
        </w:rPr>
        <w:t>dan 31.</w:t>
      </w:r>
      <w:r w:rsidR="00DA7CD0">
        <w:rPr>
          <w:rFonts w:ascii="Arial" w:hAnsi="Arial" w:cs="Arial"/>
          <w:b w:val="0"/>
          <w:color w:val="auto"/>
          <w:sz w:val="22"/>
        </w:rPr>
        <w:t xml:space="preserve"> </w:t>
      </w:r>
      <w:r w:rsidR="008B5A0B" w:rsidRPr="00D912D1">
        <w:rPr>
          <w:rFonts w:ascii="Arial" w:hAnsi="Arial" w:cs="Arial"/>
          <w:b w:val="0"/>
          <w:color w:val="auto"/>
          <w:sz w:val="22"/>
        </w:rPr>
        <w:t>12.</w:t>
      </w:r>
      <w:r w:rsidR="00DA7CD0">
        <w:rPr>
          <w:rFonts w:ascii="Arial" w:hAnsi="Arial" w:cs="Arial"/>
          <w:b w:val="0"/>
          <w:color w:val="auto"/>
          <w:sz w:val="22"/>
        </w:rPr>
        <w:t xml:space="preserve"> </w:t>
      </w:r>
      <w:r w:rsidR="003027C2" w:rsidRPr="00FB6FC8">
        <w:rPr>
          <w:rFonts w:ascii="Arial" w:hAnsi="Arial" w:cs="Arial"/>
          <w:b w:val="0"/>
          <w:color w:val="auto"/>
          <w:sz w:val="22"/>
        </w:rPr>
        <w:t>2021</w:t>
      </w:r>
      <w:r w:rsidR="001343FD" w:rsidRPr="00FB6FC8">
        <w:rPr>
          <w:rFonts w:ascii="Arial" w:hAnsi="Arial" w:cs="Arial"/>
          <w:b w:val="0"/>
          <w:color w:val="auto"/>
          <w:sz w:val="22"/>
        </w:rPr>
        <w:t xml:space="preserve">. </w:t>
      </w:r>
      <w:bookmarkEnd w:id="9"/>
    </w:p>
    <w:p w14:paraId="32604BAD" w14:textId="77777777" w:rsidR="008A373E" w:rsidRPr="00D76E05" w:rsidRDefault="008A373E" w:rsidP="00330FB6">
      <w:pPr>
        <w:spacing w:after="0" w:line="240" w:lineRule="auto"/>
        <w:rPr>
          <w:sz w:val="18"/>
        </w:rPr>
      </w:pPr>
    </w:p>
    <w:p w14:paraId="3343F6DA" w14:textId="2F582B83" w:rsidR="005F375B" w:rsidRPr="00881774" w:rsidRDefault="00292C76" w:rsidP="00881774">
      <w:pPr>
        <w:pStyle w:val="Heading3"/>
        <w:numPr>
          <w:ilvl w:val="2"/>
          <w:numId w:val="10"/>
        </w:numPr>
        <w:spacing w:before="0"/>
        <w:rPr>
          <w:rFonts w:ascii="Arial" w:hAnsi="Arial" w:cs="Arial"/>
          <w:b w:val="0"/>
        </w:rPr>
      </w:pPr>
      <w:bookmarkStart w:id="10" w:name="_Toc100754192"/>
      <w:bookmarkStart w:id="11" w:name="_Toc100754636"/>
      <w:bookmarkStart w:id="12" w:name="_Toc100755028"/>
      <w:bookmarkStart w:id="13" w:name="_Toc100818759"/>
      <w:bookmarkStart w:id="14" w:name="_Toc100820465"/>
      <w:bookmarkStart w:id="15" w:name="_Toc100822753"/>
      <w:bookmarkStart w:id="16" w:name="_Toc100823292"/>
      <w:bookmarkStart w:id="17" w:name="_Toc100823735"/>
      <w:bookmarkStart w:id="18" w:name="_Toc100823736"/>
      <w:bookmarkEnd w:id="10"/>
      <w:bookmarkEnd w:id="11"/>
      <w:bookmarkEnd w:id="12"/>
      <w:bookmarkEnd w:id="13"/>
      <w:bookmarkEnd w:id="14"/>
      <w:bookmarkEnd w:id="15"/>
      <w:bookmarkEnd w:id="16"/>
      <w:bookmarkEnd w:id="17"/>
      <w:r w:rsidRPr="00881774">
        <w:rPr>
          <w:rFonts w:ascii="Arial" w:hAnsi="Arial" w:cs="Arial"/>
          <w:b w:val="0"/>
          <w:color w:val="auto"/>
        </w:rPr>
        <w:t>Strukt</w:t>
      </w:r>
      <w:r w:rsidR="005F375B" w:rsidRPr="00881774">
        <w:rPr>
          <w:rFonts w:ascii="Arial" w:hAnsi="Arial" w:cs="Arial"/>
          <w:b w:val="0"/>
          <w:color w:val="auto"/>
        </w:rPr>
        <w:t xml:space="preserve">ura vanjskog duga </w:t>
      </w:r>
      <w:r w:rsidR="001343FD" w:rsidRPr="00881774">
        <w:rPr>
          <w:rFonts w:ascii="Arial" w:hAnsi="Arial" w:cs="Arial"/>
          <w:b w:val="0"/>
          <w:color w:val="auto"/>
        </w:rPr>
        <w:t>F</w:t>
      </w:r>
      <w:r w:rsidR="00AF4632" w:rsidRPr="00881774">
        <w:rPr>
          <w:rFonts w:ascii="Arial" w:hAnsi="Arial" w:cs="Arial"/>
          <w:b w:val="0"/>
          <w:color w:val="auto"/>
        </w:rPr>
        <w:t xml:space="preserve">ederacije </w:t>
      </w:r>
      <w:r w:rsidR="001343FD" w:rsidRPr="00881774">
        <w:rPr>
          <w:rFonts w:ascii="Arial" w:hAnsi="Arial" w:cs="Arial"/>
          <w:b w:val="0"/>
          <w:color w:val="auto"/>
        </w:rPr>
        <w:t xml:space="preserve">BiH </w:t>
      </w:r>
      <w:r w:rsidR="005F375B" w:rsidRPr="00881774">
        <w:rPr>
          <w:rFonts w:ascii="Arial" w:hAnsi="Arial" w:cs="Arial"/>
          <w:b w:val="0"/>
          <w:color w:val="auto"/>
        </w:rPr>
        <w:t>po kreditorima</w:t>
      </w:r>
      <w:bookmarkEnd w:id="18"/>
      <w:r w:rsidR="005F375B" w:rsidRPr="00881774">
        <w:rPr>
          <w:rFonts w:ascii="Arial" w:hAnsi="Arial" w:cs="Arial"/>
          <w:b w:val="0"/>
          <w:color w:val="auto"/>
        </w:rPr>
        <w:t xml:space="preserve"> </w:t>
      </w:r>
    </w:p>
    <w:p w14:paraId="5161DC37" w14:textId="2BB2BF19" w:rsidR="005F375B" w:rsidRPr="00881774" w:rsidRDefault="005F375B" w:rsidP="00881774">
      <w:pPr>
        <w:pStyle w:val="ListParagraph"/>
        <w:spacing w:after="0"/>
        <w:ind w:left="1288"/>
        <w:jc w:val="both"/>
        <w:rPr>
          <w:rFonts w:ascii="Arial" w:hAnsi="Arial" w:cs="Arial"/>
          <w:sz w:val="20"/>
        </w:rPr>
      </w:pPr>
    </w:p>
    <w:p w14:paraId="324A0DB6" w14:textId="0DCFA5A8" w:rsidR="00BF3CBB" w:rsidRPr="00881774" w:rsidRDefault="002979DB" w:rsidP="00881774">
      <w:pPr>
        <w:spacing w:after="0"/>
        <w:ind w:firstLine="284"/>
        <w:jc w:val="both"/>
        <w:rPr>
          <w:rFonts w:ascii="Arial" w:hAnsi="Arial" w:cs="Arial"/>
        </w:rPr>
      </w:pPr>
      <w:r w:rsidRPr="00881774">
        <w:rPr>
          <w:rFonts w:ascii="Arial" w:hAnsi="Arial" w:cs="Arial"/>
        </w:rPr>
        <w:t>V</w:t>
      </w:r>
      <w:r w:rsidR="00BF3CBB" w:rsidRPr="00881774">
        <w:rPr>
          <w:rFonts w:ascii="Arial" w:hAnsi="Arial" w:cs="Arial"/>
        </w:rPr>
        <w:t>anjski dug je</w:t>
      </w:r>
      <w:r w:rsidRPr="00881774">
        <w:rPr>
          <w:rFonts w:ascii="Arial" w:hAnsi="Arial" w:cs="Arial"/>
        </w:rPr>
        <w:t>,</w:t>
      </w:r>
      <w:r w:rsidR="00837CF8" w:rsidRPr="00881774">
        <w:rPr>
          <w:rFonts w:ascii="Arial" w:hAnsi="Arial" w:cs="Arial"/>
        </w:rPr>
        <w:t xml:space="preserve"> </w:t>
      </w:r>
      <w:r w:rsidR="004476F9">
        <w:rPr>
          <w:rFonts w:ascii="Arial" w:hAnsi="Arial" w:cs="Arial"/>
        </w:rPr>
        <w:t>zbog povoljnijih kreditnih u</w:t>
      </w:r>
      <w:r w:rsidR="00DA7CD0">
        <w:rPr>
          <w:rFonts w:ascii="Arial" w:hAnsi="Arial" w:cs="Arial"/>
        </w:rPr>
        <w:t>vjeta</w:t>
      </w:r>
      <w:r w:rsidR="004476F9">
        <w:rPr>
          <w:rFonts w:ascii="Arial" w:hAnsi="Arial" w:cs="Arial"/>
        </w:rPr>
        <w:t xml:space="preserve"> i koncesionalnih kamatnih stopa, najvećim dijelom</w:t>
      </w:r>
      <w:r w:rsidRPr="00881774">
        <w:rPr>
          <w:rFonts w:ascii="Arial" w:hAnsi="Arial" w:cs="Arial"/>
        </w:rPr>
        <w:t xml:space="preserve"> </w:t>
      </w:r>
      <w:r w:rsidR="00DA7CD0">
        <w:rPr>
          <w:rFonts w:ascii="Arial" w:hAnsi="Arial" w:cs="Arial"/>
        </w:rPr>
        <w:t>ugovoren s</w:t>
      </w:r>
      <w:r w:rsidR="00BF3CBB" w:rsidRPr="00881774">
        <w:rPr>
          <w:rFonts w:ascii="Arial" w:hAnsi="Arial" w:cs="Arial"/>
        </w:rPr>
        <w:t xml:space="preserve"> međunarodnim </w:t>
      </w:r>
      <w:r w:rsidR="009A78EF">
        <w:rPr>
          <w:rFonts w:ascii="Arial" w:hAnsi="Arial" w:cs="Arial"/>
        </w:rPr>
        <w:t>financ</w:t>
      </w:r>
      <w:r w:rsidR="00BF3CBB" w:rsidRPr="00881774">
        <w:rPr>
          <w:rFonts w:ascii="Arial" w:hAnsi="Arial" w:cs="Arial"/>
        </w:rPr>
        <w:t xml:space="preserve">ijskim institucijama </w:t>
      </w:r>
      <w:r w:rsidRPr="00881774">
        <w:rPr>
          <w:rFonts w:ascii="Arial" w:hAnsi="Arial" w:cs="Arial"/>
        </w:rPr>
        <w:t xml:space="preserve">i </w:t>
      </w:r>
      <w:r w:rsidR="00BF3CBB" w:rsidRPr="00881774">
        <w:rPr>
          <w:rFonts w:ascii="Arial" w:hAnsi="Arial" w:cs="Arial"/>
        </w:rPr>
        <w:t>bilateralnim kreditorima</w:t>
      </w:r>
      <w:r w:rsidRPr="00881774">
        <w:rPr>
          <w:rFonts w:ascii="Arial" w:hAnsi="Arial" w:cs="Arial"/>
        </w:rPr>
        <w:t>.</w:t>
      </w:r>
    </w:p>
    <w:p w14:paraId="5DFCCFE3" w14:textId="77777777" w:rsidR="00813B46" w:rsidRPr="00881774" w:rsidRDefault="00813B46" w:rsidP="00881774">
      <w:pPr>
        <w:spacing w:after="0"/>
        <w:ind w:firstLine="284"/>
        <w:jc w:val="both"/>
        <w:rPr>
          <w:rFonts w:ascii="Arial" w:hAnsi="Arial" w:cs="Arial"/>
        </w:rPr>
      </w:pPr>
    </w:p>
    <w:p w14:paraId="46C03053" w14:textId="7813FDD0" w:rsidR="005A20CB" w:rsidRDefault="005A20CB" w:rsidP="00881774">
      <w:pPr>
        <w:spacing w:after="0"/>
        <w:jc w:val="both"/>
        <w:rPr>
          <w:rFonts w:ascii="Arial" w:eastAsia="Times New Roman" w:hAnsi="Arial" w:cs="Arial"/>
          <w:iCs/>
          <w:color w:val="000000"/>
          <w:szCs w:val="24"/>
          <w:lang w:eastAsia="bs-Latn-BA"/>
        </w:rPr>
      </w:pPr>
      <w:r w:rsidRPr="00881774">
        <w:rPr>
          <w:rFonts w:ascii="Arial" w:eastAsia="Times New Roman" w:hAnsi="Arial" w:cs="Arial"/>
          <w:iCs/>
          <w:color w:val="000000"/>
          <w:szCs w:val="24"/>
          <w:lang w:eastAsia="bs-Latn-BA"/>
        </w:rPr>
        <w:t>Tab</w:t>
      </w:r>
      <w:r w:rsidR="00DA7CD0">
        <w:rPr>
          <w:rFonts w:ascii="Arial" w:eastAsia="Times New Roman" w:hAnsi="Arial" w:cs="Arial"/>
          <w:iCs/>
          <w:color w:val="000000"/>
          <w:szCs w:val="24"/>
          <w:lang w:eastAsia="bs-Latn-BA"/>
        </w:rPr>
        <w:t>lica</w:t>
      </w:r>
      <w:r w:rsidRPr="00881774">
        <w:rPr>
          <w:rFonts w:ascii="Arial" w:eastAsia="Times New Roman" w:hAnsi="Arial" w:cs="Arial"/>
          <w:iCs/>
          <w:color w:val="000000"/>
          <w:szCs w:val="24"/>
          <w:lang w:eastAsia="bs-Latn-BA"/>
        </w:rPr>
        <w:t xml:space="preserve"> 3. Pregled vanjskog duga F</w:t>
      </w:r>
      <w:r w:rsidR="00AF4632" w:rsidRPr="00881774">
        <w:rPr>
          <w:rFonts w:ascii="Arial" w:eastAsia="Times New Roman" w:hAnsi="Arial" w:cs="Arial"/>
          <w:iCs/>
          <w:color w:val="000000"/>
          <w:szCs w:val="24"/>
          <w:lang w:eastAsia="bs-Latn-BA"/>
        </w:rPr>
        <w:t xml:space="preserve">ederacije </w:t>
      </w:r>
      <w:r w:rsidRPr="00881774">
        <w:rPr>
          <w:rFonts w:ascii="Arial" w:eastAsia="Times New Roman" w:hAnsi="Arial" w:cs="Arial"/>
          <w:iCs/>
          <w:color w:val="000000"/>
          <w:szCs w:val="24"/>
          <w:lang w:eastAsia="bs-Latn-BA"/>
        </w:rPr>
        <w:t>BiH po kreditorima</w:t>
      </w:r>
    </w:p>
    <w:p w14:paraId="5D9722EC" w14:textId="62EEFB05" w:rsidR="006B2DC8" w:rsidRDefault="006B2DC8" w:rsidP="00ED768D">
      <w:pPr>
        <w:spacing w:after="0"/>
        <w:jc w:val="both"/>
        <w:rPr>
          <w:noProof/>
          <w:lang w:val="en-US"/>
        </w:rPr>
      </w:pPr>
    </w:p>
    <w:tbl>
      <w:tblPr>
        <w:tblpPr w:leftFromText="180" w:rightFromText="180" w:vertAnchor="text" w:horzAnchor="margin" w:tblpXSpec="center" w:tblpY="5"/>
        <w:tblOverlap w:val="never"/>
        <w:tblW w:w="0" w:type="auto"/>
        <w:tblLook w:val="04A0" w:firstRow="1" w:lastRow="0" w:firstColumn="1" w:lastColumn="0" w:noHBand="0" w:noVBand="1"/>
      </w:tblPr>
      <w:tblGrid>
        <w:gridCol w:w="2533"/>
        <w:gridCol w:w="1370"/>
        <w:gridCol w:w="1370"/>
      </w:tblGrid>
      <w:tr w:rsidR="00DA7CD0" w:rsidRPr="00AB2489" w14:paraId="33781FAC" w14:textId="77777777" w:rsidTr="00DA7CD0">
        <w:trPr>
          <w:trHeight w:val="312"/>
        </w:trPr>
        <w:tc>
          <w:tcPr>
            <w:tcW w:w="0" w:type="auto"/>
            <w:tcBorders>
              <w:top w:val="single" w:sz="8" w:space="0" w:color="95B3D7"/>
              <w:left w:val="single" w:sz="8" w:space="0" w:color="95B3D7"/>
              <w:bottom w:val="single" w:sz="8" w:space="0" w:color="95B3D7"/>
              <w:right w:val="single" w:sz="8" w:space="0" w:color="95B3D7"/>
            </w:tcBorders>
            <w:shd w:val="clear" w:color="auto" w:fill="auto"/>
            <w:noWrap/>
            <w:vAlign w:val="center"/>
            <w:hideMark/>
          </w:tcPr>
          <w:p w14:paraId="1E295E5C" w14:textId="77777777" w:rsidR="00DA7CD0" w:rsidRPr="00AB2E53" w:rsidRDefault="00DA7CD0" w:rsidP="00DA7CD0">
            <w:pPr>
              <w:spacing w:after="0" w:line="240" w:lineRule="auto"/>
              <w:jc w:val="center"/>
              <w:rPr>
                <w:rFonts w:ascii="Arial Narrow" w:eastAsia="Times New Roman" w:hAnsi="Arial Narrow" w:cs="Times New Roman"/>
                <w:i/>
                <w:iCs/>
                <w:color w:val="000000"/>
                <w:lang w:val="bs-Latn-BA" w:eastAsia="bs-Latn-BA"/>
              </w:rPr>
            </w:pPr>
            <w:r w:rsidRPr="00445180">
              <w:rPr>
                <w:rFonts w:ascii="Arial Narrow" w:hAnsi="Arial Narrow"/>
              </w:rPr>
              <w:t>Kreditor</w:t>
            </w:r>
          </w:p>
        </w:tc>
        <w:tc>
          <w:tcPr>
            <w:tcW w:w="0" w:type="auto"/>
            <w:tcBorders>
              <w:top w:val="single" w:sz="8" w:space="0" w:color="95B3D7"/>
              <w:left w:val="nil"/>
              <w:bottom w:val="single" w:sz="8" w:space="0" w:color="95B3D7"/>
              <w:right w:val="single" w:sz="8" w:space="0" w:color="95B3D7"/>
            </w:tcBorders>
            <w:shd w:val="clear" w:color="auto" w:fill="auto"/>
            <w:noWrap/>
            <w:vAlign w:val="center"/>
            <w:hideMark/>
          </w:tcPr>
          <w:p w14:paraId="3415B076" w14:textId="77777777" w:rsidR="00DA7CD0" w:rsidRPr="00AB2E53" w:rsidRDefault="00DA7CD0" w:rsidP="00DA7CD0">
            <w:pPr>
              <w:spacing w:after="0" w:line="240" w:lineRule="auto"/>
              <w:jc w:val="center"/>
              <w:rPr>
                <w:rFonts w:ascii="Arial Narrow" w:eastAsia="Times New Roman" w:hAnsi="Arial Narrow" w:cs="Times New Roman"/>
                <w:i/>
                <w:iCs/>
                <w:color w:val="000000"/>
                <w:lang w:val="bs-Latn-BA" w:eastAsia="bs-Latn-BA"/>
              </w:rPr>
            </w:pPr>
            <w:r w:rsidRPr="00445180">
              <w:rPr>
                <w:rFonts w:ascii="Arial Narrow" w:hAnsi="Arial Narrow"/>
              </w:rPr>
              <w:t>u USD</w:t>
            </w:r>
          </w:p>
        </w:tc>
        <w:tc>
          <w:tcPr>
            <w:tcW w:w="0" w:type="auto"/>
            <w:tcBorders>
              <w:top w:val="single" w:sz="8" w:space="0" w:color="95B3D7"/>
              <w:left w:val="nil"/>
              <w:bottom w:val="single" w:sz="8" w:space="0" w:color="95B3D7"/>
              <w:right w:val="single" w:sz="8" w:space="0" w:color="95B3D7"/>
            </w:tcBorders>
            <w:shd w:val="clear" w:color="auto" w:fill="auto"/>
            <w:noWrap/>
            <w:vAlign w:val="center"/>
            <w:hideMark/>
          </w:tcPr>
          <w:p w14:paraId="3F1F6BD2" w14:textId="77777777" w:rsidR="00DA7CD0" w:rsidRPr="00AB2E53" w:rsidRDefault="00DA7CD0" w:rsidP="00DA7CD0">
            <w:pPr>
              <w:spacing w:after="0" w:line="240" w:lineRule="auto"/>
              <w:jc w:val="center"/>
              <w:rPr>
                <w:rFonts w:ascii="Arial Narrow" w:eastAsia="Times New Roman" w:hAnsi="Arial Narrow" w:cs="Times New Roman"/>
                <w:i/>
                <w:iCs/>
                <w:color w:val="000000"/>
                <w:lang w:val="bs-Latn-BA" w:eastAsia="bs-Latn-BA"/>
              </w:rPr>
            </w:pPr>
            <w:r w:rsidRPr="00445180">
              <w:rPr>
                <w:rFonts w:ascii="Arial Narrow" w:hAnsi="Arial Narrow"/>
              </w:rPr>
              <w:t>u KM</w:t>
            </w:r>
          </w:p>
        </w:tc>
      </w:tr>
      <w:tr w:rsidR="00DA7CD0" w:rsidRPr="00AB2489" w14:paraId="4574ACAA" w14:textId="77777777" w:rsidTr="00DA7CD0">
        <w:trPr>
          <w:trHeight w:val="312"/>
        </w:trPr>
        <w:tc>
          <w:tcPr>
            <w:tcW w:w="0" w:type="auto"/>
            <w:tcBorders>
              <w:top w:val="nil"/>
              <w:left w:val="single" w:sz="8" w:space="0" w:color="95B3D7"/>
              <w:bottom w:val="single" w:sz="8" w:space="0" w:color="95B3D7"/>
              <w:right w:val="single" w:sz="8" w:space="0" w:color="95B3D7"/>
            </w:tcBorders>
            <w:shd w:val="clear" w:color="auto" w:fill="DBE5F1" w:themeFill="accent1" w:themeFillTint="33"/>
            <w:noWrap/>
            <w:hideMark/>
          </w:tcPr>
          <w:p w14:paraId="2263CECC" w14:textId="77777777" w:rsidR="00DA7CD0" w:rsidRPr="00AB2E53" w:rsidRDefault="00DA7CD0" w:rsidP="00DA7CD0">
            <w:pPr>
              <w:spacing w:after="0" w:line="240" w:lineRule="auto"/>
              <w:rPr>
                <w:rFonts w:ascii="Arial Narrow" w:eastAsia="Times New Roman" w:hAnsi="Arial Narrow" w:cs="Times New Roman"/>
                <w:i/>
                <w:iCs/>
                <w:color w:val="000000"/>
                <w:lang w:val="bs-Latn-BA" w:eastAsia="bs-Latn-BA"/>
              </w:rPr>
            </w:pPr>
            <w:r w:rsidRPr="00445180">
              <w:rPr>
                <w:rFonts w:ascii="Arial Narrow" w:hAnsi="Arial Narrow"/>
              </w:rPr>
              <w:t>Svjetska banka  (WB IDA)</w:t>
            </w:r>
          </w:p>
        </w:tc>
        <w:tc>
          <w:tcPr>
            <w:tcW w:w="0" w:type="auto"/>
            <w:tcBorders>
              <w:top w:val="nil"/>
              <w:left w:val="nil"/>
              <w:bottom w:val="single" w:sz="8" w:space="0" w:color="95B3D7"/>
              <w:right w:val="single" w:sz="8" w:space="0" w:color="95B3D7"/>
            </w:tcBorders>
            <w:shd w:val="clear" w:color="auto" w:fill="DBE5F1" w:themeFill="accent1" w:themeFillTint="33"/>
            <w:noWrap/>
            <w:hideMark/>
          </w:tcPr>
          <w:p w14:paraId="6A011C42" w14:textId="77777777" w:rsidR="00DA7CD0" w:rsidRPr="00AB2E53" w:rsidRDefault="00DA7CD0" w:rsidP="00DA7CD0">
            <w:pPr>
              <w:spacing w:after="0" w:line="240" w:lineRule="auto"/>
              <w:jc w:val="right"/>
              <w:rPr>
                <w:rFonts w:ascii="Arial Narrow" w:eastAsia="Times New Roman" w:hAnsi="Arial Narrow" w:cs="Times New Roman"/>
                <w:i/>
                <w:iCs/>
                <w:color w:val="000000"/>
                <w:lang w:val="bs-Latn-BA" w:eastAsia="bs-Latn-BA"/>
              </w:rPr>
            </w:pPr>
            <w:r w:rsidRPr="00445180">
              <w:rPr>
                <w:rFonts w:ascii="Arial Narrow" w:hAnsi="Arial Narrow"/>
              </w:rPr>
              <w:t>564.923.897</w:t>
            </w:r>
          </w:p>
        </w:tc>
        <w:tc>
          <w:tcPr>
            <w:tcW w:w="0" w:type="auto"/>
            <w:tcBorders>
              <w:top w:val="nil"/>
              <w:left w:val="nil"/>
              <w:bottom w:val="single" w:sz="8" w:space="0" w:color="95B3D7"/>
              <w:right w:val="single" w:sz="8" w:space="0" w:color="95B3D7"/>
            </w:tcBorders>
            <w:shd w:val="clear" w:color="auto" w:fill="DBE5F1" w:themeFill="accent1" w:themeFillTint="33"/>
            <w:noWrap/>
            <w:hideMark/>
          </w:tcPr>
          <w:p w14:paraId="47A5FA00" w14:textId="77777777" w:rsidR="00DA7CD0" w:rsidRPr="00AB2E53" w:rsidRDefault="00DA7CD0" w:rsidP="00DA7CD0">
            <w:pPr>
              <w:spacing w:after="0" w:line="240" w:lineRule="auto"/>
              <w:jc w:val="right"/>
              <w:rPr>
                <w:rFonts w:ascii="Arial Narrow" w:eastAsia="Times New Roman" w:hAnsi="Arial Narrow" w:cs="Times New Roman"/>
                <w:i/>
                <w:iCs/>
                <w:color w:val="000000"/>
                <w:lang w:val="bs-Latn-BA" w:eastAsia="bs-Latn-BA"/>
              </w:rPr>
            </w:pPr>
            <w:r w:rsidRPr="00445180">
              <w:rPr>
                <w:rFonts w:ascii="Arial Narrow" w:hAnsi="Arial Narrow"/>
              </w:rPr>
              <w:t>974.850.189</w:t>
            </w:r>
          </w:p>
        </w:tc>
      </w:tr>
      <w:tr w:rsidR="00DA7CD0" w:rsidRPr="00AB2489" w14:paraId="1D015B49" w14:textId="77777777" w:rsidTr="00DA7CD0">
        <w:trPr>
          <w:trHeight w:val="312"/>
        </w:trPr>
        <w:tc>
          <w:tcPr>
            <w:tcW w:w="0" w:type="auto"/>
            <w:tcBorders>
              <w:top w:val="nil"/>
              <w:left w:val="single" w:sz="8" w:space="0" w:color="95B3D7"/>
              <w:bottom w:val="single" w:sz="8" w:space="0" w:color="95B3D7"/>
              <w:right w:val="single" w:sz="8" w:space="0" w:color="95B3D7"/>
            </w:tcBorders>
            <w:shd w:val="clear" w:color="auto" w:fill="auto"/>
            <w:noWrap/>
            <w:hideMark/>
          </w:tcPr>
          <w:p w14:paraId="2810C75B" w14:textId="3757F73E" w:rsidR="00DA7CD0" w:rsidRPr="00AB2E53" w:rsidRDefault="00DA7CD0" w:rsidP="00DA7CD0">
            <w:pPr>
              <w:spacing w:after="0" w:line="240" w:lineRule="auto"/>
              <w:rPr>
                <w:rFonts w:ascii="Arial Narrow" w:eastAsia="Times New Roman" w:hAnsi="Arial Narrow" w:cs="Times New Roman"/>
                <w:i/>
                <w:iCs/>
                <w:color w:val="000000"/>
                <w:lang w:val="bs-Latn-BA" w:eastAsia="bs-Latn-BA"/>
              </w:rPr>
            </w:pPr>
            <w:r w:rsidRPr="00445180">
              <w:rPr>
                <w:rFonts w:ascii="Arial Narrow" w:hAnsi="Arial Narrow"/>
              </w:rPr>
              <w:t xml:space="preserve">Europska </w:t>
            </w:r>
            <w:r>
              <w:rPr>
                <w:rFonts w:ascii="Arial Narrow" w:hAnsi="Arial Narrow"/>
              </w:rPr>
              <w:t>i</w:t>
            </w:r>
            <w:r w:rsidRPr="00445180">
              <w:rPr>
                <w:rFonts w:ascii="Arial Narrow" w:hAnsi="Arial Narrow"/>
              </w:rPr>
              <w:t>nvesticijska banka</w:t>
            </w:r>
          </w:p>
        </w:tc>
        <w:tc>
          <w:tcPr>
            <w:tcW w:w="0" w:type="auto"/>
            <w:tcBorders>
              <w:top w:val="nil"/>
              <w:left w:val="nil"/>
              <w:bottom w:val="single" w:sz="8" w:space="0" w:color="95B3D7"/>
              <w:right w:val="single" w:sz="8" w:space="0" w:color="95B3D7"/>
            </w:tcBorders>
            <w:shd w:val="clear" w:color="auto" w:fill="auto"/>
            <w:noWrap/>
            <w:hideMark/>
          </w:tcPr>
          <w:p w14:paraId="26BCC07B" w14:textId="77777777" w:rsidR="00DA7CD0" w:rsidRPr="00AB2E53" w:rsidRDefault="00DA7CD0" w:rsidP="00DA7CD0">
            <w:pPr>
              <w:spacing w:after="0" w:line="240" w:lineRule="auto"/>
              <w:jc w:val="right"/>
              <w:rPr>
                <w:rFonts w:ascii="Arial Narrow" w:eastAsia="Times New Roman" w:hAnsi="Arial Narrow" w:cs="Times New Roman"/>
                <w:i/>
                <w:iCs/>
                <w:color w:val="000000"/>
                <w:lang w:val="bs-Latn-BA" w:eastAsia="bs-Latn-BA"/>
              </w:rPr>
            </w:pPr>
            <w:r w:rsidRPr="00445180">
              <w:rPr>
                <w:rFonts w:ascii="Arial Narrow" w:hAnsi="Arial Narrow"/>
              </w:rPr>
              <w:t>619.964.324</w:t>
            </w:r>
          </w:p>
        </w:tc>
        <w:tc>
          <w:tcPr>
            <w:tcW w:w="0" w:type="auto"/>
            <w:tcBorders>
              <w:top w:val="nil"/>
              <w:left w:val="nil"/>
              <w:bottom w:val="single" w:sz="8" w:space="0" w:color="95B3D7"/>
              <w:right w:val="single" w:sz="8" w:space="0" w:color="95B3D7"/>
            </w:tcBorders>
            <w:shd w:val="clear" w:color="auto" w:fill="auto"/>
            <w:noWrap/>
            <w:hideMark/>
          </w:tcPr>
          <w:p w14:paraId="32310108" w14:textId="77777777" w:rsidR="00DA7CD0" w:rsidRPr="00AB2E53" w:rsidRDefault="00DA7CD0" w:rsidP="00DA7CD0">
            <w:pPr>
              <w:spacing w:after="0" w:line="240" w:lineRule="auto"/>
              <w:jc w:val="right"/>
              <w:rPr>
                <w:rFonts w:ascii="Arial Narrow" w:eastAsia="Times New Roman" w:hAnsi="Arial Narrow" w:cs="Times New Roman"/>
                <w:i/>
                <w:iCs/>
                <w:color w:val="000000"/>
                <w:lang w:val="bs-Latn-BA" w:eastAsia="bs-Latn-BA"/>
              </w:rPr>
            </w:pPr>
            <w:r w:rsidRPr="00445180">
              <w:rPr>
                <w:rFonts w:ascii="Arial Narrow" w:hAnsi="Arial Narrow"/>
              </w:rPr>
              <w:t>1.069.829.657</w:t>
            </w:r>
          </w:p>
        </w:tc>
      </w:tr>
      <w:tr w:rsidR="00DA7CD0" w:rsidRPr="00AB2489" w14:paraId="60251E6A" w14:textId="77777777" w:rsidTr="00DA7CD0">
        <w:trPr>
          <w:trHeight w:val="312"/>
        </w:trPr>
        <w:tc>
          <w:tcPr>
            <w:tcW w:w="0" w:type="auto"/>
            <w:tcBorders>
              <w:top w:val="nil"/>
              <w:left w:val="single" w:sz="8" w:space="0" w:color="95B3D7"/>
              <w:bottom w:val="single" w:sz="8" w:space="0" w:color="95B3D7"/>
              <w:right w:val="single" w:sz="8" w:space="0" w:color="95B3D7"/>
            </w:tcBorders>
            <w:shd w:val="clear" w:color="auto" w:fill="DBE5F1" w:themeFill="accent1" w:themeFillTint="33"/>
            <w:noWrap/>
            <w:hideMark/>
          </w:tcPr>
          <w:p w14:paraId="5817CF04" w14:textId="77777777" w:rsidR="00DA7CD0" w:rsidRPr="00AB2E53" w:rsidRDefault="00DA7CD0" w:rsidP="00DA7CD0">
            <w:pPr>
              <w:spacing w:after="0" w:line="240" w:lineRule="auto"/>
              <w:rPr>
                <w:rFonts w:ascii="Arial Narrow" w:eastAsia="Times New Roman" w:hAnsi="Arial Narrow" w:cs="Times New Roman"/>
                <w:i/>
                <w:iCs/>
                <w:color w:val="000000"/>
                <w:lang w:val="bs-Latn-BA" w:eastAsia="bs-Latn-BA"/>
              </w:rPr>
            </w:pPr>
            <w:r w:rsidRPr="00445180">
              <w:rPr>
                <w:rFonts w:ascii="Arial Narrow" w:hAnsi="Arial Narrow"/>
              </w:rPr>
              <w:t>Međunarodni monetarni fond</w:t>
            </w:r>
          </w:p>
        </w:tc>
        <w:tc>
          <w:tcPr>
            <w:tcW w:w="0" w:type="auto"/>
            <w:tcBorders>
              <w:top w:val="nil"/>
              <w:left w:val="nil"/>
              <w:bottom w:val="single" w:sz="8" w:space="0" w:color="95B3D7"/>
              <w:right w:val="single" w:sz="8" w:space="0" w:color="95B3D7"/>
            </w:tcBorders>
            <w:shd w:val="clear" w:color="auto" w:fill="DBE5F1" w:themeFill="accent1" w:themeFillTint="33"/>
            <w:noWrap/>
            <w:hideMark/>
          </w:tcPr>
          <w:p w14:paraId="246DC1F1" w14:textId="77777777" w:rsidR="00DA7CD0" w:rsidRPr="00AB2E53" w:rsidRDefault="00DA7CD0" w:rsidP="00DA7CD0">
            <w:pPr>
              <w:spacing w:after="0" w:line="240" w:lineRule="auto"/>
              <w:jc w:val="right"/>
              <w:rPr>
                <w:rFonts w:ascii="Arial Narrow" w:eastAsia="Times New Roman" w:hAnsi="Arial Narrow" w:cs="Times New Roman"/>
                <w:i/>
                <w:iCs/>
                <w:color w:val="000000"/>
                <w:lang w:val="bs-Latn-BA" w:eastAsia="bs-Latn-BA"/>
              </w:rPr>
            </w:pPr>
            <w:r w:rsidRPr="00445180">
              <w:rPr>
                <w:rFonts w:ascii="Arial Narrow" w:hAnsi="Arial Narrow"/>
              </w:rPr>
              <w:t>337.458.973</w:t>
            </w:r>
          </w:p>
        </w:tc>
        <w:tc>
          <w:tcPr>
            <w:tcW w:w="0" w:type="auto"/>
            <w:tcBorders>
              <w:top w:val="nil"/>
              <w:left w:val="nil"/>
              <w:bottom w:val="single" w:sz="8" w:space="0" w:color="95B3D7"/>
              <w:right w:val="single" w:sz="8" w:space="0" w:color="95B3D7"/>
            </w:tcBorders>
            <w:shd w:val="clear" w:color="auto" w:fill="DBE5F1" w:themeFill="accent1" w:themeFillTint="33"/>
            <w:noWrap/>
            <w:hideMark/>
          </w:tcPr>
          <w:p w14:paraId="21B60D33" w14:textId="77777777" w:rsidR="00DA7CD0" w:rsidRPr="00AB2E53" w:rsidRDefault="00DA7CD0" w:rsidP="00DA7CD0">
            <w:pPr>
              <w:spacing w:after="0" w:line="240" w:lineRule="auto"/>
              <w:jc w:val="right"/>
              <w:rPr>
                <w:rFonts w:ascii="Arial Narrow" w:eastAsia="Times New Roman" w:hAnsi="Arial Narrow" w:cs="Times New Roman"/>
                <w:i/>
                <w:iCs/>
                <w:color w:val="000000"/>
                <w:lang w:val="bs-Latn-BA" w:eastAsia="bs-Latn-BA"/>
              </w:rPr>
            </w:pPr>
            <w:r w:rsidRPr="00445180">
              <w:rPr>
                <w:rFonts w:ascii="Arial Narrow" w:hAnsi="Arial Narrow"/>
              </w:rPr>
              <w:t>582.329.665</w:t>
            </w:r>
          </w:p>
        </w:tc>
      </w:tr>
      <w:tr w:rsidR="00DA7CD0" w:rsidRPr="00AB2489" w14:paraId="63852E90" w14:textId="77777777" w:rsidTr="00DA7CD0">
        <w:trPr>
          <w:trHeight w:val="312"/>
        </w:trPr>
        <w:tc>
          <w:tcPr>
            <w:tcW w:w="0" w:type="auto"/>
            <w:tcBorders>
              <w:top w:val="nil"/>
              <w:left w:val="single" w:sz="8" w:space="0" w:color="95B3D7"/>
              <w:bottom w:val="single" w:sz="8" w:space="0" w:color="95B3D7"/>
              <w:right w:val="single" w:sz="8" w:space="0" w:color="95B3D7"/>
            </w:tcBorders>
            <w:shd w:val="clear" w:color="auto" w:fill="auto"/>
            <w:noWrap/>
            <w:hideMark/>
          </w:tcPr>
          <w:p w14:paraId="0B0CADE4" w14:textId="77777777" w:rsidR="00DA7CD0" w:rsidRPr="00AB2E53" w:rsidRDefault="00DA7CD0" w:rsidP="00DA7CD0">
            <w:pPr>
              <w:spacing w:after="0" w:line="240" w:lineRule="auto"/>
              <w:rPr>
                <w:rFonts w:ascii="Arial Narrow" w:eastAsia="Times New Roman" w:hAnsi="Arial Narrow" w:cs="Times New Roman"/>
                <w:i/>
                <w:iCs/>
                <w:color w:val="000000"/>
                <w:lang w:val="bs-Latn-BA" w:eastAsia="bs-Latn-BA"/>
              </w:rPr>
            </w:pPr>
            <w:r w:rsidRPr="00445180">
              <w:rPr>
                <w:rFonts w:ascii="Arial Narrow" w:hAnsi="Arial Narrow"/>
              </w:rPr>
              <w:t>EBRD</w:t>
            </w:r>
          </w:p>
        </w:tc>
        <w:tc>
          <w:tcPr>
            <w:tcW w:w="0" w:type="auto"/>
            <w:tcBorders>
              <w:top w:val="nil"/>
              <w:left w:val="nil"/>
              <w:bottom w:val="single" w:sz="8" w:space="0" w:color="95B3D7"/>
              <w:right w:val="single" w:sz="8" w:space="0" w:color="95B3D7"/>
            </w:tcBorders>
            <w:shd w:val="clear" w:color="auto" w:fill="auto"/>
            <w:noWrap/>
            <w:hideMark/>
          </w:tcPr>
          <w:p w14:paraId="0077AE18" w14:textId="77777777" w:rsidR="00DA7CD0" w:rsidRPr="00AB2E53" w:rsidRDefault="00DA7CD0" w:rsidP="00DA7CD0">
            <w:pPr>
              <w:spacing w:after="0" w:line="240" w:lineRule="auto"/>
              <w:jc w:val="right"/>
              <w:rPr>
                <w:rFonts w:ascii="Arial Narrow" w:eastAsia="Times New Roman" w:hAnsi="Arial Narrow" w:cs="Times New Roman"/>
                <w:i/>
                <w:iCs/>
                <w:color w:val="000000"/>
                <w:lang w:val="bs-Latn-BA" w:eastAsia="bs-Latn-BA"/>
              </w:rPr>
            </w:pPr>
            <w:r w:rsidRPr="00445180">
              <w:rPr>
                <w:rFonts w:ascii="Arial Narrow" w:hAnsi="Arial Narrow"/>
              </w:rPr>
              <w:t>354.611.397</w:t>
            </w:r>
          </w:p>
        </w:tc>
        <w:tc>
          <w:tcPr>
            <w:tcW w:w="0" w:type="auto"/>
            <w:tcBorders>
              <w:top w:val="nil"/>
              <w:left w:val="nil"/>
              <w:bottom w:val="single" w:sz="8" w:space="0" w:color="95B3D7"/>
              <w:right w:val="single" w:sz="8" w:space="0" w:color="95B3D7"/>
            </w:tcBorders>
            <w:shd w:val="clear" w:color="auto" w:fill="auto"/>
            <w:noWrap/>
            <w:hideMark/>
          </w:tcPr>
          <w:p w14:paraId="0A5E6CEB" w14:textId="77777777" w:rsidR="00DA7CD0" w:rsidRPr="00AB2E53" w:rsidRDefault="00DA7CD0" w:rsidP="00DA7CD0">
            <w:pPr>
              <w:spacing w:after="0" w:line="240" w:lineRule="auto"/>
              <w:jc w:val="right"/>
              <w:rPr>
                <w:rFonts w:ascii="Arial Narrow" w:eastAsia="Times New Roman" w:hAnsi="Arial Narrow" w:cs="Times New Roman"/>
                <w:i/>
                <w:iCs/>
                <w:color w:val="000000"/>
                <w:lang w:val="bs-Latn-BA" w:eastAsia="bs-Latn-BA"/>
              </w:rPr>
            </w:pPr>
            <w:r w:rsidRPr="00445180">
              <w:rPr>
                <w:rFonts w:ascii="Arial Narrow" w:hAnsi="Arial Narrow"/>
              </w:rPr>
              <w:t>611.928.420</w:t>
            </w:r>
          </w:p>
        </w:tc>
      </w:tr>
      <w:tr w:rsidR="00DA7CD0" w:rsidRPr="00AB2489" w14:paraId="2E6647F0" w14:textId="77777777" w:rsidTr="00DA7CD0">
        <w:trPr>
          <w:trHeight w:val="312"/>
        </w:trPr>
        <w:tc>
          <w:tcPr>
            <w:tcW w:w="0" w:type="auto"/>
            <w:tcBorders>
              <w:top w:val="nil"/>
              <w:left w:val="single" w:sz="8" w:space="0" w:color="95B3D7"/>
              <w:bottom w:val="single" w:sz="8" w:space="0" w:color="95B3D7"/>
              <w:right w:val="single" w:sz="8" w:space="0" w:color="95B3D7"/>
            </w:tcBorders>
            <w:shd w:val="clear" w:color="auto" w:fill="DBE5F1" w:themeFill="accent1" w:themeFillTint="33"/>
            <w:noWrap/>
            <w:hideMark/>
          </w:tcPr>
          <w:p w14:paraId="075842B0" w14:textId="77777777" w:rsidR="00DA7CD0" w:rsidRPr="00AB2E53" w:rsidRDefault="00DA7CD0" w:rsidP="00DA7CD0">
            <w:pPr>
              <w:spacing w:after="0" w:line="240" w:lineRule="auto"/>
              <w:rPr>
                <w:rFonts w:ascii="Arial Narrow" w:eastAsia="Times New Roman" w:hAnsi="Arial Narrow" w:cs="Times New Roman"/>
                <w:i/>
                <w:iCs/>
                <w:color w:val="000000"/>
                <w:lang w:val="bs-Latn-BA" w:eastAsia="bs-Latn-BA"/>
              </w:rPr>
            </w:pPr>
            <w:r w:rsidRPr="00445180">
              <w:rPr>
                <w:rFonts w:ascii="Arial Narrow" w:hAnsi="Arial Narrow"/>
              </w:rPr>
              <w:t>Pariški klub</w:t>
            </w:r>
          </w:p>
        </w:tc>
        <w:tc>
          <w:tcPr>
            <w:tcW w:w="0" w:type="auto"/>
            <w:tcBorders>
              <w:top w:val="nil"/>
              <w:left w:val="nil"/>
              <w:bottom w:val="single" w:sz="8" w:space="0" w:color="95B3D7"/>
              <w:right w:val="single" w:sz="8" w:space="0" w:color="95B3D7"/>
            </w:tcBorders>
            <w:shd w:val="clear" w:color="auto" w:fill="DBE5F1" w:themeFill="accent1" w:themeFillTint="33"/>
            <w:noWrap/>
            <w:hideMark/>
          </w:tcPr>
          <w:p w14:paraId="6003192D" w14:textId="77777777" w:rsidR="00DA7CD0" w:rsidRPr="00AB2E53" w:rsidRDefault="00DA7CD0" w:rsidP="00DA7CD0">
            <w:pPr>
              <w:spacing w:after="0" w:line="240" w:lineRule="auto"/>
              <w:jc w:val="right"/>
              <w:rPr>
                <w:rFonts w:ascii="Arial Narrow" w:eastAsia="Times New Roman" w:hAnsi="Arial Narrow" w:cs="Times New Roman"/>
                <w:i/>
                <w:iCs/>
                <w:color w:val="000000"/>
                <w:lang w:val="bs-Latn-BA" w:eastAsia="bs-Latn-BA"/>
              </w:rPr>
            </w:pPr>
            <w:r w:rsidRPr="00445180">
              <w:rPr>
                <w:rFonts w:ascii="Arial Narrow" w:hAnsi="Arial Narrow"/>
              </w:rPr>
              <w:t>195.521.969</w:t>
            </w:r>
          </w:p>
        </w:tc>
        <w:tc>
          <w:tcPr>
            <w:tcW w:w="0" w:type="auto"/>
            <w:tcBorders>
              <w:top w:val="nil"/>
              <w:left w:val="nil"/>
              <w:bottom w:val="single" w:sz="8" w:space="0" w:color="95B3D7"/>
              <w:right w:val="single" w:sz="8" w:space="0" w:color="95B3D7"/>
            </w:tcBorders>
            <w:shd w:val="clear" w:color="auto" w:fill="DBE5F1" w:themeFill="accent1" w:themeFillTint="33"/>
            <w:noWrap/>
            <w:hideMark/>
          </w:tcPr>
          <w:p w14:paraId="71E9B8DF" w14:textId="77777777" w:rsidR="00DA7CD0" w:rsidRPr="00AB2E53" w:rsidRDefault="00DA7CD0" w:rsidP="00DA7CD0">
            <w:pPr>
              <w:spacing w:after="0" w:line="240" w:lineRule="auto"/>
              <w:jc w:val="right"/>
              <w:rPr>
                <w:rFonts w:ascii="Arial Narrow" w:eastAsia="Times New Roman" w:hAnsi="Arial Narrow" w:cs="Times New Roman"/>
                <w:i/>
                <w:iCs/>
                <w:color w:val="000000"/>
                <w:lang w:val="bs-Latn-BA" w:eastAsia="bs-Latn-BA"/>
              </w:rPr>
            </w:pPr>
            <w:r w:rsidRPr="00445180">
              <w:rPr>
                <w:rFonts w:ascii="Arial Narrow" w:hAnsi="Arial Narrow"/>
              </w:rPr>
              <w:t>337.398.771</w:t>
            </w:r>
          </w:p>
        </w:tc>
      </w:tr>
      <w:tr w:rsidR="00DA7CD0" w:rsidRPr="00AB2489" w14:paraId="7969F040" w14:textId="77777777" w:rsidTr="00DA7CD0">
        <w:trPr>
          <w:trHeight w:val="312"/>
        </w:trPr>
        <w:tc>
          <w:tcPr>
            <w:tcW w:w="0" w:type="auto"/>
            <w:tcBorders>
              <w:top w:val="nil"/>
              <w:left w:val="single" w:sz="8" w:space="0" w:color="95B3D7"/>
              <w:bottom w:val="single" w:sz="8" w:space="0" w:color="95B3D7"/>
              <w:right w:val="single" w:sz="8" w:space="0" w:color="95B3D7"/>
            </w:tcBorders>
            <w:shd w:val="clear" w:color="auto" w:fill="auto"/>
            <w:noWrap/>
            <w:hideMark/>
          </w:tcPr>
          <w:p w14:paraId="24E27EA8" w14:textId="77777777" w:rsidR="00DA7CD0" w:rsidRPr="00AB2E53" w:rsidRDefault="00DA7CD0" w:rsidP="00DA7CD0">
            <w:pPr>
              <w:spacing w:after="0" w:line="240" w:lineRule="auto"/>
              <w:rPr>
                <w:rFonts w:ascii="Arial Narrow" w:eastAsia="Times New Roman" w:hAnsi="Arial Narrow" w:cs="Times New Roman"/>
                <w:i/>
                <w:iCs/>
                <w:color w:val="000000"/>
                <w:lang w:val="bs-Latn-BA" w:eastAsia="bs-Latn-BA"/>
              </w:rPr>
            </w:pPr>
            <w:r w:rsidRPr="00445180">
              <w:rPr>
                <w:rFonts w:ascii="Arial Narrow" w:hAnsi="Arial Narrow"/>
              </w:rPr>
              <w:t>Svjetska banka  (WB IBRD)</w:t>
            </w:r>
          </w:p>
        </w:tc>
        <w:tc>
          <w:tcPr>
            <w:tcW w:w="0" w:type="auto"/>
            <w:tcBorders>
              <w:top w:val="nil"/>
              <w:left w:val="nil"/>
              <w:bottom w:val="single" w:sz="8" w:space="0" w:color="95B3D7"/>
              <w:right w:val="single" w:sz="8" w:space="0" w:color="95B3D7"/>
            </w:tcBorders>
            <w:shd w:val="clear" w:color="auto" w:fill="auto"/>
            <w:noWrap/>
            <w:hideMark/>
          </w:tcPr>
          <w:p w14:paraId="2021BCEA" w14:textId="77777777" w:rsidR="00DA7CD0" w:rsidRPr="00AB2E53" w:rsidRDefault="00DA7CD0" w:rsidP="00DA7CD0">
            <w:pPr>
              <w:spacing w:after="0" w:line="240" w:lineRule="auto"/>
              <w:jc w:val="right"/>
              <w:rPr>
                <w:rFonts w:ascii="Arial Narrow" w:eastAsia="Times New Roman" w:hAnsi="Arial Narrow" w:cs="Times New Roman"/>
                <w:i/>
                <w:iCs/>
                <w:color w:val="000000"/>
                <w:lang w:val="bs-Latn-BA" w:eastAsia="bs-Latn-BA"/>
              </w:rPr>
            </w:pPr>
            <w:r w:rsidRPr="00445180">
              <w:rPr>
                <w:rFonts w:ascii="Arial Narrow" w:hAnsi="Arial Narrow"/>
              </w:rPr>
              <w:t>390.854.459</w:t>
            </w:r>
          </w:p>
        </w:tc>
        <w:tc>
          <w:tcPr>
            <w:tcW w:w="0" w:type="auto"/>
            <w:tcBorders>
              <w:top w:val="nil"/>
              <w:left w:val="nil"/>
              <w:bottom w:val="single" w:sz="8" w:space="0" w:color="95B3D7"/>
              <w:right w:val="single" w:sz="8" w:space="0" w:color="95B3D7"/>
            </w:tcBorders>
            <w:shd w:val="clear" w:color="auto" w:fill="auto"/>
            <w:noWrap/>
            <w:hideMark/>
          </w:tcPr>
          <w:p w14:paraId="4959143B" w14:textId="77777777" w:rsidR="00DA7CD0" w:rsidRPr="00AB2E53" w:rsidRDefault="00DA7CD0" w:rsidP="00DA7CD0">
            <w:pPr>
              <w:spacing w:after="0" w:line="240" w:lineRule="auto"/>
              <w:jc w:val="right"/>
              <w:rPr>
                <w:rFonts w:ascii="Arial Narrow" w:eastAsia="Times New Roman" w:hAnsi="Arial Narrow" w:cs="Times New Roman"/>
                <w:i/>
                <w:iCs/>
                <w:color w:val="000000"/>
                <w:lang w:val="bs-Latn-BA" w:eastAsia="bs-Latn-BA"/>
              </w:rPr>
            </w:pPr>
            <w:r w:rsidRPr="00445180">
              <w:rPr>
                <w:rFonts w:ascii="Arial Narrow" w:hAnsi="Arial Narrow"/>
              </w:rPr>
              <w:t>674.470.570</w:t>
            </w:r>
          </w:p>
        </w:tc>
      </w:tr>
      <w:tr w:rsidR="00DA7CD0" w:rsidRPr="00AB2489" w14:paraId="6F75A2E2" w14:textId="77777777" w:rsidTr="00DA7CD0">
        <w:trPr>
          <w:trHeight w:val="312"/>
        </w:trPr>
        <w:tc>
          <w:tcPr>
            <w:tcW w:w="0" w:type="auto"/>
            <w:tcBorders>
              <w:top w:val="nil"/>
              <w:left w:val="single" w:sz="8" w:space="0" w:color="95B3D7"/>
              <w:bottom w:val="single" w:sz="8" w:space="0" w:color="95B3D7"/>
              <w:right w:val="single" w:sz="8" w:space="0" w:color="95B3D7"/>
            </w:tcBorders>
            <w:shd w:val="clear" w:color="auto" w:fill="DBE5F1" w:themeFill="accent1" w:themeFillTint="33"/>
            <w:noWrap/>
            <w:hideMark/>
          </w:tcPr>
          <w:p w14:paraId="7032B8C4" w14:textId="77441983" w:rsidR="00DA7CD0" w:rsidRPr="00445180" w:rsidRDefault="00DA7CD0" w:rsidP="00DA7CD0">
            <w:pPr>
              <w:spacing w:after="0" w:line="240" w:lineRule="auto"/>
              <w:rPr>
                <w:rFonts w:ascii="Arial Narrow" w:hAnsi="Arial Narrow"/>
              </w:rPr>
            </w:pPr>
            <w:r w:rsidRPr="00445180">
              <w:rPr>
                <w:rFonts w:ascii="Arial Narrow" w:hAnsi="Arial Narrow"/>
              </w:rPr>
              <w:t xml:space="preserve">Europska </w:t>
            </w:r>
            <w:r>
              <w:rPr>
                <w:rFonts w:ascii="Arial Narrow" w:hAnsi="Arial Narrow"/>
              </w:rPr>
              <w:t>k</w:t>
            </w:r>
            <w:r w:rsidRPr="00445180">
              <w:rPr>
                <w:rFonts w:ascii="Arial Narrow" w:hAnsi="Arial Narrow"/>
              </w:rPr>
              <w:t>omisija</w:t>
            </w:r>
          </w:p>
        </w:tc>
        <w:tc>
          <w:tcPr>
            <w:tcW w:w="0" w:type="auto"/>
            <w:tcBorders>
              <w:top w:val="nil"/>
              <w:left w:val="nil"/>
              <w:bottom w:val="single" w:sz="8" w:space="0" w:color="95B3D7"/>
              <w:right w:val="single" w:sz="8" w:space="0" w:color="95B3D7"/>
            </w:tcBorders>
            <w:shd w:val="clear" w:color="auto" w:fill="DBE5F1" w:themeFill="accent1" w:themeFillTint="33"/>
            <w:noWrap/>
            <w:hideMark/>
          </w:tcPr>
          <w:p w14:paraId="64E7183C" w14:textId="77777777" w:rsidR="00DA7CD0" w:rsidRPr="00AB2E53" w:rsidRDefault="00DA7CD0" w:rsidP="00DA7CD0">
            <w:pPr>
              <w:spacing w:after="0" w:line="240" w:lineRule="auto"/>
              <w:jc w:val="right"/>
              <w:rPr>
                <w:rFonts w:ascii="Arial Narrow" w:eastAsia="Times New Roman" w:hAnsi="Arial Narrow" w:cs="Times New Roman"/>
                <w:i/>
                <w:iCs/>
                <w:color w:val="000000"/>
                <w:lang w:val="bs-Latn-BA" w:eastAsia="bs-Latn-BA"/>
              </w:rPr>
            </w:pPr>
            <w:r w:rsidRPr="00445180">
              <w:rPr>
                <w:rFonts w:ascii="Arial Narrow" w:hAnsi="Arial Narrow"/>
              </w:rPr>
              <w:t>134.732.913</w:t>
            </w:r>
          </w:p>
        </w:tc>
        <w:tc>
          <w:tcPr>
            <w:tcW w:w="0" w:type="auto"/>
            <w:tcBorders>
              <w:top w:val="nil"/>
              <w:left w:val="nil"/>
              <w:bottom w:val="single" w:sz="8" w:space="0" w:color="95B3D7"/>
              <w:right w:val="single" w:sz="8" w:space="0" w:color="95B3D7"/>
            </w:tcBorders>
            <w:shd w:val="clear" w:color="auto" w:fill="DBE5F1" w:themeFill="accent1" w:themeFillTint="33"/>
            <w:noWrap/>
            <w:hideMark/>
          </w:tcPr>
          <w:p w14:paraId="10999855" w14:textId="77777777" w:rsidR="00DA7CD0" w:rsidRPr="00AB2E53" w:rsidRDefault="00DA7CD0" w:rsidP="00DA7CD0">
            <w:pPr>
              <w:spacing w:after="0" w:line="240" w:lineRule="auto"/>
              <w:jc w:val="right"/>
              <w:rPr>
                <w:rFonts w:ascii="Arial Narrow" w:eastAsia="Times New Roman" w:hAnsi="Arial Narrow" w:cs="Times New Roman"/>
                <w:i/>
                <w:iCs/>
                <w:color w:val="000000"/>
                <w:lang w:val="bs-Latn-BA" w:eastAsia="bs-Latn-BA"/>
              </w:rPr>
            </w:pPr>
            <w:r w:rsidRPr="00445180">
              <w:rPr>
                <w:rFonts w:ascii="Arial Narrow" w:hAnsi="Arial Narrow"/>
              </w:rPr>
              <w:t>232.499.291</w:t>
            </w:r>
          </w:p>
        </w:tc>
      </w:tr>
      <w:tr w:rsidR="00DA7CD0" w:rsidRPr="00AB2489" w14:paraId="41685DF2" w14:textId="77777777" w:rsidTr="00DA7CD0">
        <w:trPr>
          <w:trHeight w:val="312"/>
        </w:trPr>
        <w:tc>
          <w:tcPr>
            <w:tcW w:w="0" w:type="auto"/>
            <w:tcBorders>
              <w:top w:val="nil"/>
              <w:left w:val="single" w:sz="8" w:space="0" w:color="95B3D7"/>
              <w:bottom w:val="single" w:sz="8" w:space="0" w:color="95B3D7"/>
              <w:right w:val="single" w:sz="8" w:space="0" w:color="95B3D7"/>
            </w:tcBorders>
            <w:shd w:val="clear" w:color="auto" w:fill="auto"/>
            <w:noWrap/>
            <w:hideMark/>
          </w:tcPr>
          <w:p w14:paraId="0EF6A62D" w14:textId="77777777" w:rsidR="00DA7CD0" w:rsidRPr="00AB2E53" w:rsidRDefault="00DA7CD0" w:rsidP="00DA7CD0">
            <w:pPr>
              <w:spacing w:after="0" w:line="240" w:lineRule="auto"/>
              <w:rPr>
                <w:rFonts w:ascii="Arial Narrow" w:eastAsia="Times New Roman" w:hAnsi="Arial Narrow" w:cs="Times New Roman"/>
                <w:i/>
                <w:iCs/>
                <w:color w:val="000000"/>
                <w:lang w:val="bs-Latn-BA" w:eastAsia="bs-Latn-BA"/>
              </w:rPr>
            </w:pPr>
            <w:r w:rsidRPr="00445180">
              <w:rPr>
                <w:rFonts w:ascii="Arial Narrow" w:hAnsi="Arial Narrow"/>
              </w:rPr>
              <w:t>Vlada Kraljevine Španjolske</w:t>
            </w:r>
          </w:p>
        </w:tc>
        <w:tc>
          <w:tcPr>
            <w:tcW w:w="0" w:type="auto"/>
            <w:tcBorders>
              <w:top w:val="nil"/>
              <w:left w:val="nil"/>
              <w:bottom w:val="single" w:sz="8" w:space="0" w:color="95B3D7"/>
              <w:right w:val="single" w:sz="8" w:space="0" w:color="95B3D7"/>
            </w:tcBorders>
            <w:shd w:val="clear" w:color="auto" w:fill="auto"/>
            <w:noWrap/>
            <w:hideMark/>
          </w:tcPr>
          <w:p w14:paraId="2751B962" w14:textId="77777777" w:rsidR="00DA7CD0" w:rsidRPr="00AB2E53" w:rsidRDefault="00DA7CD0" w:rsidP="00DA7CD0">
            <w:pPr>
              <w:spacing w:after="0" w:line="240" w:lineRule="auto"/>
              <w:jc w:val="right"/>
              <w:rPr>
                <w:rFonts w:ascii="Arial Narrow" w:eastAsia="Times New Roman" w:hAnsi="Arial Narrow" w:cs="Times New Roman"/>
                <w:i/>
                <w:iCs/>
                <w:color w:val="000000"/>
                <w:lang w:val="bs-Latn-BA" w:eastAsia="bs-Latn-BA"/>
              </w:rPr>
            </w:pPr>
            <w:r w:rsidRPr="00445180">
              <w:rPr>
                <w:rFonts w:ascii="Arial Narrow" w:hAnsi="Arial Narrow"/>
              </w:rPr>
              <w:t>36.737.546</w:t>
            </w:r>
          </w:p>
        </w:tc>
        <w:tc>
          <w:tcPr>
            <w:tcW w:w="0" w:type="auto"/>
            <w:tcBorders>
              <w:top w:val="nil"/>
              <w:left w:val="nil"/>
              <w:bottom w:val="single" w:sz="8" w:space="0" w:color="95B3D7"/>
              <w:right w:val="single" w:sz="8" w:space="0" w:color="95B3D7"/>
            </w:tcBorders>
            <w:shd w:val="clear" w:color="auto" w:fill="auto"/>
            <w:noWrap/>
            <w:hideMark/>
          </w:tcPr>
          <w:p w14:paraId="05419E73" w14:textId="77777777" w:rsidR="00DA7CD0" w:rsidRPr="00AB2E53" w:rsidRDefault="00DA7CD0" w:rsidP="00DA7CD0">
            <w:pPr>
              <w:spacing w:after="0" w:line="240" w:lineRule="auto"/>
              <w:jc w:val="right"/>
              <w:rPr>
                <w:rFonts w:ascii="Arial Narrow" w:eastAsia="Times New Roman" w:hAnsi="Arial Narrow" w:cs="Times New Roman"/>
                <w:i/>
                <w:iCs/>
                <w:color w:val="000000"/>
                <w:lang w:val="bs-Latn-BA" w:eastAsia="bs-Latn-BA"/>
              </w:rPr>
            </w:pPr>
            <w:r w:rsidRPr="00445180">
              <w:rPr>
                <w:rFonts w:ascii="Arial Narrow" w:hAnsi="Arial Narrow"/>
              </w:rPr>
              <w:t>63.395.448</w:t>
            </w:r>
          </w:p>
        </w:tc>
      </w:tr>
      <w:tr w:rsidR="00DA7CD0" w:rsidRPr="00AB2489" w14:paraId="6250A691" w14:textId="77777777" w:rsidTr="00DA7CD0">
        <w:trPr>
          <w:trHeight w:val="312"/>
        </w:trPr>
        <w:tc>
          <w:tcPr>
            <w:tcW w:w="0" w:type="auto"/>
            <w:tcBorders>
              <w:top w:val="nil"/>
              <w:left w:val="single" w:sz="8" w:space="0" w:color="95B3D7"/>
              <w:bottom w:val="single" w:sz="8" w:space="0" w:color="95B3D7"/>
              <w:right w:val="single" w:sz="8" w:space="0" w:color="95B3D7"/>
            </w:tcBorders>
            <w:shd w:val="clear" w:color="auto" w:fill="DBE5F1" w:themeFill="accent1" w:themeFillTint="33"/>
            <w:noWrap/>
            <w:hideMark/>
          </w:tcPr>
          <w:p w14:paraId="5BE8E148" w14:textId="77777777" w:rsidR="00DA7CD0" w:rsidRPr="00AB2E53" w:rsidRDefault="00DA7CD0" w:rsidP="00DA7CD0">
            <w:pPr>
              <w:spacing w:after="0" w:line="240" w:lineRule="auto"/>
              <w:rPr>
                <w:rFonts w:ascii="Arial Narrow" w:eastAsia="Times New Roman" w:hAnsi="Arial Narrow" w:cs="Times New Roman"/>
                <w:i/>
                <w:iCs/>
                <w:color w:val="000000"/>
                <w:lang w:val="bs-Latn-BA" w:eastAsia="bs-Latn-BA"/>
              </w:rPr>
            </w:pPr>
            <w:r w:rsidRPr="00445180">
              <w:rPr>
                <w:rFonts w:ascii="Arial Narrow" w:hAnsi="Arial Narrow"/>
              </w:rPr>
              <w:t>Ostali kreditori</w:t>
            </w:r>
          </w:p>
        </w:tc>
        <w:tc>
          <w:tcPr>
            <w:tcW w:w="0" w:type="auto"/>
            <w:tcBorders>
              <w:top w:val="nil"/>
              <w:left w:val="nil"/>
              <w:bottom w:val="single" w:sz="8" w:space="0" w:color="95B3D7"/>
              <w:right w:val="single" w:sz="8" w:space="0" w:color="95B3D7"/>
            </w:tcBorders>
            <w:shd w:val="clear" w:color="auto" w:fill="DBE5F1" w:themeFill="accent1" w:themeFillTint="33"/>
            <w:noWrap/>
            <w:hideMark/>
          </w:tcPr>
          <w:p w14:paraId="1017753B" w14:textId="77777777" w:rsidR="00DA7CD0" w:rsidRPr="00AB2E53" w:rsidRDefault="00DA7CD0" w:rsidP="00DA7CD0">
            <w:pPr>
              <w:spacing w:after="0" w:line="240" w:lineRule="auto"/>
              <w:jc w:val="right"/>
              <w:rPr>
                <w:rFonts w:ascii="Arial Narrow" w:eastAsia="Times New Roman" w:hAnsi="Arial Narrow" w:cs="Times New Roman"/>
                <w:i/>
                <w:iCs/>
                <w:color w:val="000000"/>
                <w:lang w:val="bs-Latn-BA" w:eastAsia="bs-Latn-BA"/>
              </w:rPr>
            </w:pPr>
            <w:r w:rsidRPr="00445180">
              <w:rPr>
                <w:rFonts w:ascii="Arial Narrow" w:hAnsi="Arial Narrow"/>
              </w:rPr>
              <w:t>495.646.843</w:t>
            </w:r>
          </w:p>
        </w:tc>
        <w:tc>
          <w:tcPr>
            <w:tcW w:w="0" w:type="auto"/>
            <w:tcBorders>
              <w:top w:val="nil"/>
              <w:left w:val="nil"/>
              <w:bottom w:val="single" w:sz="8" w:space="0" w:color="95B3D7"/>
              <w:right w:val="single" w:sz="8" w:space="0" w:color="95B3D7"/>
            </w:tcBorders>
            <w:shd w:val="clear" w:color="auto" w:fill="DBE5F1" w:themeFill="accent1" w:themeFillTint="33"/>
            <w:noWrap/>
            <w:hideMark/>
          </w:tcPr>
          <w:p w14:paraId="6EF90563" w14:textId="77777777" w:rsidR="00DA7CD0" w:rsidRPr="00AB2E53" w:rsidRDefault="00DA7CD0" w:rsidP="00DA7CD0">
            <w:pPr>
              <w:spacing w:after="0" w:line="240" w:lineRule="auto"/>
              <w:jc w:val="right"/>
              <w:rPr>
                <w:rFonts w:ascii="Arial Narrow" w:eastAsia="Times New Roman" w:hAnsi="Arial Narrow" w:cs="Times New Roman"/>
                <w:i/>
                <w:iCs/>
                <w:color w:val="000000"/>
                <w:lang w:val="bs-Latn-BA" w:eastAsia="bs-Latn-BA"/>
              </w:rPr>
            </w:pPr>
            <w:r w:rsidRPr="00445180">
              <w:rPr>
                <w:rFonts w:ascii="Arial Narrow" w:hAnsi="Arial Narrow"/>
              </w:rPr>
              <w:t>855.303.557</w:t>
            </w:r>
          </w:p>
        </w:tc>
      </w:tr>
      <w:tr w:rsidR="00DA7CD0" w:rsidRPr="00AB2489" w14:paraId="2894AB0E" w14:textId="77777777" w:rsidTr="00DA7CD0">
        <w:trPr>
          <w:trHeight w:val="312"/>
        </w:trPr>
        <w:tc>
          <w:tcPr>
            <w:tcW w:w="0" w:type="auto"/>
            <w:tcBorders>
              <w:top w:val="nil"/>
              <w:left w:val="single" w:sz="8" w:space="0" w:color="95B3D7"/>
              <w:bottom w:val="single" w:sz="8" w:space="0" w:color="95B3D7"/>
              <w:right w:val="single" w:sz="8" w:space="0" w:color="95B3D7"/>
            </w:tcBorders>
            <w:shd w:val="clear" w:color="auto" w:fill="auto"/>
            <w:noWrap/>
            <w:hideMark/>
          </w:tcPr>
          <w:p w14:paraId="4B12EF67" w14:textId="77777777" w:rsidR="00DA7CD0" w:rsidRPr="00AB2E53" w:rsidRDefault="00DA7CD0" w:rsidP="00DA7CD0">
            <w:pPr>
              <w:spacing w:after="0" w:line="240" w:lineRule="auto"/>
              <w:rPr>
                <w:rFonts w:ascii="Arial Narrow" w:eastAsia="Times New Roman" w:hAnsi="Arial Narrow" w:cs="Times New Roman"/>
                <w:i/>
                <w:iCs/>
                <w:color w:val="000000"/>
                <w:lang w:val="bs-Latn-BA" w:eastAsia="bs-Latn-BA"/>
              </w:rPr>
            </w:pPr>
            <w:r w:rsidRPr="00445180">
              <w:rPr>
                <w:rFonts w:ascii="Arial Narrow" w:hAnsi="Arial Narrow"/>
              </w:rPr>
              <w:t>Ukupno</w:t>
            </w:r>
          </w:p>
        </w:tc>
        <w:tc>
          <w:tcPr>
            <w:tcW w:w="0" w:type="auto"/>
            <w:tcBorders>
              <w:top w:val="nil"/>
              <w:left w:val="nil"/>
              <w:bottom w:val="single" w:sz="8" w:space="0" w:color="95B3D7"/>
              <w:right w:val="single" w:sz="8" w:space="0" w:color="95B3D7"/>
            </w:tcBorders>
            <w:shd w:val="clear" w:color="auto" w:fill="auto"/>
            <w:noWrap/>
            <w:hideMark/>
          </w:tcPr>
          <w:p w14:paraId="30771D62" w14:textId="77777777" w:rsidR="00DA7CD0" w:rsidRPr="00AB2E53" w:rsidRDefault="00DA7CD0" w:rsidP="00DA7CD0">
            <w:pPr>
              <w:spacing w:after="0" w:line="240" w:lineRule="auto"/>
              <w:jc w:val="right"/>
              <w:rPr>
                <w:rFonts w:ascii="Arial Narrow" w:eastAsia="Times New Roman" w:hAnsi="Arial Narrow" w:cs="Times New Roman"/>
                <w:i/>
                <w:iCs/>
                <w:color w:val="000000"/>
                <w:lang w:val="bs-Latn-BA" w:eastAsia="bs-Latn-BA"/>
              </w:rPr>
            </w:pPr>
            <w:r w:rsidRPr="00445180">
              <w:rPr>
                <w:rFonts w:ascii="Arial Narrow" w:hAnsi="Arial Narrow"/>
              </w:rPr>
              <w:t>3.130.452.321</w:t>
            </w:r>
          </w:p>
        </w:tc>
        <w:tc>
          <w:tcPr>
            <w:tcW w:w="0" w:type="auto"/>
            <w:tcBorders>
              <w:top w:val="nil"/>
              <w:left w:val="nil"/>
              <w:bottom w:val="single" w:sz="8" w:space="0" w:color="95B3D7"/>
              <w:right w:val="single" w:sz="8" w:space="0" w:color="95B3D7"/>
            </w:tcBorders>
            <w:shd w:val="clear" w:color="auto" w:fill="auto"/>
            <w:noWrap/>
            <w:hideMark/>
          </w:tcPr>
          <w:p w14:paraId="64AEFFB5" w14:textId="77777777" w:rsidR="00DA7CD0" w:rsidRPr="00AB2E53" w:rsidRDefault="00DA7CD0" w:rsidP="00DA7CD0">
            <w:pPr>
              <w:spacing w:after="0" w:line="240" w:lineRule="auto"/>
              <w:jc w:val="right"/>
              <w:rPr>
                <w:rFonts w:ascii="Arial Narrow" w:eastAsia="Times New Roman" w:hAnsi="Arial Narrow" w:cs="Times New Roman"/>
                <w:i/>
                <w:iCs/>
                <w:color w:val="000000"/>
                <w:lang w:val="bs-Latn-BA" w:eastAsia="bs-Latn-BA"/>
              </w:rPr>
            </w:pPr>
            <w:r w:rsidRPr="00445180">
              <w:rPr>
                <w:rFonts w:ascii="Arial Narrow" w:hAnsi="Arial Narrow"/>
              </w:rPr>
              <w:t>5.402.005.569</w:t>
            </w:r>
          </w:p>
        </w:tc>
      </w:tr>
    </w:tbl>
    <w:p w14:paraId="13BC6D3F" w14:textId="0D51429E" w:rsidR="006B2DC8" w:rsidRDefault="006B2DC8" w:rsidP="00ED768D">
      <w:pPr>
        <w:spacing w:after="0"/>
        <w:jc w:val="both"/>
        <w:rPr>
          <w:noProof/>
          <w:lang w:val="en-US"/>
        </w:rPr>
      </w:pPr>
    </w:p>
    <w:p w14:paraId="017554CF" w14:textId="2064AE9A" w:rsidR="00DA7CD0" w:rsidRDefault="00DA7CD0" w:rsidP="00ED768D">
      <w:pPr>
        <w:spacing w:after="0"/>
        <w:jc w:val="both"/>
        <w:rPr>
          <w:noProof/>
          <w:lang w:val="en-US"/>
        </w:rPr>
      </w:pPr>
    </w:p>
    <w:p w14:paraId="518B19BE" w14:textId="2155A9E8" w:rsidR="00DA7CD0" w:rsidRDefault="00DA7CD0" w:rsidP="00ED768D">
      <w:pPr>
        <w:spacing w:after="0"/>
        <w:jc w:val="both"/>
        <w:rPr>
          <w:noProof/>
          <w:lang w:val="en-US"/>
        </w:rPr>
      </w:pPr>
    </w:p>
    <w:p w14:paraId="6E63EA3E" w14:textId="2249782C" w:rsidR="00DA7CD0" w:rsidRDefault="00DA7CD0" w:rsidP="00ED768D">
      <w:pPr>
        <w:spacing w:after="0"/>
        <w:jc w:val="both"/>
        <w:rPr>
          <w:noProof/>
          <w:lang w:val="en-US"/>
        </w:rPr>
      </w:pPr>
    </w:p>
    <w:p w14:paraId="779401BA" w14:textId="048427AD" w:rsidR="00DA7CD0" w:rsidRDefault="00DA7CD0" w:rsidP="00ED768D">
      <w:pPr>
        <w:spacing w:after="0"/>
        <w:jc w:val="both"/>
        <w:rPr>
          <w:noProof/>
          <w:lang w:val="en-US"/>
        </w:rPr>
      </w:pPr>
    </w:p>
    <w:p w14:paraId="5CF2BF8F" w14:textId="16261C89" w:rsidR="00DA7CD0" w:rsidRDefault="00DA7CD0" w:rsidP="00ED768D">
      <w:pPr>
        <w:spacing w:after="0"/>
        <w:jc w:val="both"/>
        <w:rPr>
          <w:noProof/>
          <w:lang w:val="en-US"/>
        </w:rPr>
      </w:pPr>
    </w:p>
    <w:p w14:paraId="4F217B2D" w14:textId="0D341343" w:rsidR="00DA7CD0" w:rsidRDefault="00DA7CD0" w:rsidP="00ED768D">
      <w:pPr>
        <w:spacing w:after="0"/>
        <w:jc w:val="both"/>
        <w:rPr>
          <w:noProof/>
          <w:lang w:val="en-US"/>
        </w:rPr>
      </w:pPr>
    </w:p>
    <w:p w14:paraId="21D3AA36" w14:textId="0F25D7C3" w:rsidR="00DA7CD0" w:rsidRDefault="00DA7CD0" w:rsidP="00ED768D">
      <w:pPr>
        <w:spacing w:after="0"/>
        <w:jc w:val="both"/>
        <w:rPr>
          <w:noProof/>
          <w:lang w:val="en-US"/>
        </w:rPr>
      </w:pPr>
    </w:p>
    <w:p w14:paraId="39D2FBC7" w14:textId="49E9614B" w:rsidR="00DA7CD0" w:rsidRDefault="00DA7CD0" w:rsidP="00ED768D">
      <w:pPr>
        <w:spacing w:after="0"/>
        <w:jc w:val="both"/>
        <w:rPr>
          <w:noProof/>
          <w:lang w:val="en-US"/>
        </w:rPr>
      </w:pPr>
    </w:p>
    <w:p w14:paraId="194647A6" w14:textId="33DC92FB" w:rsidR="00DA7CD0" w:rsidRDefault="00DA7CD0" w:rsidP="00ED768D">
      <w:pPr>
        <w:spacing w:after="0"/>
        <w:jc w:val="both"/>
        <w:rPr>
          <w:noProof/>
          <w:lang w:val="en-US"/>
        </w:rPr>
      </w:pPr>
    </w:p>
    <w:p w14:paraId="2FFF64A0" w14:textId="54E295CC" w:rsidR="00DA7CD0" w:rsidRDefault="00DA7CD0" w:rsidP="00ED768D">
      <w:pPr>
        <w:spacing w:after="0"/>
        <w:jc w:val="both"/>
        <w:rPr>
          <w:noProof/>
          <w:lang w:val="en-US"/>
        </w:rPr>
      </w:pPr>
    </w:p>
    <w:p w14:paraId="1399A7B4" w14:textId="6E5B2A34" w:rsidR="00DA7CD0" w:rsidRDefault="00DA7CD0" w:rsidP="00ED768D">
      <w:pPr>
        <w:spacing w:after="0"/>
        <w:jc w:val="both"/>
        <w:rPr>
          <w:noProof/>
          <w:lang w:val="en-US"/>
        </w:rPr>
      </w:pPr>
    </w:p>
    <w:p w14:paraId="3A6F0826" w14:textId="731D12E0" w:rsidR="00DA7CD0" w:rsidRDefault="00DA7CD0" w:rsidP="00ED768D">
      <w:pPr>
        <w:spacing w:after="0"/>
        <w:jc w:val="both"/>
        <w:rPr>
          <w:noProof/>
          <w:lang w:val="en-US"/>
        </w:rPr>
      </w:pPr>
    </w:p>
    <w:p w14:paraId="3D6A015A" w14:textId="458E6C66" w:rsidR="00DA7CD0" w:rsidRDefault="00DA7CD0" w:rsidP="00DA7CD0">
      <w:pPr>
        <w:spacing w:after="0"/>
        <w:jc w:val="both"/>
        <w:rPr>
          <w:noProof/>
          <w:lang w:val="en-US"/>
        </w:rPr>
      </w:pPr>
      <w:r w:rsidRPr="00667EFF">
        <w:rPr>
          <w:rFonts w:ascii="Arial" w:hAnsi="Arial" w:cs="Arial"/>
        </w:rPr>
        <w:t xml:space="preserve">Slika 1. Struktura vanjskog </w:t>
      </w:r>
      <w:r w:rsidRPr="00D912D1">
        <w:rPr>
          <w:rFonts w:ascii="Arial" w:hAnsi="Arial" w:cs="Arial"/>
        </w:rPr>
        <w:t>duga Federacije BiH po</w:t>
      </w:r>
      <w:r w:rsidRPr="00FB6FC8">
        <w:rPr>
          <w:rFonts w:ascii="Arial" w:hAnsi="Arial" w:cs="Arial"/>
        </w:rPr>
        <w:t xml:space="preserve"> kreditorima</w:t>
      </w:r>
      <w:r w:rsidRPr="00667EFF">
        <w:rPr>
          <w:rFonts w:ascii="Arial" w:hAnsi="Arial" w:cs="Arial"/>
        </w:rPr>
        <w:t xml:space="preserve"> (mil. KM)</w:t>
      </w:r>
    </w:p>
    <w:p w14:paraId="3EB7CB4D" w14:textId="6F9849BB" w:rsidR="006B2DC8" w:rsidRDefault="006B2DC8" w:rsidP="00ED768D">
      <w:pPr>
        <w:spacing w:after="0"/>
        <w:jc w:val="both"/>
        <w:rPr>
          <w:noProof/>
          <w:lang w:val="en-US"/>
        </w:rPr>
      </w:pPr>
      <w:r>
        <w:rPr>
          <w:noProof/>
          <w:lang w:val="en-US"/>
        </w:rPr>
        <w:drawing>
          <wp:inline distT="0" distB="0" distL="0" distR="0" wp14:anchorId="40518AFD" wp14:editId="0F759CAC">
            <wp:extent cx="5926455" cy="2559050"/>
            <wp:effectExtent l="0" t="0" r="17145" b="12700"/>
            <wp:docPr id="192" name="Chart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A5EDBD" w14:textId="77777777" w:rsidR="00DE71C7" w:rsidRDefault="00DE71C7" w:rsidP="00ED768D">
      <w:pPr>
        <w:spacing w:after="0"/>
        <w:jc w:val="both"/>
        <w:rPr>
          <w:noProof/>
          <w:lang w:val="en-US"/>
        </w:rPr>
      </w:pPr>
    </w:p>
    <w:p w14:paraId="4D26899C" w14:textId="3868953E" w:rsidR="00ED768D" w:rsidRDefault="00ED768D" w:rsidP="00ED768D">
      <w:pPr>
        <w:spacing w:after="0"/>
        <w:jc w:val="both"/>
        <w:rPr>
          <w:rFonts w:ascii="Arial" w:hAnsi="Arial" w:cs="Arial"/>
        </w:rPr>
      </w:pPr>
    </w:p>
    <w:p w14:paraId="4BDD4A1E" w14:textId="64D6F96A" w:rsidR="001A19A4" w:rsidRDefault="005F375B">
      <w:pPr>
        <w:pStyle w:val="Heading3"/>
        <w:numPr>
          <w:ilvl w:val="2"/>
          <w:numId w:val="10"/>
        </w:numPr>
        <w:spacing w:before="0" w:line="240" w:lineRule="auto"/>
        <w:rPr>
          <w:rFonts w:ascii="Arial" w:hAnsi="Arial" w:cs="Arial"/>
          <w:color w:val="auto"/>
        </w:rPr>
      </w:pPr>
      <w:bookmarkStart w:id="19" w:name="_Toc100210366"/>
      <w:bookmarkStart w:id="20" w:name="_Toc100219287"/>
      <w:bookmarkStart w:id="21" w:name="_Toc100582012"/>
      <w:bookmarkStart w:id="22" w:name="_Toc100654502"/>
      <w:bookmarkStart w:id="23" w:name="_Toc100667315"/>
      <w:bookmarkStart w:id="24" w:name="_Toc100751740"/>
      <w:bookmarkStart w:id="25" w:name="_Toc100754194"/>
      <w:bookmarkStart w:id="26" w:name="_Toc100754638"/>
      <w:bookmarkStart w:id="27" w:name="_Toc100755030"/>
      <w:bookmarkStart w:id="28" w:name="_Toc100818761"/>
      <w:bookmarkStart w:id="29" w:name="_Toc100820467"/>
      <w:bookmarkStart w:id="30" w:name="_Toc100822755"/>
      <w:bookmarkStart w:id="31" w:name="_Toc100823294"/>
      <w:bookmarkStart w:id="32" w:name="_Toc100823737"/>
      <w:bookmarkStart w:id="33" w:name="_Toc100210367"/>
      <w:bookmarkStart w:id="34" w:name="_Toc100219288"/>
      <w:bookmarkStart w:id="35" w:name="_Toc100582013"/>
      <w:bookmarkStart w:id="36" w:name="_Toc100654503"/>
      <w:bookmarkStart w:id="37" w:name="_Toc100667316"/>
      <w:bookmarkStart w:id="38" w:name="_Toc100751741"/>
      <w:bookmarkStart w:id="39" w:name="_Toc100754195"/>
      <w:bookmarkStart w:id="40" w:name="_Toc100754639"/>
      <w:bookmarkStart w:id="41" w:name="_Toc100755031"/>
      <w:bookmarkStart w:id="42" w:name="_Toc100818762"/>
      <w:bookmarkStart w:id="43" w:name="_Toc100820468"/>
      <w:bookmarkStart w:id="44" w:name="_Toc100822756"/>
      <w:bookmarkStart w:id="45" w:name="_Toc100823295"/>
      <w:bookmarkStart w:id="46" w:name="_Toc100823738"/>
      <w:bookmarkStart w:id="47" w:name="_Toc100210368"/>
      <w:bookmarkStart w:id="48" w:name="_Toc100219289"/>
      <w:bookmarkStart w:id="49" w:name="_Toc100582014"/>
      <w:bookmarkStart w:id="50" w:name="_Toc100654504"/>
      <w:bookmarkStart w:id="51" w:name="_Toc100667317"/>
      <w:bookmarkStart w:id="52" w:name="_Toc100751742"/>
      <w:bookmarkStart w:id="53" w:name="_Toc100754196"/>
      <w:bookmarkStart w:id="54" w:name="_Toc100754640"/>
      <w:bookmarkStart w:id="55" w:name="_Toc100755032"/>
      <w:bookmarkStart w:id="56" w:name="_Toc100818763"/>
      <w:bookmarkStart w:id="57" w:name="_Toc100820469"/>
      <w:bookmarkStart w:id="58" w:name="_Toc100822757"/>
      <w:bookmarkStart w:id="59" w:name="_Toc100823296"/>
      <w:bookmarkStart w:id="60" w:name="_Toc100823739"/>
      <w:bookmarkStart w:id="61" w:name="_Toc10082374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6B2DC8">
        <w:rPr>
          <w:rFonts w:ascii="Arial" w:hAnsi="Arial" w:cs="Arial"/>
          <w:b w:val="0"/>
          <w:color w:val="auto"/>
        </w:rPr>
        <w:lastRenderedPageBreak/>
        <w:t>Valutna struktura vanjskog duga</w:t>
      </w:r>
      <w:r w:rsidR="001343FD" w:rsidRPr="006B2DC8">
        <w:rPr>
          <w:rFonts w:ascii="Arial" w:hAnsi="Arial" w:cs="Arial"/>
          <w:b w:val="0"/>
          <w:color w:val="auto"/>
        </w:rPr>
        <w:t xml:space="preserve"> </w:t>
      </w:r>
      <w:r w:rsidR="00B22862" w:rsidRPr="006B2DC8">
        <w:rPr>
          <w:rFonts w:ascii="Arial" w:hAnsi="Arial" w:cs="Arial"/>
          <w:b w:val="0"/>
          <w:color w:val="auto"/>
        </w:rPr>
        <w:t>F</w:t>
      </w:r>
      <w:r w:rsidR="00AF4632" w:rsidRPr="006B2DC8">
        <w:rPr>
          <w:rFonts w:ascii="Arial" w:hAnsi="Arial" w:cs="Arial"/>
          <w:b w:val="0"/>
          <w:color w:val="auto"/>
        </w:rPr>
        <w:t xml:space="preserve">ederacije </w:t>
      </w:r>
      <w:r w:rsidR="00B22862" w:rsidRPr="006B2DC8">
        <w:rPr>
          <w:rFonts w:ascii="Arial" w:hAnsi="Arial" w:cs="Arial"/>
          <w:b w:val="0"/>
          <w:color w:val="auto"/>
        </w:rPr>
        <w:t>BiH</w:t>
      </w:r>
      <w:bookmarkEnd w:id="61"/>
    </w:p>
    <w:p w14:paraId="35A5C9F7" w14:textId="77777777" w:rsidR="006B2DC8" w:rsidRDefault="006B2DC8" w:rsidP="00667EFF">
      <w:pPr>
        <w:pStyle w:val="ParagraphNumbering"/>
        <w:numPr>
          <w:ilvl w:val="0"/>
          <w:numId w:val="0"/>
        </w:numPr>
        <w:autoSpaceDE w:val="0"/>
        <w:spacing w:after="0" w:line="276" w:lineRule="auto"/>
        <w:ind w:firstLine="360"/>
        <w:jc w:val="both"/>
      </w:pPr>
    </w:p>
    <w:p w14:paraId="7F78581A" w14:textId="017F0E8D" w:rsidR="005A20CB" w:rsidRPr="00FB6FC8" w:rsidRDefault="005A20CB" w:rsidP="00667EFF">
      <w:pPr>
        <w:pStyle w:val="ParagraphNumbering"/>
        <w:numPr>
          <w:ilvl w:val="0"/>
          <w:numId w:val="0"/>
        </w:numPr>
        <w:autoSpaceDE w:val="0"/>
        <w:spacing w:after="0" w:line="276" w:lineRule="auto"/>
        <w:ind w:firstLine="360"/>
        <w:jc w:val="both"/>
        <w:rPr>
          <w:rFonts w:ascii="Arial" w:hAnsi="Arial" w:cs="Arial"/>
          <w:sz w:val="22"/>
        </w:rPr>
      </w:pPr>
      <w:r w:rsidRPr="00D912D1">
        <w:rPr>
          <w:rFonts w:ascii="Arial" w:eastAsiaTheme="minorHAnsi" w:hAnsi="Arial" w:cs="Arial"/>
          <w:sz w:val="22"/>
        </w:rPr>
        <w:t>Valutna struktura vanjskog duga F</w:t>
      </w:r>
      <w:r w:rsidR="00AF4632" w:rsidRPr="00D912D1">
        <w:rPr>
          <w:rFonts w:ascii="Arial" w:eastAsiaTheme="minorHAnsi" w:hAnsi="Arial" w:cs="Arial"/>
          <w:sz w:val="22"/>
        </w:rPr>
        <w:t xml:space="preserve">ederacije </w:t>
      </w:r>
      <w:r w:rsidRPr="00D912D1">
        <w:rPr>
          <w:rFonts w:ascii="Arial" w:eastAsiaTheme="minorHAnsi" w:hAnsi="Arial" w:cs="Arial"/>
          <w:sz w:val="22"/>
        </w:rPr>
        <w:t>BiH</w:t>
      </w:r>
      <w:r w:rsidR="00E91222" w:rsidRPr="00D912D1">
        <w:rPr>
          <w:rFonts w:ascii="Arial" w:eastAsiaTheme="minorHAnsi" w:hAnsi="Arial" w:cs="Arial"/>
          <w:sz w:val="22"/>
        </w:rPr>
        <w:t xml:space="preserve"> </w:t>
      </w:r>
      <w:r w:rsidR="00DA7CD0" w:rsidRPr="00FB6FC8">
        <w:rPr>
          <w:rFonts w:ascii="Arial" w:eastAsiaTheme="minorHAnsi" w:hAnsi="Arial" w:cs="Arial"/>
          <w:sz w:val="22"/>
        </w:rPr>
        <w:t>definirana</w:t>
      </w:r>
      <w:r w:rsidR="00221B11" w:rsidRPr="00FB6FC8">
        <w:rPr>
          <w:rFonts w:ascii="Arial" w:eastAsiaTheme="minorHAnsi" w:hAnsi="Arial" w:cs="Arial"/>
          <w:sz w:val="22"/>
        </w:rPr>
        <w:t xml:space="preserve"> je</w:t>
      </w:r>
      <w:r w:rsidR="00E91222" w:rsidRPr="00FB6FC8">
        <w:rPr>
          <w:rFonts w:ascii="Arial" w:eastAsiaTheme="minorHAnsi" w:hAnsi="Arial" w:cs="Arial"/>
          <w:sz w:val="22"/>
        </w:rPr>
        <w:t xml:space="preserve"> </w:t>
      </w:r>
      <w:r w:rsidR="00D15D03" w:rsidRPr="00FB6FC8">
        <w:rPr>
          <w:rFonts w:ascii="Arial" w:eastAsiaTheme="minorHAnsi" w:hAnsi="Arial" w:cs="Arial"/>
          <w:sz w:val="22"/>
        </w:rPr>
        <w:t xml:space="preserve">dostupnim izvorima </w:t>
      </w:r>
      <w:r w:rsidR="009A78EF">
        <w:rPr>
          <w:rFonts w:ascii="Arial" w:eastAsiaTheme="minorHAnsi" w:hAnsi="Arial" w:cs="Arial"/>
          <w:sz w:val="22"/>
        </w:rPr>
        <w:t>financ</w:t>
      </w:r>
      <w:r w:rsidR="00D15D03" w:rsidRPr="00FB6FC8">
        <w:rPr>
          <w:rFonts w:ascii="Arial" w:eastAsiaTheme="minorHAnsi" w:hAnsi="Arial" w:cs="Arial"/>
          <w:sz w:val="22"/>
        </w:rPr>
        <w:t>iranja</w:t>
      </w:r>
      <w:r w:rsidR="00353FFA" w:rsidRPr="00FB6FC8">
        <w:rPr>
          <w:rFonts w:ascii="Arial" w:eastAsiaTheme="minorHAnsi" w:hAnsi="Arial" w:cs="Arial"/>
          <w:sz w:val="22"/>
        </w:rPr>
        <w:t xml:space="preserve">. </w:t>
      </w:r>
      <w:r w:rsidR="00221B11" w:rsidRPr="00FB6FC8">
        <w:rPr>
          <w:rFonts w:ascii="Arial" w:eastAsiaTheme="minorHAnsi" w:hAnsi="Arial" w:cs="Arial"/>
          <w:sz w:val="22"/>
        </w:rPr>
        <w:t>N</w:t>
      </w:r>
      <w:r w:rsidR="0076612A" w:rsidRPr="00FB6FC8">
        <w:rPr>
          <w:rFonts w:ascii="Arial" w:eastAsiaTheme="minorHAnsi" w:hAnsi="Arial" w:cs="Arial"/>
          <w:sz w:val="22"/>
        </w:rPr>
        <w:t>ajzastupljenij</w:t>
      </w:r>
      <w:r w:rsidR="00667EFF" w:rsidRPr="00FB6FC8">
        <w:rPr>
          <w:rFonts w:ascii="Arial" w:eastAsiaTheme="minorHAnsi" w:hAnsi="Arial" w:cs="Arial"/>
          <w:sz w:val="22"/>
        </w:rPr>
        <w:t>a</w:t>
      </w:r>
      <w:r w:rsidR="0076612A" w:rsidRPr="00FB6FC8">
        <w:rPr>
          <w:rFonts w:ascii="Arial" w:eastAsiaTheme="minorHAnsi" w:hAnsi="Arial" w:cs="Arial"/>
          <w:sz w:val="22"/>
        </w:rPr>
        <w:t xml:space="preserve"> valut</w:t>
      </w:r>
      <w:r w:rsidR="00667EFF" w:rsidRPr="00FB6FC8">
        <w:rPr>
          <w:rFonts w:ascii="Arial" w:eastAsiaTheme="minorHAnsi" w:hAnsi="Arial" w:cs="Arial"/>
          <w:sz w:val="22"/>
        </w:rPr>
        <w:t>a</w:t>
      </w:r>
      <w:r w:rsidR="0076612A" w:rsidRPr="00FB6FC8">
        <w:rPr>
          <w:rFonts w:ascii="Arial" w:eastAsiaTheme="minorHAnsi" w:hAnsi="Arial" w:cs="Arial"/>
          <w:sz w:val="22"/>
        </w:rPr>
        <w:t xml:space="preserve"> u </w:t>
      </w:r>
      <w:r w:rsidR="00DA7CD0">
        <w:rPr>
          <w:rFonts w:ascii="Arial" w:eastAsiaTheme="minorHAnsi" w:hAnsi="Arial" w:cs="Arial"/>
          <w:sz w:val="22"/>
        </w:rPr>
        <w:t>portfelju</w:t>
      </w:r>
      <w:r w:rsidR="0076612A" w:rsidRPr="00FB6FC8">
        <w:rPr>
          <w:rFonts w:ascii="Arial" w:eastAsiaTheme="minorHAnsi" w:hAnsi="Arial" w:cs="Arial"/>
          <w:sz w:val="22"/>
        </w:rPr>
        <w:t xml:space="preserve"> duga Federacije BiH </w:t>
      </w:r>
      <w:r w:rsidR="00667EFF" w:rsidRPr="00FB6FC8">
        <w:rPr>
          <w:rFonts w:ascii="Arial" w:eastAsiaTheme="minorHAnsi" w:hAnsi="Arial" w:cs="Arial"/>
          <w:sz w:val="22"/>
        </w:rPr>
        <w:t>je</w:t>
      </w:r>
      <w:r w:rsidRPr="00FB6FC8">
        <w:rPr>
          <w:rFonts w:ascii="Arial" w:eastAsiaTheme="minorHAnsi" w:hAnsi="Arial" w:cs="Arial"/>
          <w:sz w:val="22"/>
        </w:rPr>
        <w:t xml:space="preserve"> </w:t>
      </w:r>
      <w:r w:rsidR="001A19A4">
        <w:rPr>
          <w:rFonts w:ascii="Arial" w:eastAsiaTheme="minorHAnsi" w:hAnsi="Arial" w:cs="Arial"/>
          <w:sz w:val="22"/>
        </w:rPr>
        <w:t>e</w:t>
      </w:r>
      <w:r w:rsidR="001A19A4" w:rsidRPr="00FB6FC8">
        <w:rPr>
          <w:rFonts w:ascii="Arial" w:eastAsiaTheme="minorHAnsi" w:hAnsi="Arial" w:cs="Arial"/>
          <w:sz w:val="22"/>
        </w:rPr>
        <w:t xml:space="preserve">uro </w:t>
      </w:r>
      <w:r w:rsidR="00D15D03" w:rsidRPr="00FB6FC8">
        <w:rPr>
          <w:rFonts w:ascii="Arial" w:eastAsiaTheme="minorHAnsi" w:hAnsi="Arial" w:cs="Arial"/>
          <w:sz w:val="22"/>
        </w:rPr>
        <w:t>(EUR</w:t>
      </w:r>
      <w:r w:rsidR="007C2311" w:rsidRPr="00FB6FC8">
        <w:rPr>
          <w:rFonts w:ascii="Arial" w:eastAsiaTheme="minorHAnsi" w:hAnsi="Arial" w:cs="Arial"/>
          <w:sz w:val="22"/>
        </w:rPr>
        <w:t xml:space="preserve">), </w:t>
      </w:r>
      <w:r w:rsidR="00667EFF" w:rsidRPr="00FB6FC8">
        <w:rPr>
          <w:rFonts w:ascii="Arial" w:eastAsiaTheme="minorHAnsi" w:hAnsi="Arial" w:cs="Arial"/>
          <w:sz w:val="22"/>
        </w:rPr>
        <w:t>zatim slijede</w:t>
      </w:r>
      <w:r w:rsidR="007C2311" w:rsidRPr="00FB6FC8">
        <w:rPr>
          <w:rFonts w:ascii="Arial" w:eastAsiaTheme="minorHAnsi" w:hAnsi="Arial" w:cs="Arial"/>
          <w:sz w:val="22"/>
        </w:rPr>
        <w:t xml:space="preserve"> Specijalna </w:t>
      </w:r>
      <w:r w:rsidR="001A19A4">
        <w:rPr>
          <w:rFonts w:ascii="Arial" w:eastAsiaTheme="minorHAnsi" w:hAnsi="Arial" w:cs="Arial"/>
          <w:sz w:val="22"/>
        </w:rPr>
        <w:t>P</w:t>
      </w:r>
      <w:r w:rsidR="001A19A4" w:rsidRPr="00FB6FC8">
        <w:rPr>
          <w:rFonts w:ascii="Arial" w:eastAsiaTheme="minorHAnsi" w:hAnsi="Arial" w:cs="Arial"/>
          <w:sz w:val="22"/>
        </w:rPr>
        <w:t xml:space="preserve">rava </w:t>
      </w:r>
      <w:r w:rsidR="001A19A4">
        <w:rPr>
          <w:rFonts w:ascii="Arial" w:eastAsiaTheme="minorHAnsi" w:hAnsi="Arial" w:cs="Arial"/>
          <w:sz w:val="22"/>
        </w:rPr>
        <w:t>V</w:t>
      </w:r>
      <w:r w:rsidR="007C2311" w:rsidRPr="00FB6FC8">
        <w:rPr>
          <w:rFonts w:ascii="Arial" w:eastAsiaTheme="minorHAnsi" w:hAnsi="Arial" w:cs="Arial"/>
          <w:sz w:val="22"/>
        </w:rPr>
        <w:t>učenja (SDR)</w:t>
      </w:r>
      <w:r w:rsidR="000D54BA" w:rsidRPr="00FB6FC8">
        <w:rPr>
          <w:rStyle w:val="FootnoteReference"/>
          <w:rFonts w:ascii="Arial" w:eastAsiaTheme="minorHAnsi" w:hAnsi="Arial" w:cs="Arial"/>
          <w:sz w:val="22"/>
        </w:rPr>
        <w:footnoteReference w:id="5"/>
      </w:r>
      <w:r w:rsidR="007C2311" w:rsidRPr="00FB6FC8">
        <w:rPr>
          <w:rFonts w:ascii="Arial" w:eastAsiaTheme="minorHAnsi" w:hAnsi="Arial" w:cs="Arial"/>
          <w:sz w:val="22"/>
        </w:rPr>
        <w:t xml:space="preserve"> i američki dolar (USD)</w:t>
      </w:r>
      <w:r w:rsidR="00D15D03" w:rsidRPr="00FB6FC8">
        <w:rPr>
          <w:rFonts w:ascii="Arial" w:eastAsiaTheme="minorHAnsi" w:hAnsi="Arial" w:cs="Arial"/>
          <w:sz w:val="22"/>
        </w:rPr>
        <w:t>.</w:t>
      </w:r>
      <w:r w:rsidR="004C577D" w:rsidRPr="00FB6FC8">
        <w:rPr>
          <w:rFonts w:ascii="Arial" w:hAnsi="Arial" w:cs="Arial"/>
          <w:sz w:val="22"/>
        </w:rPr>
        <w:t xml:space="preserve"> </w:t>
      </w:r>
    </w:p>
    <w:p w14:paraId="3DCBD97C" w14:textId="401FEB0C" w:rsidR="00B8613F" w:rsidRPr="00FB6FC8" w:rsidRDefault="00B8613F" w:rsidP="00667EFF">
      <w:pPr>
        <w:pStyle w:val="ParagraphNumbering"/>
        <w:numPr>
          <w:ilvl w:val="0"/>
          <w:numId w:val="0"/>
        </w:numPr>
        <w:autoSpaceDE w:val="0"/>
        <w:spacing w:after="0" w:line="276" w:lineRule="auto"/>
        <w:ind w:firstLine="360"/>
        <w:jc w:val="both"/>
        <w:rPr>
          <w:rFonts w:ascii="Arial" w:hAnsi="Arial" w:cs="Arial"/>
        </w:rPr>
      </w:pPr>
    </w:p>
    <w:p w14:paraId="08D5D9D1" w14:textId="6E7AEC6A" w:rsidR="005F375B" w:rsidRDefault="005F375B" w:rsidP="008A373E">
      <w:pPr>
        <w:pStyle w:val="NoSpacing"/>
        <w:spacing w:line="276" w:lineRule="auto"/>
        <w:jc w:val="both"/>
        <w:rPr>
          <w:rFonts w:ascii="Arial" w:hAnsi="Arial" w:cs="Arial"/>
          <w:szCs w:val="24"/>
          <w:lang w:val="hr-HR"/>
        </w:rPr>
      </w:pPr>
      <w:r w:rsidRPr="00FB6FC8">
        <w:rPr>
          <w:rFonts w:ascii="Arial" w:hAnsi="Arial" w:cs="Arial"/>
          <w:szCs w:val="24"/>
          <w:lang w:val="hr-HR"/>
        </w:rPr>
        <w:t>Slika 2. Valutn</w:t>
      </w:r>
      <w:r w:rsidR="0029569D" w:rsidRPr="00FB6FC8">
        <w:rPr>
          <w:rFonts w:ascii="Arial" w:hAnsi="Arial" w:cs="Arial"/>
          <w:szCs w:val="24"/>
          <w:lang w:val="hr-HR"/>
        </w:rPr>
        <w:t xml:space="preserve">a struktura vanjskog duga </w:t>
      </w:r>
      <w:r w:rsidR="00C235EB" w:rsidRPr="00FB6FC8">
        <w:rPr>
          <w:rFonts w:ascii="Arial" w:hAnsi="Arial" w:cs="Arial"/>
          <w:szCs w:val="24"/>
          <w:lang w:val="hr-HR"/>
        </w:rPr>
        <w:t>F</w:t>
      </w:r>
      <w:r w:rsidR="00AF4632" w:rsidRPr="00FB6FC8">
        <w:rPr>
          <w:rFonts w:ascii="Arial" w:hAnsi="Arial" w:cs="Arial"/>
          <w:szCs w:val="24"/>
          <w:lang w:val="hr-HR"/>
        </w:rPr>
        <w:t xml:space="preserve">ederacije </w:t>
      </w:r>
      <w:r w:rsidR="00C235EB" w:rsidRPr="00FB6FC8">
        <w:rPr>
          <w:rFonts w:ascii="Arial" w:hAnsi="Arial" w:cs="Arial"/>
          <w:szCs w:val="24"/>
          <w:lang w:val="hr-HR"/>
        </w:rPr>
        <w:t>BiH</w:t>
      </w:r>
    </w:p>
    <w:p w14:paraId="047D4298" w14:textId="77777777" w:rsidR="00FB6FC8" w:rsidRPr="00AF7CAC" w:rsidRDefault="00FB6FC8" w:rsidP="008A373E">
      <w:pPr>
        <w:pStyle w:val="NoSpacing"/>
        <w:spacing w:line="276" w:lineRule="auto"/>
        <w:jc w:val="both"/>
        <w:rPr>
          <w:rFonts w:ascii="Arial" w:hAnsi="Arial" w:cs="Arial"/>
          <w:sz w:val="24"/>
          <w:szCs w:val="24"/>
          <w:lang w:val="hr-HR"/>
        </w:rPr>
      </w:pPr>
    </w:p>
    <w:p w14:paraId="0F11DB3B" w14:textId="7BF8E3A2" w:rsidR="005F375B" w:rsidRPr="00AF7CAC" w:rsidRDefault="003027C2" w:rsidP="005F375B">
      <w:pPr>
        <w:pStyle w:val="NoSpacing"/>
        <w:spacing w:line="276" w:lineRule="auto"/>
        <w:jc w:val="both"/>
        <w:rPr>
          <w:rFonts w:ascii="Arial" w:hAnsi="Arial" w:cs="Arial"/>
          <w:sz w:val="24"/>
          <w:szCs w:val="24"/>
          <w:lang w:val="hr-HR"/>
        </w:rPr>
      </w:pPr>
      <w:r>
        <w:rPr>
          <w:noProof/>
        </w:rPr>
        <w:drawing>
          <wp:inline distT="0" distB="0" distL="0" distR="0" wp14:anchorId="0CCAAFE1" wp14:editId="5EDC47DC">
            <wp:extent cx="2882265" cy="2061071"/>
            <wp:effectExtent l="0" t="0" r="13335" b="1587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32675">
        <w:rPr>
          <w:noProof/>
        </w:rPr>
        <w:drawing>
          <wp:inline distT="0" distB="0" distL="0" distR="0" wp14:anchorId="53761B1E" wp14:editId="5C255728">
            <wp:extent cx="2859438" cy="2069024"/>
            <wp:effectExtent l="0" t="0" r="17145" b="762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A20CB" w:rsidRPr="00AF7CAC">
        <w:rPr>
          <w:lang w:val="hr-HR" w:eastAsia="bs-Latn-BA"/>
        </w:rPr>
        <w:t xml:space="preserve"> </w:t>
      </w:r>
    </w:p>
    <w:p w14:paraId="3B1411AB" w14:textId="0D58D9D2" w:rsidR="004C577D" w:rsidRPr="00AF7CAC" w:rsidRDefault="004C577D" w:rsidP="005F375B">
      <w:pPr>
        <w:pStyle w:val="NoSpacing"/>
        <w:spacing w:line="276" w:lineRule="auto"/>
        <w:jc w:val="both"/>
        <w:rPr>
          <w:rFonts w:ascii="Arial" w:hAnsi="Arial" w:cs="Arial"/>
          <w:sz w:val="24"/>
          <w:szCs w:val="24"/>
          <w:lang w:val="hr-HR"/>
        </w:rPr>
      </w:pPr>
    </w:p>
    <w:p w14:paraId="0BF69F8C" w14:textId="29A9183C" w:rsidR="004C577D" w:rsidRPr="00667EFF" w:rsidRDefault="004C577D" w:rsidP="00667EFF">
      <w:pPr>
        <w:pStyle w:val="NoSpacing"/>
        <w:spacing w:line="276" w:lineRule="auto"/>
        <w:jc w:val="both"/>
        <w:rPr>
          <w:rFonts w:ascii="Arial" w:hAnsi="Arial" w:cs="Arial"/>
          <w:lang w:val="hr-HR"/>
        </w:rPr>
      </w:pPr>
      <w:r w:rsidRPr="00D912D1">
        <w:rPr>
          <w:rFonts w:ascii="Arial" w:hAnsi="Arial" w:cs="Arial"/>
          <w:szCs w:val="24"/>
          <w:lang w:val="hr-HR"/>
        </w:rPr>
        <w:t xml:space="preserve">Dekompozicijom SDR-a, udio EUR valute raste na </w:t>
      </w:r>
      <w:r w:rsidR="000B344E" w:rsidRPr="00D912D1">
        <w:rPr>
          <w:rFonts w:ascii="Arial" w:hAnsi="Arial" w:cs="Arial"/>
          <w:szCs w:val="24"/>
          <w:lang w:val="hr-HR"/>
        </w:rPr>
        <w:t>6</w:t>
      </w:r>
      <w:r w:rsidR="00932675" w:rsidRPr="00445180">
        <w:rPr>
          <w:rFonts w:ascii="Arial" w:hAnsi="Arial" w:cs="Arial"/>
          <w:szCs w:val="24"/>
          <w:lang w:val="hr-HR"/>
        </w:rPr>
        <w:t>8,80</w:t>
      </w:r>
      <w:r w:rsidRPr="00D912D1">
        <w:rPr>
          <w:rFonts w:ascii="Arial" w:hAnsi="Arial" w:cs="Arial"/>
          <w:szCs w:val="24"/>
          <w:lang w:val="hr-HR"/>
        </w:rPr>
        <w:t>%</w:t>
      </w:r>
      <w:r w:rsidR="002979DB" w:rsidRPr="00D912D1">
        <w:rPr>
          <w:rFonts w:ascii="Arial" w:hAnsi="Arial" w:cs="Arial"/>
          <w:szCs w:val="24"/>
          <w:lang w:val="hr-HR"/>
        </w:rPr>
        <w:t>, a</w:t>
      </w:r>
      <w:r w:rsidRPr="00FB6FC8">
        <w:rPr>
          <w:rFonts w:ascii="Arial" w:hAnsi="Arial" w:cs="Arial"/>
          <w:szCs w:val="24"/>
          <w:lang w:val="hr-HR"/>
        </w:rPr>
        <w:t xml:space="preserve"> </w:t>
      </w:r>
      <w:r w:rsidR="002979DB" w:rsidRPr="00FB6FC8">
        <w:rPr>
          <w:rFonts w:ascii="Arial" w:hAnsi="Arial" w:cs="Arial"/>
          <w:szCs w:val="24"/>
          <w:lang w:val="hr-HR"/>
        </w:rPr>
        <w:t xml:space="preserve">USD na </w:t>
      </w:r>
      <w:r w:rsidR="00BE1FC6" w:rsidRPr="00FB6FC8">
        <w:rPr>
          <w:rFonts w:ascii="Arial" w:hAnsi="Arial" w:cs="Arial"/>
          <w:szCs w:val="24"/>
          <w:lang w:val="hr-HR"/>
        </w:rPr>
        <w:t>2</w:t>
      </w:r>
      <w:r w:rsidR="00932675" w:rsidRPr="00445180">
        <w:rPr>
          <w:rFonts w:ascii="Arial" w:hAnsi="Arial" w:cs="Arial"/>
          <w:szCs w:val="24"/>
          <w:lang w:val="hr-HR"/>
        </w:rPr>
        <w:t>3</w:t>
      </w:r>
      <w:r w:rsidR="00BE1FC6" w:rsidRPr="00D912D1">
        <w:rPr>
          <w:rFonts w:ascii="Arial" w:hAnsi="Arial" w:cs="Arial"/>
          <w:szCs w:val="24"/>
          <w:lang w:val="hr-HR"/>
        </w:rPr>
        <w:t>,</w:t>
      </w:r>
      <w:r w:rsidR="00932675" w:rsidRPr="00445180">
        <w:rPr>
          <w:rFonts w:ascii="Arial" w:hAnsi="Arial" w:cs="Arial"/>
          <w:szCs w:val="24"/>
          <w:lang w:val="hr-HR"/>
        </w:rPr>
        <w:t>17</w:t>
      </w:r>
      <w:r w:rsidR="002979DB" w:rsidRPr="00D912D1">
        <w:rPr>
          <w:rFonts w:ascii="Arial" w:hAnsi="Arial" w:cs="Arial"/>
          <w:szCs w:val="24"/>
          <w:lang w:val="hr-HR"/>
        </w:rPr>
        <w:t>%</w:t>
      </w:r>
      <w:r w:rsidR="008C3942" w:rsidRPr="00D912D1">
        <w:rPr>
          <w:rFonts w:ascii="Arial" w:hAnsi="Arial" w:cs="Arial"/>
          <w:szCs w:val="24"/>
          <w:lang w:val="hr-HR"/>
        </w:rPr>
        <w:t xml:space="preserve"> </w:t>
      </w:r>
      <w:r w:rsidRPr="00D912D1">
        <w:rPr>
          <w:rFonts w:ascii="Arial" w:hAnsi="Arial" w:cs="Arial"/>
          <w:szCs w:val="24"/>
          <w:lang w:val="hr-HR"/>
        </w:rPr>
        <w:t>ukupnog vanjskog duga</w:t>
      </w:r>
      <w:r w:rsidR="00C2494B" w:rsidRPr="00FB6FC8">
        <w:rPr>
          <w:rFonts w:ascii="Arial" w:hAnsi="Arial" w:cs="Arial"/>
          <w:szCs w:val="24"/>
          <w:lang w:val="hr-HR"/>
        </w:rPr>
        <w:t>.</w:t>
      </w:r>
    </w:p>
    <w:p w14:paraId="0F5369D8" w14:textId="77777777" w:rsidR="0076612A" w:rsidRPr="00667EFF" w:rsidRDefault="0076612A" w:rsidP="00667EFF">
      <w:pPr>
        <w:pStyle w:val="NoSpacing"/>
        <w:spacing w:line="276" w:lineRule="auto"/>
        <w:jc w:val="both"/>
        <w:rPr>
          <w:rFonts w:ascii="Arial" w:hAnsi="Arial" w:cs="Arial"/>
          <w:szCs w:val="24"/>
          <w:lang w:val="hr-HR"/>
        </w:rPr>
      </w:pPr>
    </w:p>
    <w:p w14:paraId="0E104EDA" w14:textId="7C8B01B3" w:rsidR="005F375B" w:rsidRPr="00667EFF" w:rsidRDefault="002614CC" w:rsidP="00667EFF">
      <w:pPr>
        <w:pStyle w:val="Heading3"/>
        <w:numPr>
          <w:ilvl w:val="2"/>
          <w:numId w:val="10"/>
        </w:numPr>
        <w:spacing w:before="0"/>
        <w:rPr>
          <w:rFonts w:ascii="Arial" w:hAnsi="Arial" w:cs="Arial"/>
          <w:szCs w:val="24"/>
        </w:rPr>
      </w:pPr>
      <w:bookmarkStart w:id="62" w:name="_Toc100823741"/>
      <w:r w:rsidRPr="00667EFF">
        <w:rPr>
          <w:rFonts w:ascii="Arial" w:hAnsi="Arial" w:cs="Arial"/>
          <w:b w:val="0"/>
          <w:color w:val="auto"/>
        </w:rPr>
        <w:t xml:space="preserve">Kamatna struktura vanjskog duga </w:t>
      </w:r>
      <w:r w:rsidR="00B22862" w:rsidRPr="00667EFF">
        <w:rPr>
          <w:rFonts w:ascii="Arial" w:hAnsi="Arial" w:cs="Arial"/>
          <w:b w:val="0"/>
          <w:color w:val="auto"/>
        </w:rPr>
        <w:t>F</w:t>
      </w:r>
      <w:r w:rsidR="00AF4632" w:rsidRPr="00667EFF">
        <w:rPr>
          <w:rFonts w:ascii="Arial" w:hAnsi="Arial" w:cs="Arial"/>
          <w:b w:val="0"/>
          <w:color w:val="auto"/>
        </w:rPr>
        <w:t xml:space="preserve">ederacije </w:t>
      </w:r>
      <w:r w:rsidR="00B22862" w:rsidRPr="00667EFF">
        <w:rPr>
          <w:rFonts w:ascii="Arial" w:hAnsi="Arial" w:cs="Arial"/>
          <w:b w:val="0"/>
          <w:color w:val="auto"/>
        </w:rPr>
        <w:t>BiH</w:t>
      </w:r>
      <w:bookmarkEnd w:id="62"/>
    </w:p>
    <w:p w14:paraId="22ADAA55" w14:textId="53097293" w:rsidR="005F375B" w:rsidRPr="00667EFF" w:rsidRDefault="005F375B" w:rsidP="00667EFF">
      <w:pPr>
        <w:pStyle w:val="NoSpacing"/>
        <w:spacing w:line="276" w:lineRule="auto"/>
        <w:jc w:val="both"/>
        <w:rPr>
          <w:rFonts w:ascii="Arial" w:hAnsi="Arial" w:cs="Arial"/>
          <w:szCs w:val="24"/>
          <w:lang w:val="hr-HR"/>
        </w:rPr>
      </w:pPr>
    </w:p>
    <w:p w14:paraId="7B6C4E00" w14:textId="579E9FC1" w:rsidR="00B460E7" w:rsidRPr="00FB6FC8" w:rsidRDefault="00AF4632" w:rsidP="00667EFF">
      <w:pPr>
        <w:pStyle w:val="NoSpacing"/>
        <w:spacing w:line="276" w:lineRule="auto"/>
        <w:ind w:firstLine="426"/>
        <w:jc w:val="both"/>
        <w:rPr>
          <w:rFonts w:ascii="Arial" w:hAnsi="Arial" w:cs="Arial"/>
          <w:szCs w:val="24"/>
          <w:lang w:val="hr-HR"/>
        </w:rPr>
      </w:pPr>
      <w:r w:rsidRPr="00D912D1">
        <w:rPr>
          <w:rFonts w:ascii="Arial" w:hAnsi="Arial" w:cs="Arial"/>
          <w:szCs w:val="24"/>
          <w:lang w:val="hr-HR"/>
        </w:rPr>
        <w:t>S</w:t>
      </w:r>
      <w:r w:rsidR="002979DB" w:rsidRPr="00D912D1">
        <w:rPr>
          <w:rFonts w:ascii="Arial" w:hAnsi="Arial" w:cs="Arial"/>
          <w:szCs w:val="24"/>
          <w:lang w:val="hr-HR"/>
        </w:rPr>
        <w:t xml:space="preserve"> fiksnom kamatnom stopom ugovoreno </w:t>
      </w:r>
      <w:r w:rsidR="00F327B1" w:rsidRPr="00D912D1">
        <w:rPr>
          <w:rFonts w:ascii="Arial" w:hAnsi="Arial" w:cs="Arial"/>
          <w:szCs w:val="24"/>
          <w:lang w:val="hr-HR"/>
        </w:rPr>
        <w:t xml:space="preserve">je </w:t>
      </w:r>
      <w:r w:rsidR="009D0605" w:rsidRPr="00FB6FC8">
        <w:rPr>
          <w:rFonts w:ascii="Arial" w:hAnsi="Arial" w:cs="Arial"/>
          <w:szCs w:val="24"/>
          <w:lang w:val="hr-HR"/>
        </w:rPr>
        <w:t>3.834,98</w:t>
      </w:r>
      <w:r w:rsidR="002731B0" w:rsidRPr="00FB6FC8">
        <w:rPr>
          <w:rFonts w:ascii="Arial" w:hAnsi="Arial" w:cs="Arial"/>
          <w:szCs w:val="24"/>
          <w:lang w:val="hr-HR"/>
        </w:rPr>
        <w:t xml:space="preserve"> mil.KM ili </w:t>
      </w:r>
      <w:r w:rsidR="009D0605" w:rsidRPr="00445180">
        <w:rPr>
          <w:rFonts w:ascii="Arial" w:hAnsi="Arial" w:cs="Arial"/>
          <w:szCs w:val="24"/>
          <w:lang w:val="hr-HR"/>
        </w:rPr>
        <w:t>62,29</w:t>
      </w:r>
      <w:r w:rsidR="002731B0" w:rsidRPr="00D912D1">
        <w:rPr>
          <w:rFonts w:ascii="Arial" w:hAnsi="Arial" w:cs="Arial"/>
          <w:szCs w:val="24"/>
          <w:lang w:val="hr-HR"/>
        </w:rPr>
        <w:t>%</w:t>
      </w:r>
      <w:r w:rsidR="005B3338" w:rsidRPr="00D912D1">
        <w:rPr>
          <w:rFonts w:ascii="Arial" w:hAnsi="Arial" w:cs="Arial"/>
          <w:szCs w:val="24"/>
          <w:lang w:val="hr-HR"/>
        </w:rPr>
        <w:t xml:space="preserve">, </w:t>
      </w:r>
      <w:r w:rsidR="00DA7CD0">
        <w:rPr>
          <w:rFonts w:ascii="Arial" w:hAnsi="Arial" w:cs="Arial"/>
          <w:szCs w:val="24"/>
          <w:lang w:val="hr-HR"/>
        </w:rPr>
        <w:t>a s</w:t>
      </w:r>
      <w:r w:rsidR="002731B0" w:rsidRPr="00D912D1">
        <w:rPr>
          <w:rFonts w:ascii="Arial" w:hAnsi="Arial" w:cs="Arial"/>
          <w:szCs w:val="24"/>
          <w:lang w:val="hr-HR"/>
        </w:rPr>
        <w:t xml:space="preserve"> promjenjivom kamatnom stopom </w:t>
      </w:r>
      <w:r w:rsidR="009D0605" w:rsidRPr="00FB6FC8">
        <w:rPr>
          <w:rFonts w:ascii="Arial" w:hAnsi="Arial" w:cs="Arial"/>
          <w:szCs w:val="24"/>
          <w:lang w:val="hr-HR"/>
        </w:rPr>
        <w:t>2.321,29</w:t>
      </w:r>
      <w:r w:rsidR="00F327B1" w:rsidRPr="00FB6FC8">
        <w:rPr>
          <w:rFonts w:ascii="Arial" w:hAnsi="Arial" w:cs="Arial"/>
          <w:szCs w:val="24"/>
          <w:lang w:val="hr-HR"/>
        </w:rPr>
        <w:t xml:space="preserve"> mil.KM ili </w:t>
      </w:r>
      <w:r w:rsidR="009D0605" w:rsidRPr="00445180">
        <w:rPr>
          <w:rFonts w:ascii="Arial" w:hAnsi="Arial" w:cs="Arial"/>
          <w:szCs w:val="24"/>
          <w:lang w:val="hr-HR"/>
        </w:rPr>
        <w:t>37,71</w:t>
      </w:r>
      <w:r w:rsidR="00F327B1" w:rsidRPr="00D912D1">
        <w:rPr>
          <w:rFonts w:ascii="Arial" w:hAnsi="Arial" w:cs="Arial"/>
          <w:szCs w:val="24"/>
          <w:lang w:val="hr-HR"/>
        </w:rPr>
        <w:t xml:space="preserve">% </w:t>
      </w:r>
      <w:r w:rsidR="003F1067" w:rsidRPr="00D912D1">
        <w:rPr>
          <w:rFonts w:ascii="Arial" w:hAnsi="Arial" w:cs="Arial"/>
          <w:szCs w:val="24"/>
          <w:lang w:val="hr-HR"/>
        </w:rPr>
        <w:t xml:space="preserve">ukupnog </w:t>
      </w:r>
      <w:r w:rsidR="002731B0" w:rsidRPr="00D912D1">
        <w:rPr>
          <w:rFonts w:ascii="Arial" w:hAnsi="Arial" w:cs="Arial"/>
          <w:szCs w:val="24"/>
          <w:lang w:val="hr-HR"/>
        </w:rPr>
        <w:t>vanjskog duga</w:t>
      </w:r>
      <w:r w:rsidR="005B3338" w:rsidRPr="00FB6FC8">
        <w:rPr>
          <w:rFonts w:ascii="Arial" w:hAnsi="Arial" w:cs="Arial"/>
          <w:szCs w:val="24"/>
          <w:lang w:val="hr-HR"/>
        </w:rPr>
        <w:t>.</w:t>
      </w:r>
    </w:p>
    <w:p w14:paraId="04F94F03" w14:textId="77777777" w:rsidR="00246AE0" w:rsidRPr="00FB6FC8" w:rsidRDefault="00246AE0" w:rsidP="00667EFF">
      <w:pPr>
        <w:pStyle w:val="NoSpacing"/>
        <w:spacing w:line="276" w:lineRule="auto"/>
        <w:ind w:firstLine="426"/>
        <w:jc w:val="both"/>
        <w:rPr>
          <w:rFonts w:ascii="Arial" w:hAnsi="Arial" w:cs="Arial"/>
          <w:szCs w:val="24"/>
          <w:lang w:val="hr-HR"/>
        </w:rPr>
      </w:pPr>
    </w:p>
    <w:p w14:paraId="6B58E70D" w14:textId="433B39DB" w:rsidR="005F375B" w:rsidRDefault="002D6700" w:rsidP="00667EFF">
      <w:pPr>
        <w:pStyle w:val="NoSpacing"/>
        <w:spacing w:line="276" w:lineRule="auto"/>
        <w:jc w:val="both"/>
        <w:rPr>
          <w:rFonts w:ascii="Arial" w:hAnsi="Arial" w:cs="Arial"/>
          <w:szCs w:val="24"/>
          <w:lang w:val="hr-HR"/>
        </w:rPr>
      </w:pPr>
      <w:r w:rsidRPr="00FB6FC8">
        <w:rPr>
          <w:rFonts w:ascii="Arial" w:hAnsi="Arial" w:cs="Arial"/>
          <w:szCs w:val="24"/>
          <w:lang w:val="hr-HR"/>
        </w:rPr>
        <w:t xml:space="preserve">Slika 3. Struktura vanjskog duga </w:t>
      </w:r>
      <w:r w:rsidR="00C235EB" w:rsidRPr="00FB6FC8">
        <w:rPr>
          <w:rFonts w:ascii="Arial" w:hAnsi="Arial" w:cs="Arial"/>
          <w:szCs w:val="24"/>
          <w:lang w:val="hr-HR"/>
        </w:rPr>
        <w:t>F</w:t>
      </w:r>
      <w:r w:rsidR="00AF4632" w:rsidRPr="00FB6FC8">
        <w:rPr>
          <w:rFonts w:ascii="Arial" w:hAnsi="Arial" w:cs="Arial"/>
          <w:szCs w:val="24"/>
          <w:lang w:val="hr-HR"/>
        </w:rPr>
        <w:t xml:space="preserve">ederacije </w:t>
      </w:r>
      <w:r w:rsidR="00C235EB" w:rsidRPr="00FB6FC8">
        <w:rPr>
          <w:rFonts w:ascii="Arial" w:hAnsi="Arial" w:cs="Arial"/>
          <w:szCs w:val="24"/>
          <w:lang w:val="hr-HR"/>
        </w:rPr>
        <w:t xml:space="preserve">BiH </w:t>
      </w:r>
      <w:r w:rsidRPr="00FB6FC8">
        <w:rPr>
          <w:rFonts w:ascii="Arial" w:hAnsi="Arial" w:cs="Arial"/>
          <w:szCs w:val="24"/>
          <w:lang w:val="hr-HR"/>
        </w:rPr>
        <w:t>prema vrsti kamatne stope</w:t>
      </w:r>
    </w:p>
    <w:p w14:paraId="290EED4A" w14:textId="559C22CC" w:rsidR="009D0605" w:rsidRDefault="009D0605" w:rsidP="00667EFF">
      <w:pPr>
        <w:pStyle w:val="NoSpacing"/>
        <w:spacing w:line="276" w:lineRule="auto"/>
        <w:jc w:val="both"/>
        <w:rPr>
          <w:rFonts w:ascii="Arial" w:hAnsi="Arial" w:cs="Arial"/>
          <w:szCs w:val="24"/>
          <w:lang w:val="hr-HR"/>
        </w:rPr>
      </w:pPr>
    </w:p>
    <w:p w14:paraId="3CB1FAD0" w14:textId="69DBA4E2" w:rsidR="009D0605" w:rsidRDefault="009D0605" w:rsidP="00667EFF">
      <w:pPr>
        <w:pStyle w:val="NoSpacing"/>
        <w:spacing w:line="276" w:lineRule="auto"/>
        <w:jc w:val="both"/>
        <w:rPr>
          <w:rFonts w:ascii="Arial" w:hAnsi="Arial" w:cs="Arial"/>
          <w:szCs w:val="24"/>
          <w:lang w:val="hr-HR"/>
        </w:rPr>
      </w:pPr>
      <w:r>
        <w:rPr>
          <w:noProof/>
        </w:rPr>
        <w:drawing>
          <wp:inline distT="0" distB="0" distL="0" distR="0" wp14:anchorId="2A515801" wp14:editId="13951266">
            <wp:extent cx="5868000" cy="2034000"/>
            <wp:effectExtent l="0" t="0" r="0" b="444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EC983D" w14:textId="77777777" w:rsidR="00337704" w:rsidRPr="00AF7CAC" w:rsidRDefault="00337704" w:rsidP="00667EFF">
      <w:pPr>
        <w:pStyle w:val="NoSpacing"/>
        <w:spacing w:line="276" w:lineRule="auto"/>
        <w:jc w:val="both"/>
        <w:rPr>
          <w:rFonts w:ascii="Arial" w:hAnsi="Arial" w:cs="Arial"/>
          <w:sz w:val="24"/>
          <w:szCs w:val="24"/>
          <w:lang w:val="hr-HR"/>
        </w:rPr>
      </w:pPr>
    </w:p>
    <w:p w14:paraId="4CA4CA12" w14:textId="16196FD5" w:rsidR="005F375B" w:rsidRPr="00AF7CAC" w:rsidRDefault="005F375B" w:rsidP="004937BF">
      <w:pPr>
        <w:pStyle w:val="NoSpacing"/>
        <w:spacing w:line="276" w:lineRule="auto"/>
        <w:jc w:val="center"/>
        <w:rPr>
          <w:rFonts w:ascii="Arial" w:hAnsi="Arial" w:cs="Arial"/>
          <w:sz w:val="24"/>
          <w:szCs w:val="24"/>
          <w:lang w:val="hr-HR"/>
        </w:rPr>
      </w:pPr>
    </w:p>
    <w:p w14:paraId="4913E7AC" w14:textId="77777777" w:rsidR="00367624" w:rsidRDefault="00367624" w:rsidP="004937BF">
      <w:pPr>
        <w:pStyle w:val="NoSpacing"/>
        <w:spacing w:line="276" w:lineRule="auto"/>
        <w:jc w:val="center"/>
        <w:rPr>
          <w:rFonts w:ascii="Arial" w:hAnsi="Arial" w:cs="Arial"/>
          <w:sz w:val="24"/>
          <w:szCs w:val="24"/>
          <w:lang w:val="hr-HR"/>
        </w:rPr>
      </w:pPr>
    </w:p>
    <w:p w14:paraId="1E7187CF" w14:textId="67638AB6" w:rsidR="00ED768D" w:rsidRPr="00FB6FC8" w:rsidRDefault="00ED768D" w:rsidP="00627D74">
      <w:pPr>
        <w:pStyle w:val="Heading2"/>
        <w:numPr>
          <w:ilvl w:val="1"/>
          <w:numId w:val="10"/>
        </w:numPr>
        <w:spacing w:before="0" w:line="240" w:lineRule="auto"/>
        <w:rPr>
          <w:rFonts w:ascii="Arial" w:hAnsi="Arial" w:cs="Arial"/>
          <w:b w:val="0"/>
          <w:color w:val="auto"/>
        </w:rPr>
      </w:pPr>
      <w:bookmarkStart w:id="63" w:name="_Toc100754199"/>
      <w:bookmarkStart w:id="64" w:name="_Toc100754643"/>
      <w:bookmarkStart w:id="65" w:name="_Toc100755035"/>
      <w:bookmarkStart w:id="66" w:name="_Toc100818766"/>
      <w:bookmarkStart w:id="67" w:name="_Toc100820472"/>
      <w:bookmarkStart w:id="68" w:name="_Toc100822760"/>
      <w:bookmarkStart w:id="69" w:name="_Toc100823299"/>
      <w:bookmarkStart w:id="70" w:name="_Toc100823742"/>
      <w:bookmarkStart w:id="71" w:name="_Toc100754200"/>
      <w:bookmarkStart w:id="72" w:name="_Toc100754644"/>
      <w:bookmarkStart w:id="73" w:name="_Toc100755036"/>
      <w:bookmarkStart w:id="74" w:name="_Toc100818767"/>
      <w:bookmarkStart w:id="75" w:name="_Toc100820473"/>
      <w:bookmarkStart w:id="76" w:name="_Toc100822761"/>
      <w:bookmarkStart w:id="77" w:name="_Toc100823300"/>
      <w:bookmarkStart w:id="78" w:name="_Toc100823743"/>
      <w:bookmarkStart w:id="79" w:name="_Toc100754201"/>
      <w:bookmarkStart w:id="80" w:name="_Toc100754645"/>
      <w:bookmarkStart w:id="81" w:name="_Toc100755037"/>
      <w:bookmarkStart w:id="82" w:name="_Toc100818768"/>
      <w:bookmarkStart w:id="83" w:name="_Toc100820474"/>
      <w:bookmarkStart w:id="84" w:name="_Toc100822762"/>
      <w:bookmarkStart w:id="85" w:name="_Toc100823301"/>
      <w:bookmarkStart w:id="86" w:name="_Toc100823744"/>
      <w:bookmarkStart w:id="87" w:name="_Toc10082374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337704">
        <w:rPr>
          <w:rFonts w:ascii="Arial" w:hAnsi="Arial" w:cs="Arial"/>
          <w:b w:val="0"/>
          <w:color w:val="auto"/>
          <w:sz w:val="24"/>
        </w:rPr>
        <w:lastRenderedPageBreak/>
        <w:t xml:space="preserve">Struktura </w:t>
      </w:r>
      <w:r w:rsidR="009A78EF">
        <w:rPr>
          <w:rFonts w:ascii="Arial" w:hAnsi="Arial" w:cs="Arial"/>
          <w:b w:val="0"/>
          <w:color w:val="auto"/>
          <w:sz w:val="24"/>
        </w:rPr>
        <w:t>unutarnjeg</w:t>
      </w:r>
      <w:r w:rsidRPr="00337704">
        <w:rPr>
          <w:rFonts w:ascii="Arial" w:hAnsi="Arial" w:cs="Arial"/>
          <w:b w:val="0"/>
          <w:color w:val="auto"/>
          <w:sz w:val="24"/>
        </w:rPr>
        <w:t xml:space="preserve"> duga</w:t>
      </w:r>
      <w:r w:rsidR="0081642B" w:rsidRPr="00337704">
        <w:rPr>
          <w:rFonts w:ascii="Arial" w:hAnsi="Arial" w:cs="Arial"/>
          <w:b w:val="0"/>
          <w:color w:val="auto"/>
          <w:sz w:val="24"/>
        </w:rPr>
        <w:t xml:space="preserve"> </w:t>
      </w:r>
      <w:r w:rsidR="0081642B" w:rsidRPr="00D912D1">
        <w:rPr>
          <w:rFonts w:ascii="Arial" w:hAnsi="Arial" w:cs="Arial"/>
          <w:b w:val="0"/>
          <w:color w:val="auto"/>
          <w:sz w:val="24"/>
        </w:rPr>
        <w:t>F</w:t>
      </w:r>
      <w:r w:rsidR="00AF4632" w:rsidRPr="00D912D1">
        <w:rPr>
          <w:rFonts w:ascii="Arial" w:hAnsi="Arial" w:cs="Arial"/>
          <w:b w:val="0"/>
          <w:color w:val="auto"/>
          <w:sz w:val="24"/>
        </w:rPr>
        <w:t xml:space="preserve">ederacije </w:t>
      </w:r>
      <w:r w:rsidR="0081642B" w:rsidRPr="00FB6FC8">
        <w:rPr>
          <w:rFonts w:ascii="Arial" w:hAnsi="Arial" w:cs="Arial"/>
          <w:b w:val="0"/>
          <w:color w:val="auto"/>
          <w:sz w:val="24"/>
        </w:rPr>
        <w:t>BiH</w:t>
      </w:r>
      <w:r w:rsidR="0027009B" w:rsidRPr="00FB6FC8">
        <w:rPr>
          <w:rFonts w:ascii="Arial" w:hAnsi="Arial" w:cs="Arial"/>
          <w:b w:val="0"/>
          <w:color w:val="auto"/>
          <w:sz w:val="24"/>
        </w:rPr>
        <w:t xml:space="preserve"> na dan 31.12.</w:t>
      </w:r>
      <w:r w:rsidR="00CD4DD1" w:rsidRPr="00FB6FC8">
        <w:rPr>
          <w:rFonts w:ascii="Arial" w:hAnsi="Arial" w:cs="Arial"/>
          <w:b w:val="0"/>
          <w:color w:val="auto"/>
          <w:sz w:val="24"/>
        </w:rPr>
        <w:t>2021</w:t>
      </w:r>
      <w:r w:rsidR="0027009B" w:rsidRPr="00FB6FC8">
        <w:rPr>
          <w:rFonts w:ascii="Arial" w:hAnsi="Arial" w:cs="Arial"/>
          <w:b w:val="0"/>
          <w:color w:val="auto"/>
          <w:sz w:val="24"/>
        </w:rPr>
        <w:t>. godine</w:t>
      </w:r>
      <w:bookmarkEnd w:id="87"/>
    </w:p>
    <w:p w14:paraId="0473E1F3" w14:textId="77777777" w:rsidR="00ED768D" w:rsidRDefault="00ED768D" w:rsidP="00ED768D">
      <w:pPr>
        <w:pStyle w:val="NoSpacing"/>
        <w:tabs>
          <w:tab w:val="left" w:pos="2475"/>
        </w:tabs>
        <w:jc w:val="both"/>
        <w:rPr>
          <w:rFonts w:ascii="Arial" w:hAnsi="Arial" w:cs="Arial"/>
          <w:lang w:val="hr-HR"/>
        </w:rPr>
      </w:pPr>
      <w:r w:rsidRPr="00AF7CAC">
        <w:rPr>
          <w:rFonts w:ascii="Arial" w:hAnsi="Arial" w:cs="Arial"/>
          <w:lang w:val="hr-HR"/>
        </w:rPr>
        <w:tab/>
      </w:r>
    </w:p>
    <w:p w14:paraId="4144BDFA" w14:textId="77777777" w:rsidR="00337704" w:rsidRPr="00AF7CAC" w:rsidRDefault="00337704" w:rsidP="00ED768D">
      <w:pPr>
        <w:pStyle w:val="NoSpacing"/>
        <w:tabs>
          <w:tab w:val="left" w:pos="2475"/>
        </w:tabs>
        <w:jc w:val="both"/>
        <w:rPr>
          <w:rFonts w:ascii="Arial" w:hAnsi="Arial" w:cs="Arial"/>
          <w:lang w:val="hr-HR"/>
        </w:rPr>
      </w:pPr>
    </w:p>
    <w:p w14:paraId="6CAFE145" w14:textId="062EDB5A" w:rsidR="0081642B" w:rsidRPr="00FB6FC8" w:rsidRDefault="00DA7CD0" w:rsidP="006F06B8">
      <w:pPr>
        <w:pStyle w:val="NoSpacing"/>
        <w:spacing w:line="276" w:lineRule="auto"/>
        <w:ind w:firstLine="284"/>
        <w:jc w:val="both"/>
        <w:rPr>
          <w:rFonts w:ascii="Arial" w:hAnsi="Arial" w:cs="Arial"/>
          <w:szCs w:val="24"/>
          <w:lang w:val="hr-HR"/>
        </w:rPr>
      </w:pPr>
      <w:r>
        <w:rPr>
          <w:rFonts w:ascii="Arial" w:hAnsi="Arial" w:cs="Arial"/>
          <w:szCs w:val="24"/>
          <w:lang w:val="hr-HR"/>
        </w:rPr>
        <w:t>Unutarnji</w:t>
      </w:r>
      <w:r w:rsidR="00ED768D" w:rsidRPr="00D912D1">
        <w:rPr>
          <w:rFonts w:ascii="Arial" w:hAnsi="Arial" w:cs="Arial"/>
          <w:szCs w:val="24"/>
          <w:lang w:val="hr-HR"/>
        </w:rPr>
        <w:t xml:space="preserve"> dug </w:t>
      </w:r>
      <w:r w:rsidR="0081642B" w:rsidRPr="00D912D1">
        <w:rPr>
          <w:rFonts w:ascii="Arial" w:hAnsi="Arial" w:cs="Arial"/>
          <w:lang w:val="hr-HR"/>
        </w:rPr>
        <w:t>koji je uključen u Strategiju sastoji se od</w:t>
      </w:r>
      <w:r w:rsidR="0081642B" w:rsidRPr="00FB6FC8">
        <w:rPr>
          <w:rFonts w:ascii="Arial" w:hAnsi="Arial" w:cs="Arial"/>
          <w:szCs w:val="24"/>
          <w:lang w:val="hr-HR"/>
        </w:rPr>
        <w:t xml:space="preserve"> duga </w:t>
      </w:r>
      <w:r w:rsidR="007A2F27" w:rsidRPr="00FB6FC8">
        <w:rPr>
          <w:rFonts w:ascii="Arial" w:hAnsi="Arial" w:cs="Arial"/>
          <w:szCs w:val="24"/>
          <w:lang w:val="hr-HR"/>
        </w:rPr>
        <w:t>koji je nastao u skladu sa zakonom</w:t>
      </w:r>
      <w:r w:rsidR="007A2F27" w:rsidRPr="00FB6FC8">
        <w:rPr>
          <w:rStyle w:val="FootnoteReference"/>
          <w:rFonts w:ascii="Arial" w:hAnsi="Arial" w:cs="Arial"/>
          <w:szCs w:val="24"/>
          <w:lang w:val="hr-HR"/>
        </w:rPr>
        <w:footnoteReference w:id="6"/>
      </w:r>
      <w:r w:rsidR="007A2F27" w:rsidRPr="00FB6FC8">
        <w:rPr>
          <w:rFonts w:ascii="Arial" w:hAnsi="Arial" w:cs="Arial"/>
          <w:szCs w:val="24"/>
          <w:lang w:val="hr-HR"/>
        </w:rPr>
        <w:t xml:space="preserve"> </w:t>
      </w:r>
      <w:r w:rsidR="003511A6" w:rsidRPr="00FB6FC8">
        <w:rPr>
          <w:rFonts w:ascii="Arial" w:hAnsi="Arial" w:cs="Arial"/>
          <w:szCs w:val="24"/>
          <w:lang w:val="hr-HR"/>
        </w:rPr>
        <w:t xml:space="preserve">u obliku vrijednosnih papira </w:t>
      </w:r>
      <w:r w:rsidR="0081642B" w:rsidRPr="00FB6FC8">
        <w:rPr>
          <w:rFonts w:ascii="Arial" w:hAnsi="Arial" w:cs="Arial"/>
          <w:szCs w:val="24"/>
          <w:lang w:val="hr-HR"/>
        </w:rPr>
        <w:t xml:space="preserve">i </w:t>
      </w:r>
      <w:r w:rsidR="009A78EF">
        <w:rPr>
          <w:rFonts w:ascii="Arial" w:hAnsi="Arial" w:cs="Arial"/>
          <w:szCs w:val="24"/>
          <w:lang w:val="hr-HR"/>
        </w:rPr>
        <w:t>unutarnjeg</w:t>
      </w:r>
      <w:r w:rsidR="007A2F27" w:rsidRPr="00FB6FC8">
        <w:rPr>
          <w:rFonts w:ascii="Arial" w:hAnsi="Arial" w:cs="Arial"/>
          <w:szCs w:val="24"/>
          <w:lang w:val="hr-HR"/>
        </w:rPr>
        <w:t xml:space="preserve"> </w:t>
      </w:r>
      <w:r w:rsidR="0081642B" w:rsidRPr="00FB6FC8">
        <w:rPr>
          <w:rFonts w:ascii="Arial" w:hAnsi="Arial" w:cs="Arial"/>
          <w:szCs w:val="24"/>
          <w:lang w:val="hr-HR"/>
        </w:rPr>
        <w:t>duga nastalog emisijom tržišnih vrijednosnih papira.</w:t>
      </w:r>
      <w:r w:rsidR="00667EFF" w:rsidRPr="00FB6FC8">
        <w:rPr>
          <w:rFonts w:ascii="Arial" w:hAnsi="Arial" w:cs="Arial"/>
          <w:szCs w:val="24"/>
          <w:lang w:val="hr-HR"/>
        </w:rPr>
        <w:t xml:space="preserve"> </w:t>
      </w:r>
      <w:r>
        <w:rPr>
          <w:rFonts w:ascii="Arial" w:hAnsi="Arial" w:cs="Arial"/>
          <w:szCs w:val="24"/>
          <w:lang w:val="hr-HR"/>
        </w:rPr>
        <w:t>Unutarnji</w:t>
      </w:r>
      <w:r w:rsidR="00667EFF" w:rsidRPr="00FB6FC8">
        <w:rPr>
          <w:rFonts w:ascii="Arial" w:hAnsi="Arial" w:cs="Arial"/>
          <w:szCs w:val="24"/>
          <w:lang w:val="hr-HR"/>
        </w:rPr>
        <w:t xml:space="preserve"> dug ugovoren je </w:t>
      </w:r>
      <w:r w:rsidR="003F1067" w:rsidRPr="00FB6FC8">
        <w:rPr>
          <w:rFonts w:ascii="Arial" w:hAnsi="Arial" w:cs="Arial"/>
          <w:szCs w:val="24"/>
          <w:lang w:val="hr-HR"/>
        </w:rPr>
        <w:t xml:space="preserve">u domaćoj valuti </w:t>
      </w:r>
      <w:r w:rsidR="007A2F27" w:rsidRPr="00FB6FC8">
        <w:rPr>
          <w:rFonts w:ascii="Arial" w:hAnsi="Arial" w:cs="Arial"/>
          <w:szCs w:val="24"/>
          <w:lang w:val="hr-HR"/>
        </w:rPr>
        <w:t xml:space="preserve">(KM) </w:t>
      </w:r>
      <w:r w:rsidR="003F1067" w:rsidRPr="00FB6FC8">
        <w:rPr>
          <w:rFonts w:ascii="Arial" w:hAnsi="Arial" w:cs="Arial"/>
          <w:szCs w:val="24"/>
          <w:lang w:val="hr-HR"/>
        </w:rPr>
        <w:t xml:space="preserve">i </w:t>
      </w:r>
      <w:r w:rsidR="0054227A">
        <w:rPr>
          <w:rFonts w:ascii="Arial" w:hAnsi="Arial" w:cs="Arial"/>
          <w:szCs w:val="24"/>
          <w:lang w:val="hr-HR"/>
        </w:rPr>
        <w:t>s</w:t>
      </w:r>
      <w:r w:rsidR="00667EFF" w:rsidRPr="00FB6FC8">
        <w:rPr>
          <w:rFonts w:ascii="Arial" w:hAnsi="Arial" w:cs="Arial"/>
          <w:szCs w:val="24"/>
          <w:lang w:val="hr-HR"/>
        </w:rPr>
        <w:t xml:space="preserve"> fiksnim kamatnim stopama. </w:t>
      </w:r>
    </w:p>
    <w:p w14:paraId="6EEF11A6" w14:textId="77777777" w:rsidR="003F1067" w:rsidRPr="00FB6FC8" w:rsidRDefault="003F1067" w:rsidP="006F06B8">
      <w:pPr>
        <w:pStyle w:val="NoSpacing"/>
        <w:spacing w:line="276" w:lineRule="auto"/>
        <w:ind w:firstLine="284"/>
        <w:jc w:val="both"/>
        <w:rPr>
          <w:rFonts w:ascii="Arial" w:hAnsi="Arial" w:cs="Arial"/>
          <w:szCs w:val="24"/>
          <w:lang w:val="hr-HR"/>
        </w:rPr>
      </w:pPr>
    </w:p>
    <w:p w14:paraId="7554C7F8" w14:textId="3A795B2C" w:rsidR="0081642B" w:rsidRPr="00667EFF" w:rsidRDefault="0081642B" w:rsidP="008A373E">
      <w:pPr>
        <w:rPr>
          <w:rFonts w:ascii="Arial" w:hAnsi="Arial" w:cs="Arial"/>
        </w:rPr>
      </w:pPr>
      <w:r w:rsidRPr="00FB6FC8">
        <w:rPr>
          <w:rFonts w:ascii="Arial" w:hAnsi="Arial" w:cs="Arial"/>
        </w:rPr>
        <w:t>Tab</w:t>
      </w:r>
      <w:r w:rsidR="0054227A">
        <w:rPr>
          <w:rFonts w:ascii="Arial" w:hAnsi="Arial" w:cs="Arial"/>
        </w:rPr>
        <w:t>lica</w:t>
      </w:r>
      <w:r w:rsidRPr="00FB6FC8">
        <w:rPr>
          <w:rFonts w:ascii="Arial" w:hAnsi="Arial" w:cs="Arial"/>
        </w:rPr>
        <w:t xml:space="preserve"> 4. </w:t>
      </w:r>
      <w:r w:rsidR="00DA7CD0">
        <w:rPr>
          <w:rFonts w:ascii="Arial" w:hAnsi="Arial" w:cs="Arial"/>
        </w:rPr>
        <w:t>Unutarnji</w:t>
      </w:r>
      <w:r w:rsidRPr="00FB6FC8">
        <w:rPr>
          <w:rFonts w:ascii="Arial" w:hAnsi="Arial" w:cs="Arial"/>
        </w:rPr>
        <w:t xml:space="preserve"> dug </w:t>
      </w:r>
      <w:r w:rsidR="00C235EB" w:rsidRPr="00FB6FC8">
        <w:rPr>
          <w:rFonts w:ascii="Arial" w:hAnsi="Arial" w:cs="Arial"/>
        </w:rPr>
        <w:t>F</w:t>
      </w:r>
      <w:r w:rsidR="00A5324C" w:rsidRPr="00FB6FC8">
        <w:rPr>
          <w:rFonts w:ascii="Arial" w:hAnsi="Arial" w:cs="Arial"/>
        </w:rPr>
        <w:t xml:space="preserve">ederacije </w:t>
      </w:r>
      <w:r w:rsidR="00C235EB" w:rsidRPr="00FB6FC8">
        <w:rPr>
          <w:rFonts w:ascii="Arial" w:hAnsi="Arial" w:cs="Arial"/>
        </w:rPr>
        <w:t xml:space="preserve">BiH </w:t>
      </w:r>
      <w:r w:rsidRPr="00FB6FC8">
        <w:rPr>
          <w:rFonts w:ascii="Arial" w:hAnsi="Arial" w:cs="Arial"/>
        </w:rPr>
        <w:t>uključen u Strategiju</w:t>
      </w:r>
      <w:r w:rsidRPr="00667EFF">
        <w:rPr>
          <w:rFonts w:ascii="Arial" w:hAnsi="Arial" w:cs="Arial"/>
        </w:rPr>
        <w:t xml:space="preserve"> </w:t>
      </w:r>
    </w:p>
    <w:tbl>
      <w:tblPr>
        <w:tblW w:w="5000" w:type="pct"/>
        <w:tblLook w:val="04A0" w:firstRow="1" w:lastRow="0" w:firstColumn="1" w:lastColumn="0" w:noHBand="0" w:noVBand="1"/>
      </w:tblPr>
      <w:tblGrid>
        <w:gridCol w:w="5234"/>
        <w:gridCol w:w="2464"/>
        <w:gridCol w:w="1615"/>
      </w:tblGrid>
      <w:tr w:rsidR="003333F1" w:rsidRPr="003333F1" w14:paraId="54F1C3A5" w14:textId="77777777" w:rsidTr="00445180">
        <w:trPr>
          <w:trHeight w:val="345"/>
        </w:trPr>
        <w:tc>
          <w:tcPr>
            <w:tcW w:w="2810" w:type="pct"/>
            <w:tcBorders>
              <w:top w:val="single" w:sz="8" w:space="0" w:color="4F81BD"/>
              <w:left w:val="single" w:sz="8" w:space="0" w:color="0070C0"/>
              <w:bottom w:val="nil"/>
              <w:right w:val="nil"/>
            </w:tcBorders>
            <w:shd w:val="clear" w:color="auto" w:fill="auto"/>
            <w:noWrap/>
            <w:vAlign w:val="center"/>
            <w:hideMark/>
          </w:tcPr>
          <w:p w14:paraId="02D4CED5" w14:textId="77777777" w:rsidR="003333F1" w:rsidRPr="003333F1" w:rsidRDefault="003333F1" w:rsidP="003333F1">
            <w:pPr>
              <w:spacing w:after="0" w:line="240" w:lineRule="auto"/>
              <w:jc w:val="center"/>
              <w:rPr>
                <w:rFonts w:ascii="Arial Narrow" w:eastAsia="Times New Roman" w:hAnsi="Arial Narrow" w:cs="Calibri"/>
                <w:lang w:val="en-US"/>
              </w:rPr>
            </w:pPr>
            <w:r w:rsidRPr="003333F1">
              <w:rPr>
                <w:rFonts w:ascii="Arial Narrow" w:eastAsia="Times New Roman" w:hAnsi="Arial Narrow" w:cs="Calibri"/>
              </w:rPr>
              <w:t>Vrsta duga</w:t>
            </w:r>
          </w:p>
        </w:tc>
        <w:tc>
          <w:tcPr>
            <w:tcW w:w="1323" w:type="pct"/>
            <w:tcBorders>
              <w:top w:val="single" w:sz="8" w:space="0" w:color="4F81BD"/>
              <w:left w:val="nil"/>
              <w:bottom w:val="nil"/>
              <w:right w:val="nil"/>
            </w:tcBorders>
            <w:shd w:val="clear" w:color="auto" w:fill="auto"/>
            <w:noWrap/>
            <w:vAlign w:val="center"/>
            <w:hideMark/>
          </w:tcPr>
          <w:p w14:paraId="390F84BD" w14:textId="77777777" w:rsidR="003333F1" w:rsidRPr="003333F1" w:rsidRDefault="003333F1" w:rsidP="003333F1">
            <w:pPr>
              <w:spacing w:after="0" w:line="240" w:lineRule="auto"/>
              <w:jc w:val="center"/>
              <w:rPr>
                <w:rFonts w:ascii="Arial Narrow" w:eastAsia="Times New Roman" w:hAnsi="Arial Narrow" w:cs="Calibri"/>
                <w:lang w:val="en-US"/>
              </w:rPr>
            </w:pPr>
            <w:r w:rsidRPr="003333F1">
              <w:rPr>
                <w:rFonts w:ascii="Arial Narrow" w:eastAsia="Times New Roman" w:hAnsi="Arial Narrow" w:cs="Calibri"/>
              </w:rPr>
              <w:t>Uključen (√)/ Isključen (x)</w:t>
            </w:r>
          </w:p>
        </w:tc>
        <w:tc>
          <w:tcPr>
            <w:tcW w:w="867" w:type="pct"/>
            <w:tcBorders>
              <w:top w:val="single" w:sz="8" w:space="0" w:color="4F81BD"/>
              <w:left w:val="nil"/>
              <w:bottom w:val="nil"/>
              <w:right w:val="single" w:sz="8" w:space="0" w:color="0070C0"/>
            </w:tcBorders>
            <w:shd w:val="clear" w:color="auto" w:fill="auto"/>
            <w:noWrap/>
            <w:vAlign w:val="center"/>
            <w:hideMark/>
          </w:tcPr>
          <w:p w14:paraId="23642BD1" w14:textId="77777777" w:rsidR="003333F1" w:rsidRPr="003333F1" w:rsidRDefault="003333F1" w:rsidP="003333F1">
            <w:pPr>
              <w:spacing w:after="0" w:line="240" w:lineRule="auto"/>
              <w:jc w:val="center"/>
              <w:rPr>
                <w:rFonts w:ascii="Arial Narrow" w:eastAsia="Times New Roman" w:hAnsi="Arial Narrow" w:cs="Calibri"/>
                <w:lang w:val="en-US"/>
              </w:rPr>
            </w:pPr>
            <w:r w:rsidRPr="003333F1">
              <w:rPr>
                <w:rFonts w:ascii="Arial Narrow" w:eastAsia="Times New Roman" w:hAnsi="Arial Narrow" w:cs="Calibri"/>
              </w:rPr>
              <w:t>Iznos (mil.KM)</w:t>
            </w:r>
          </w:p>
        </w:tc>
      </w:tr>
      <w:tr w:rsidR="003333F1" w:rsidRPr="003333F1" w14:paraId="671FC8A8" w14:textId="77777777" w:rsidTr="00445180">
        <w:trPr>
          <w:trHeight w:val="330"/>
        </w:trPr>
        <w:tc>
          <w:tcPr>
            <w:tcW w:w="2810" w:type="pct"/>
            <w:tcBorders>
              <w:top w:val="nil"/>
              <w:left w:val="single" w:sz="8" w:space="0" w:color="4F81BD"/>
              <w:bottom w:val="nil"/>
              <w:right w:val="nil"/>
            </w:tcBorders>
            <w:shd w:val="clear" w:color="auto" w:fill="auto"/>
            <w:noWrap/>
            <w:vAlign w:val="center"/>
            <w:hideMark/>
          </w:tcPr>
          <w:p w14:paraId="59EB7F29" w14:textId="019F9926" w:rsidR="003333F1" w:rsidRPr="003333F1" w:rsidRDefault="00DA7CD0" w:rsidP="003333F1">
            <w:pPr>
              <w:spacing w:after="0" w:line="240" w:lineRule="auto"/>
              <w:rPr>
                <w:rFonts w:ascii="Arial Narrow" w:eastAsia="Times New Roman" w:hAnsi="Arial Narrow" w:cs="Calibri"/>
                <w:lang w:val="en-US"/>
              </w:rPr>
            </w:pPr>
            <w:r>
              <w:rPr>
                <w:rFonts w:ascii="Arial Narrow" w:eastAsia="Times New Roman" w:hAnsi="Arial Narrow" w:cs="Calibri"/>
              </w:rPr>
              <w:t>Unutarnji</w:t>
            </w:r>
            <w:r w:rsidR="003333F1" w:rsidRPr="003333F1">
              <w:rPr>
                <w:rFonts w:ascii="Arial Narrow" w:eastAsia="Times New Roman" w:hAnsi="Arial Narrow" w:cs="Calibri"/>
              </w:rPr>
              <w:t xml:space="preserve"> dug FBiH, od čega:</w:t>
            </w:r>
          </w:p>
        </w:tc>
        <w:tc>
          <w:tcPr>
            <w:tcW w:w="1323" w:type="pct"/>
            <w:tcBorders>
              <w:top w:val="nil"/>
              <w:left w:val="nil"/>
              <w:bottom w:val="nil"/>
              <w:right w:val="nil"/>
            </w:tcBorders>
            <w:shd w:val="clear" w:color="auto" w:fill="auto"/>
            <w:noWrap/>
            <w:vAlign w:val="center"/>
            <w:hideMark/>
          </w:tcPr>
          <w:p w14:paraId="3A7A2927" w14:textId="77777777" w:rsidR="003333F1" w:rsidRPr="003333F1" w:rsidRDefault="003333F1" w:rsidP="003333F1">
            <w:pPr>
              <w:spacing w:after="0" w:line="240" w:lineRule="auto"/>
              <w:rPr>
                <w:rFonts w:ascii="Arial Narrow" w:eastAsia="Times New Roman" w:hAnsi="Arial Narrow" w:cs="Calibri"/>
                <w:lang w:val="en-US"/>
              </w:rPr>
            </w:pPr>
          </w:p>
        </w:tc>
        <w:tc>
          <w:tcPr>
            <w:tcW w:w="867" w:type="pct"/>
            <w:tcBorders>
              <w:top w:val="nil"/>
              <w:left w:val="nil"/>
              <w:bottom w:val="nil"/>
              <w:right w:val="single" w:sz="8" w:space="0" w:color="0070C0"/>
            </w:tcBorders>
            <w:shd w:val="clear" w:color="auto" w:fill="auto"/>
            <w:noWrap/>
            <w:vAlign w:val="center"/>
            <w:hideMark/>
          </w:tcPr>
          <w:p w14:paraId="7B898E2A" w14:textId="77777777" w:rsidR="003333F1" w:rsidRPr="003333F1" w:rsidRDefault="003333F1" w:rsidP="00445180">
            <w:pPr>
              <w:spacing w:after="0" w:line="240" w:lineRule="auto"/>
              <w:jc w:val="right"/>
              <w:rPr>
                <w:rFonts w:ascii="Arial Narrow" w:eastAsia="Times New Roman" w:hAnsi="Arial Narrow" w:cs="Calibri"/>
                <w:lang w:val="en-US"/>
              </w:rPr>
            </w:pPr>
            <w:r w:rsidRPr="003333F1">
              <w:rPr>
                <w:rFonts w:ascii="Arial Narrow" w:eastAsia="Times New Roman" w:hAnsi="Arial Narrow" w:cs="Calibri"/>
              </w:rPr>
              <w:t>754,27</w:t>
            </w:r>
          </w:p>
        </w:tc>
      </w:tr>
      <w:tr w:rsidR="003333F1" w:rsidRPr="003333F1" w14:paraId="0CDB62E6" w14:textId="77777777" w:rsidTr="00445180">
        <w:trPr>
          <w:trHeight w:val="330"/>
        </w:trPr>
        <w:tc>
          <w:tcPr>
            <w:tcW w:w="2810" w:type="pct"/>
            <w:tcBorders>
              <w:top w:val="nil"/>
              <w:left w:val="single" w:sz="8" w:space="0" w:color="4F81BD"/>
              <w:bottom w:val="nil"/>
              <w:right w:val="nil"/>
            </w:tcBorders>
            <w:shd w:val="clear" w:color="auto" w:fill="auto"/>
            <w:noWrap/>
            <w:vAlign w:val="center"/>
            <w:hideMark/>
          </w:tcPr>
          <w:p w14:paraId="4961C858" w14:textId="77777777" w:rsidR="003333F1" w:rsidRPr="003333F1" w:rsidRDefault="003333F1" w:rsidP="003333F1">
            <w:pPr>
              <w:spacing w:after="0" w:line="240" w:lineRule="auto"/>
              <w:ind w:firstLineChars="300" w:firstLine="660"/>
              <w:rPr>
                <w:rFonts w:ascii="Arial Narrow" w:eastAsia="Times New Roman" w:hAnsi="Arial Narrow" w:cs="Calibri"/>
                <w:lang w:val="en-US"/>
              </w:rPr>
            </w:pPr>
            <w:r w:rsidRPr="003333F1">
              <w:rPr>
                <w:rFonts w:ascii="Arial Narrow" w:eastAsia="Times New Roman" w:hAnsi="Arial Narrow" w:cs="Calibri"/>
              </w:rPr>
              <w:t>-          Trezorski zapisi FBiH</w:t>
            </w:r>
          </w:p>
        </w:tc>
        <w:tc>
          <w:tcPr>
            <w:tcW w:w="1323" w:type="pct"/>
            <w:tcBorders>
              <w:top w:val="nil"/>
              <w:left w:val="nil"/>
              <w:bottom w:val="nil"/>
              <w:right w:val="nil"/>
            </w:tcBorders>
            <w:shd w:val="clear" w:color="auto" w:fill="auto"/>
            <w:noWrap/>
            <w:vAlign w:val="center"/>
            <w:hideMark/>
          </w:tcPr>
          <w:p w14:paraId="474FC6B6" w14:textId="77777777" w:rsidR="003333F1" w:rsidRPr="003333F1" w:rsidRDefault="003333F1" w:rsidP="003333F1">
            <w:pPr>
              <w:spacing w:after="0" w:line="240" w:lineRule="auto"/>
              <w:jc w:val="center"/>
              <w:rPr>
                <w:rFonts w:ascii="Arial Narrow" w:eastAsia="Times New Roman" w:hAnsi="Arial Narrow" w:cs="Calibri"/>
                <w:lang w:val="en-US"/>
              </w:rPr>
            </w:pPr>
            <w:r w:rsidRPr="003333F1">
              <w:rPr>
                <w:rFonts w:ascii="Arial Narrow" w:eastAsia="Times New Roman" w:hAnsi="Arial Narrow" w:cs="Calibri"/>
              </w:rPr>
              <w:t>√</w:t>
            </w:r>
          </w:p>
        </w:tc>
        <w:tc>
          <w:tcPr>
            <w:tcW w:w="867" w:type="pct"/>
            <w:tcBorders>
              <w:top w:val="nil"/>
              <w:left w:val="nil"/>
              <w:bottom w:val="nil"/>
              <w:right w:val="single" w:sz="8" w:space="0" w:color="0070C0"/>
            </w:tcBorders>
            <w:shd w:val="clear" w:color="auto" w:fill="auto"/>
            <w:noWrap/>
            <w:vAlign w:val="center"/>
            <w:hideMark/>
          </w:tcPr>
          <w:p w14:paraId="5A871FCA" w14:textId="77777777" w:rsidR="003333F1" w:rsidRPr="003333F1" w:rsidRDefault="003333F1" w:rsidP="00445180">
            <w:pPr>
              <w:spacing w:after="0" w:line="240" w:lineRule="auto"/>
              <w:jc w:val="right"/>
              <w:rPr>
                <w:rFonts w:ascii="Arial Narrow" w:eastAsia="Times New Roman" w:hAnsi="Arial Narrow" w:cs="Calibri"/>
                <w:lang w:val="en-US"/>
              </w:rPr>
            </w:pPr>
            <w:r w:rsidRPr="003333F1">
              <w:rPr>
                <w:rFonts w:ascii="Arial Narrow" w:eastAsia="Times New Roman" w:hAnsi="Arial Narrow" w:cs="Calibri"/>
              </w:rPr>
              <w:t>50,00</w:t>
            </w:r>
          </w:p>
        </w:tc>
      </w:tr>
      <w:tr w:rsidR="003333F1" w:rsidRPr="003333F1" w14:paraId="5B3C008D" w14:textId="77777777" w:rsidTr="00445180">
        <w:trPr>
          <w:trHeight w:val="345"/>
        </w:trPr>
        <w:tc>
          <w:tcPr>
            <w:tcW w:w="2810" w:type="pct"/>
            <w:tcBorders>
              <w:top w:val="nil"/>
              <w:left w:val="single" w:sz="8" w:space="0" w:color="4F81BD"/>
              <w:bottom w:val="nil"/>
              <w:right w:val="nil"/>
            </w:tcBorders>
            <w:shd w:val="clear" w:color="auto" w:fill="auto"/>
            <w:noWrap/>
            <w:vAlign w:val="center"/>
            <w:hideMark/>
          </w:tcPr>
          <w:p w14:paraId="576DD537" w14:textId="77777777" w:rsidR="003333F1" w:rsidRPr="003333F1" w:rsidRDefault="003333F1" w:rsidP="003333F1">
            <w:pPr>
              <w:spacing w:after="0" w:line="240" w:lineRule="auto"/>
              <w:ind w:firstLineChars="300" w:firstLine="660"/>
              <w:rPr>
                <w:rFonts w:ascii="Arial Narrow" w:eastAsia="Times New Roman" w:hAnsi="Arial Narrow" w:cs="Calibri"/>
                <w:lang w:val="en-US"/>
              </w:rPr>
            </w:pPr>
            <w:r w:rsidRPr="003333F1">
              <w:rPr>
                <w:rFonts w:ascii="Arial Narrow" w:eastAsia="Times New Roman" w:hAnsi="Arial Narrow" w:cs="Calibri"/>
              </w:rPr>
              <w:t>-          Trezorske obveznice FBiH</w:t>
            </w:r>
          </w:p>
        </w:tc>
        <w:tc>
          <w:tcPr>
            <w:tcW w:w="1323" w:type="pct"/>
            <w:tcBorders>
              <w:top w:val="nil"/>
              <w:left w:val="nil"/>
              <w:bottom w:val="nil"/>
              <w:right w:val="nil"/>
            </w:tcBorders>
            <w:shd w:val="clear" w:color="auto" w:fill="auto"/>
            <w:noWrap/>
            <w:vAlign w:val="center"/>
            <w:hideMark/>
          </w:tcPr>
          <w:p w14:paraId="2B9979A5" w14:textId="77777777" w:rsidR="003333F1" w:rsidRPr="003333F1" w:rsidRDefault="003333F1" w:rsidP="003333F1">
            <w:pPr>
              <w:spacing w:after="0" w:line="240" w:lineRule="auto"/>
              <w:jc w:val="center"/>
              <w:rPr>
                <w:rFonts w:ascii="Arial Narrow" w:eastAsia="Times New Roman" w:hAnsi="Arial Narrow" w:cs="Calibri"/>
                <w:lang w:val="en-US"/>
              </w:rPr>
            </w:pPr>
            <w:r w:rsidRPr="003333F1">
              <w:rPr>
                <w:rFonts w:ascii="Arial Narrow" w:eastAsia="Times New Roman" w:hAnsi="Arial Narrow" w:cs="Calibri"/>
              </w:rPr>
              <w:t>√</w:t>
            </w:r>
          </w:p>
        </w:tc>
        <w:tc>
          <w:tcPr>
            <w:tcW w:w="867" w:type="pct"/>
            <w:tcBorders>
              <w:top w:val="nil"/>
              <w:left w:val="nil"/>
              <w:bottom w:val="nil"/>
              <w:right w:val="single" w:sz="8" w:space="0" w:color="0070C0"/>
            </w:tcBorders>
            <w:shd w:val="clear" w:color="auto" w:fill="auto"/>
            <w:noWrap/>
            <w:vAlign w:val="center"/>
            <w:hideMark/>
          </w:tcPr>
          <w:p w14:paraId="39DC808A" w14:textId="77777777" w:rsidR="003333F1" w:rsidRPr="003333F1" w:rsidRDefault="003333F1" w:rsidP="00445180">
            <w:pPr>
              <w:spacing w:after="0" w:line="240" w:lineRule="auto"/>
              <w:jc w:val="right"/>
              <w:rPr>
                <w:rFonts w:ascii="Arial Narrow" w:eastAsia="Times New Roman" w:hAnsi="Arial Narrow" w:cs="Calibri"/>
                <w:lang w:val="en-US"/>
              </w:rPr>
            </w:pPr>
            <w:r w:rsidRPr="003333F1">
              <w:rPr>
                <w:rFonts w:ascii="Arial Narrow" w:eastAsia="Times New Roman" w:hAnsi="Arial Narrow" w:cs="Calibri"/>
              </w:rPr>
              <w:t>630,00</w:t>
            </w:r>
          </w:p>
        </w:tc>
      </w:tr>
      <w:tr w:rsidR="003333F1" w:rsidRPr="003333F1" w14:paraId="06F8B688" w14:textId="77777777" w:rsidTr="00445180">
        <w:trPr>
          <w:trHeight w:val="345"/>
        </w:trPr>
        <w:tc>
          <w:tcPr>
            <w:tcW w:w="2810" w:type="pct"/>
            <w:tcBorders>
              <w:top w:val="nil"/>
              <w:left w:val="single" w:sz="8" w:space="0" w:color="4F81BD"/>
              <w:bottom w:val="single" w:sz="8" w:space="0" w:color="4F81BD"/>
              <w:right w:val="nil"/>
            </w:tcBorders>
            <w:shd w:val="clear" w:color="auto" w:fill="auto"/>
            <w:noWrap/>
            <w:vAlign w:val="center"/>
            <w:hideMark/>
          </w:tcPr>
          <w:p w14:paraId="27EE19EF" w14:textId="77777777" w:rsidR="003333F1" w:rsidRPr="003333F1" w:rsidRDefault="003333F1" w:rsidP="003333F1">
            <w:pPr>
              <w:spacing w:after="0" w:line="240" w:lineRule="auto"/>
              <w:ind w:firstLineChars="300" w:firstLine="660"/>
              <w:rPr>
                <w:rFonts w:ascii="Arial Narrow" w:eastAsia="Times New Roman" w:hAnsi="Arial Narrow" w:cs="Calibri"/>
                <w:lang w:val="en-US"/>
              </w:rPr>
            </w:pPr>
            <w:r w:rsidRPr="003333F1">
              <w:rPr>
                <w:rFonts w:ascii="Arial Narrow" w:eastAsia="Times New Roman" w:hAnsi="Arial Narrow" w:cs="Calibri"/>
              </w:rPr>
              <w:t>-          Obveznice za ratna potraživanja (RT)</w:t>
            </w:r>
          </w:p>
        </w:tc>
        <w:tc>
          <w:tcPr>
            <w:tcW w:w="1323" w:type="pct"/>
            <w:tcBorders>
              <w:top w:val="nil"/>
              <w:left w:val="nil"/>
              <w:bottom w:val="single" w:sz="8" w:space="0" w:color="4F81BD"/>
              <w:right w:val="nil"/>
            </w:tcBorders>
            <w:shd w:val="clear" w:color="auto" w:fill="auto"/>
            <w:noWrap/>
            <w:vAlign w:val="center"/>
            <w:hideMark/>
          </w:tcPr>
          <w:p w14:paraId="7465B133" w14:textId="77777777" w:rsidR="003333F1" w:rsidRPr="003333F1" w:rsidRDefault="003333F1" w:rsidP="003333F1">
            <w:pPr>
              <w:spacing w:after="0" w:line="240" w:lineRule="auto"/>
              <w:jc w:val="center"/>
              <w:rPr>
                <w:rFonts w:ascii="Arial Narrow" w:eastAsia="Times New Roman" w:hAnsi="Arial Narrow" w:cs="Calibri"/>
                <w:lang w:val="en-US"/>
              </w:rPr>
            </w:pPr>
            <w:r w:rsidRPr="003333F1">
              <w:rPr>
                <w:rFonts w:ascii="Arial Narrow" w:eastAsia="Times New Roman" w:hAnsi="Arial Narrow" w:cs="Calibri"/>
              </w:rPr>
              <w:t>√</w:t>
            </w:r>
          </w:p>
        </w:tc>
        <w:tc>
          <w:tcPr>
            <w:tcW w:w="867" w:type="pct"/>
            <w:tcBorders>
              <w:top w:val="nil"/>
              <w:left w:val="nil"/>
              <w:bottom w:val="single" w:sz="8" w:space="0" w:color="0070C0"/>
              <w:right w:val="single" w:sz="8" w:space="0" w:color="0070C0"/>
            </w:tcBorders>
            <w:shd w:val="clear" w:color="auto" w:fill="auto"/>
            <w:noWrap/>
            <w:vAlign w:val="center"/>
            <w:hideMark/>
          </w:tcPr>
          <w:p w14:paraId="7C4BE763" w14:textId="77777777" w:rsidR="003333F1" w:rsidRPr="003333F1" w:rsidRDefault="003333F1" w:rsidP="00445180">
            <w:pPr>
              <w:spacing w:after="0" w:line="240" w:lineRule="auto"/>
              <w:jc w:val="right"/>
              <w:rPr>
                <w:rFonts w:ascii="Arial Narrow" w:eastAsia="Times New Roman" w:hAnsi="Arial Narrow" w:cs="Calibri"/>
                <w:lang w:val="en-US"/>
              </w:rPr>
            </w:pPr>
            <w:r w:rsidRPr="003333F1">
              <w:rPr>
                <w:rFonts w:ascii="Arial Narrow" w:eastAsia="Times New Roman" w:hAnsi="Arial Narrow" w:cs="Calibri"/>
              </w:rPr>
              <w:t>74,27</w:t>
            </w:r>
          </w:p>
        </w:tc>
      </w:tr>
    </w:tbl>
    <w:p w14:paraId="07EF9D94" w14:textId="77777777" w:rsidR="008A373E" w:rsidRPr="003F1067" w:rsidRDefault="008A373E" w:rsidP="008A373E">
      <w:pPr>
        <w:pStyle w:val="NoSpacing"/>
        <w:spacing w:line="276" w:lineRule="auto"/>
        <w:ind w:left="1288"/>
        <w:jc w:val="both"/>
        <w:rPr>
          <w:rFonts w:ascii="Arial" w:hAnsi="Arial" w:cs="Arial"/>
          <w:szCs w:val="24"/>
          <w:lang w:val="hr-HR"/>
        </w:rPr>
      </w:pPr>
    </w:p>
    <w:p w14:paraId="13C424EC" w14:textId="77777777" w:rsidR="001A19A4" w:rsidRPr="00445180" w:rsidRDefault="001A19A4" w:rsidP="00445180">
      <w:pPr>
        <w:pStyle w:val="Heading3"/>
        <w:spacing w:before="0" w:line="240" w:lineRule="auto"/>
        <w:ind w:left="1288"/>
        <w:rPr>
          <w:sz w:val="20"/>
        </w:rPr>
      </w:pPr>
    </w:p>
    <w:p w14:paraId="6B6F2475" w14:textId="648F54A5" w:rsidR="00F658B3" w:rsidRPr="00DE71C7" w:rsidRDefault="00F658B3" w:rsidP="00EA7C7A">
      <w:pPr>
        <w:pStyle w:val="Heading3"/>
        <w:numPr>
          <w:ilvl w:val="2"/>
          <w:numId w:val="10"/>
        </w:numPr>
        <w:spacing w:before="0" w:line="240" w:lineRule="auto"/>
        <w:rPr>
          <w:sz w:val="20"/>
        </w:rPr>
      </w:pPr>
      <w:bookmarkStart w:id="88" w:name="_Toc100823746"/>
      <w:r w:rsidRPr="00DE71C7">
        <w:rPr>
          <w:rFonts w:ascii="Arial" w:hAnsi="Arial" w:cs="Arial"/>
          <w:b w:val="0"/>
          <w:color w:val="auto"/>
        </w:rPr>
        <w:t xml:space="preserve">Kamatna struktura </w:t>
      </w:r>
      <w:r w:rsidR="009A78EF">
        <w:rPr>
          <w:rFonts w:ascii="Arial" w:hAnsi="Arial" w:cs="Arial"/>
          <w:b w:val="0"/>
          <w:color w:val="auto"/>
        </w:rPr>
        <w:t>unutarnjeg</w:t>
      </w:r>
      <w:r w:rsidRPr="00DE71C7">
        <w:rPr>
          <w:rFonts w:ascii="Arial" w:hAnsi="Arial" w:cs="Arial"/>
          <w:b w:val="0"/>
          <w:color w:val="auto"/>
        </w:rPr>
        <w:t xml:space="preserve"> duga </w:t>
      </w:r>
      <w:r w:rsidR="00B22862" w:rsidRPr="00DE71C7">
        <w:rPr>
          <w:rFonts w:ascii="Arial" w:hAnsi="Arial" w:cs="Arial"/>
          <w:b w:val="0"/>
          <w:color w:val="auto"/>
        </w:rPr>
        <w:t>F</w:t>
      </w:r>
      <w:r w:rsidR="00A5324C" w:rsidRPr="00DE71C7">
        <w:rPr>
          <w:rFonts w:ascii="Arial" w:hAnsi="Arial" w:cs="Arial"/>
          <w:b w:val="0"/>
          <w:color w:val="auto"/>
        </w:rPr>
        <w:t xml:space="preserve">ederacije </w:t>
      </w:r>
      <w:r w:rsidR="00B22862" w:rsidRPr="00DE71C7">
        <w:rPr>
          <w:rFonts w:ascii="Arial" w:hAnsi="Arial" w:cs="Arial"/>
          <w:b w:val="0"/>
          <w:color w:val="auto"/>
        </w:rPr>
        <w:t>BiH</w:t>
      </w:r>
      <w:bookmarkEnd w:id="88"/>
    </w:p>
    <w:p w14:paraId="21D68DCC" w14:textId="77777777" w:rsidR="00F17AD0" w:rsidRPr="003F1067" w:rsidRDefault="00F17AD0" w:rsidP="00F17AD0">
      <w:pPr>
        <w:pStyle w:val="NoSpacing"/>
        <w:spacing w:line="276" w:lineRule="auto"/>
        <w:ind w:left="1288"/>
        <w:jc w:val="both"/>
        <w:rPr>
          <w:rFonts w:ascii="Arial" w:hAnsi="Arial" w:cs="Arial"/>
          <w:sz w:val="20"/>
          <w:szCs w:val="24"/>
          <w:lang w:val="hr-HR"/>
        </w:rPr>
      </w:pPr>
    </w:p>
    <w:p w14:paraId="66D42986" w14:textId="2F123CDD" w:rsidR="00783C27" w:rsidRDefault="00ED768D" w:rsidP="00D912D1">
      <w:pPr>
        <w:spacing w:after="0" w:line="240" w:lineRule="auto"/>
        <w:jc w:val="both"/>
        <w:rPr>
          <w:rFonts w:ascii="Arial" w:hAnsi="Arial" w:cs="Arial"/>
          <w:szCs w:val="24"/>
        </w:rPr>
      </w:pPr>
      <w:r w:rsidRPr="00D912D1">
        <w:rPr>
          <w:rFonts w:ascii="Arial" w:hAnsi="Arial" w:cs="Arial"/>
          <w:szCs w:val="24"/>
        </w:rPr>
        <w:t xml:space="preserve">Slika </w:t>
      </w:r>
      <w:r w:rsidR="00D15D03" w:rsidRPr="00D912D1">
        <w:rPr>
          <w:rFonts w:ascii="Arial" w:hAnsi="Arial" w:cs="Arial"/>
          <w:szCs w:val="24"/>
        </w:rPr>
        <w:t>4</w:t>
      </w:r>
      <w:r w:rsidRPr="00FB6FC8">
        <w:rPr>
          <w:rFonts w:ascii="Arial" w:hAnsi="Arial" w:cs="Arial"/>
          <w:szCs w:val="24"/>
        </w:rPr>
        <w:t xml:space="preserve">. Struktura </w:t>
      </w:r>
      <w:r w:rsidR="009A78EF">
        <w:rPr>
          <w:rFonts w:ascii="Arial" w:hAnsi="Arial" w:cs="Arial"/>
          <w:szCs w:val="24"/>
        </w:rPr>
        <w:t>unutarnjeg</w:t>
      </w:r>
      <w:r w:rsidRPr="00FB6FC8">
        <w:rPr>
          <w:rFonts w:ascii="Arial" w:hAnsi="Arial" w:cs="Arial"/>
          <w:szCs w:val="24"/>
        </w:rPr>
        <w:t xml:space="preserve"> duga </w:t>
      </w:r>
      <w:r w:rsidR="00C235EB" w:rsidRPr="00FB6FC8">
        <w:rPr>
          <w:rFonts w:ascii="Arial" w:hAnsi="Arial" w:cs="Arial"/>
          <w:szCs w:val="24"/>
        </w:rPr>
        <w:t>F</w:t>
      </w:r>
      <w:r w:rsidR="00A5324C" w:rsidRPr="00FB6FC8">
        <w:rPr>
          <w:rFonts w:ascii="Arial" w:hAnsi="Arial" w:cs="Arial"/>
          <w:szCs w:val="24"/>
        </w:rPr>
        <w:t xml:space="preserve">ederacije </w:t>
      </w:r>
      <w:r w:rsidR="00C235EB" w:rsidRPr="00FB6FC8">
        <w:rPr>
          <w:rFonts w:ascii="Arial" w:hAnsi="Arial" w:cs="Arial"/>
          <w:szCs w:val="24"/>
        </w:rPr>
        <w:t xml:space="preserve">BiH </w:t>
      </w:r>
      <w:r w:rsidR="00692DE1" w:rsidRPr="00FB6FC8">
        <w:rPr>
          <w:rFonts w:ascii="Arial" w:hAnsi="Arial" w:cs="Arial"/>
          <w:szCs w:val="24"/>
        </w:rPr>
        <w:t>po visini kamatne stope</w:t>
      </w:r>
      <w:r w:rsidRPr="00FB6FC8">
        <w:rPr>
          <w:rFonts w:ascii="Arial" w:hAnsi="Arial" w:cs="Arial"/>
          <w:szCs w:val="24"/>
        </w:rPr>
        <w:t xml:space="preserve"> </w:t>
      </w:r>
      <w:r w:rsidR="00D15D03" w:rsidRPr="00FB6FC8">
        <w:rPr>
          <w:rFonts w:ascii="Arial" w:hAnsi="Arial" w:cs="Arial"/>
          <w:szCs w:val="24"/>
        </w:rPr>
        <w:t xml:space="preserve">                                       </w:t>
      </w:r>
      <w:r w:rsidR="00447D77" w:rsidRPr="00FB6FC8">
        <w:rPr>
          <w:rFonts w:ascii="Arial" w:hAnsi="Arial" w:cs="Arial"/>
          <w:szCs w:val="24"/>
        </w:rPr>
        <w:t xml:space="preserve">           </w:t>
      </w:r>
      <w:r w:rsidR="00C235EB" w:rsidRPr="00FB6FC8">
        <w:rPr>
          <w:rFonts w:ascii="Arial" w:hAnsi="Arial" w:cs="Arial"/>
          <w:szCs w:val="24"/>
        </w:rPr>
        <w:t xml:space="preserve">                                                                 </w:t>
      </w:r>
      <w:r w:rsidR="00447D77" w:rsidRPr="00FB6FC8">
        <w:rPr>
          <w:rFonts w:ascii="Arial" w:hAnsi="Arial" w:cs="Arial"/>
          <w:szCs w:val="24"/>
        </w:rPr>
        <w:t xml:space="preserve">  </w:t>
      </w:r>
      <w:r w:rsidR="0072405A" w:rsidRPr="00FB6FC8">
        <w:rPr>
          <w:rFonts w:ascii="Arial" w:hAnsi="Arial" w:cs="Arial"/>
          <w:szCs w:val="24"/>
        </w:rPr>
        <w:t xml:space="preserve"> (</w:t>
      </w:r>
      <w:r w:rsidR="00E672EB" w:rsidRPr="00FB6FC8">
        <w:rPr>
          <w:rFonts w:ascii="Arial" w:hAnsi="Arial" w:cs="Arial"/>
          <w:szCs w:val="24"/>
        </w:rPr>
        <w:t>KM</w:t>
      </w:r>
      <w:r w:rsidR="0072405A" w:rsidRPr="00FB6FC8">
        <w:rPr>
          <w:rFonts w:ascii="Arial" w:hAnsi="Arial" w:cs="Arial"/>
          <w:szCs w:val="24"/>
        </w:rPr>
        <w:t>)</w:t>
      </w:r>
      <w:r w:rsidR="00D15D03" w:rsidRPr="00667EFF">
        <w:rPr>
          <w:rFonts w:ascii="Arial" w:hAnsi="Arial" w:cs="Arial"/>
          <w:szCs w:val="24"/>
        </w:rPr>
        <w:t xml:space="preserve"> </w:t>
      </w:r>
      <w:r w:rsidRPr="00667EFF">
        <w:rPr>
          <w:rFonts w:ascii="Arial" w:hAnsi="Arial" w:cs="Arial"/>
          <w:szCs w:val="24"/>
        </w:rPr>
        <w:t xml:space="preserve"> </w:t>
      </w:r>
    </w:p>
    <w:p w14:paraId="58DFBAE6" w14:textId="77777777" w:rsidR="0009242F" w:rsidRDefault="0009242F" w:rsidP="00D912D1">
      <w:pPr>
        <w:spacing w:after="0" w:line="240" w:lineRule="auto"/>
        <w:jc w:val="both"/>
        <w:rPr>
          <w:rFonts w:ascii="Arial" w:hAnsi="Arial" w:cs="Arial"/>
          <w:szCs w:val="24"/>
        </w:rPr>
      </w:pPr>
    </w:p>
    <w:p w14:paraId="1A11EB30" w14:textId="1A0259EC" w:rsidR="0009242F" w:rsidRDefault="0009242F" w:rsidP="00D912D1">
      <w:pPr>
        <w:spacing w:after="0" w:line="240" w:lineRule="auto"/>
        <w:jc w:val="both"/>
        <w:rPr>
          <w:rFonts w:ascii="Arial" w:hAnsi="Arial" w:cs="Arial"/>
          <w:szCs w:val="24"/>
        </w:rPr>
      </w:pPr>
      <w:r>
        <w:rPr>
          <w:noProof/>
          <w:lang w:val="en-US"/>
        </w:rPr>
        <w:drawing>
          <wp:inline distT="0" distB="0" distL="0" distR="0" wp14:anchorId="6740666F" wp14:editId="204E81D2">
            <wp:extent cx="5915025" cy="2004695"/>
            <wp:effectExtent l="0" t="0" r="9525" b="14605"/>
            <wp:docPr id="197" name="Chart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DF70C2" w14:textId="1DF5BCDE" w:rsidR="00783C27" w:rsidRDefault="00783C27" w:rsidP="00445180">
      <w:pPr>
        <w:spacing w:after="0" w:line="240" w:lineRule="auto"/>
        <w:jc w:val="center"/>
        <w:rPr>
          <w:rFonts w:ascii="Arial" w:hAnsi="Arial" w:cs="Arial"/>
          <w:szCs w:val="24"/>
        </w:rPr>
      </w:pPr>
    </w:p>
    <w:p w14:paraId="3F0A9729" w14:textId="31F55FCC" w:rsidR="00CF6719" w:rsidRDefault="00ED768D" w:rsidP="00ED768D">
      <w:pPr>
        <w:spacing w:after="0" w:line="240" w:lineRule="auto"/>
        <w:jc w:val="both"/>
        <w:rPr>
          <w:rFonts w:ascii="Arial" w:hAnsi="Arial" w:cs="Arial"/>
          <w:szCs w:val="24"/>
        </w:rPr>
      </w:pPr>
      <w:r w:rsidRPr="00667EFF">
        <w:rPr>
          <w:rFonts w:ascii="Arial" w:hAnsi="Arial" w:cs="Arial"/>
          <w:szCs w:val="24"/>
        </w:rPr>
        <w:t xml:space="preserve">    </w:t>
      </w:r>
    </w:p>
    <w:p w14:paraId="1455E7C0" w14:textId="4901F201" w:rsidR="00ED768D" w:rsidRPr="00AF7CAC" w:rsidRDefault="00ED768D" w:rsidP="00ED768D">
      <w:pPr>
        <w:spacing w:after="0" w:line="240" w:lineRule="auto"/>
        <w:jc w:val="both"/>
        <w:rPr>
          <w:rFonts w:ascii="Arial" w:hAnsi="Arial" w:cs="Arial"/>
          <w:sz w:val="24"/>
          <w:szCs w:val="24"/>
        </w:rPr>
      </w:pPr>
      <w:r w:rsidRPr="00AF7CAC">
        <w:rPr>
          <w:rFonts w:ascii="Arial" w:hAnsi="Arial" w:cs="Arial"/>
          <w:sz w:val="24"/>
          <w:szCs w:val="24"/>
        </w:rPr>
        <w:t xml:space="preserve">                                                     </w:t>
      </w:r>
    </w:p>
    <w:p w14:paraId="5203072F" w14:textId="4660EF71" w:rsidR="00ED768D" w:rsidRPr="007A2F27" w:rsidRDefault="00ED768D" w:rsidP="004728CB">
      <w:pPr>
        <w:pStyle w:val="Heading1"/>
        <w:numPr>
          <w:ilvl w:val="0"/>
          <w:numId w:val="10"/>
        </w:numPr>
        <w:spacing w:before="0" w:line="240" w:lineRule="auto"/>
        <w:rPr>
          <w:rFonts w:ascii="Arial" w:hAnsi="Arial" w:cs="Arial"/>
          <w:b w:val="0"/>
          <w:color w:val="auto"/>
          <w:sz w:val="24"/>
        </w:rPr>
      </w:pPr>
      <w:bookmarkStart w:id="89" w:name="_Toc100582019"/>
      <w:bookmarkStart w:id="90" w:name="_Toc100654509"/>
      <w:bookmarkStart w:id="91" w:name="_Toc100667322"/>
      <w:bookmarkStart w:id="92" w:name="_Toc100751747"/>
      <w:bookmarkStart w:id="93" w:name="_Toc100754204"/>
      <w:bookmarkStart w:id="94" w:name="_Toc100754648"/>
      <w:bookmarkStart w:id="95" w:name="_Toc100755040"/>
      <w:bookmarkStart w:id="96" w:name="_Toc100818771"/>
      <w:bookmarkStart w:id="97" w:name="_Toc100820477"/>
      <w:bookmarkStart w:id="98" w:name="_Toc100822765"/>
      <w:bookmarkStart w:id="99" w:name="_Toc100823304"/>
      <w:bookmarkStart w:id="100" w:name="_Toc100823747"/>
      <w:bookmarkStart w:id="101" w:name="_Toc100823748"/>
      <w:bookmarkEnd w:id="89"/>
      <w:bookmarkEnd w:id="90"/>
      <w:bookmarkEnd w:id="91"/>
      <w:bookmarkEnd w:id="92"/>
      <w:bookmarkEnd w:id="93"/>
      <w:bookmarkEnd w:id="94"/>
      <w:bookmarkEnd w:id="95"/>
      <w:bookmarkEnd w:id="96"/>
      <w:bookmarkEnd w:id="97"/>
      <w:bookmarkEnd w:id="98"/>
      <w:bookmarkEnd w:id="99"/>
      <w:bookmarkEnd w:id="100"/>
      <w:r w:rsidRPr="007A2F27">
        <w:rPr>
          <w:rFonts w:ascii="Arial" w:hAnsi="Arial" w:cs="Arial"/>
          <w:b w:val="0"/>
          <w:color w:val="auto"/>
          <w:sz w:val="24"/>
        </w:rPr>
        <w:t xml:space="preserve">RIZICI </w:t>
      </w:r>
      <w:r w:rsidR="009A78EF">
        <w:rPr>
          <w:rFonts w:ascii="Arial" w:hAnsi="Arial" w:cs="Arial"/>
          <w:b w:val="0"/>
          <w:color w:val="auto"/>
          <w:sz w:val="24"/>
        </w:rPr>
        <w:t>PORTFELJA</w:t>
      </w:r>
      <w:r w:rsidRPr="007A2F27">
        <w:rPr>
          <w:rFonts w:ascii="Arial" w:hAnsi="Arial" w:cs="Arial"/>
          <w:b w:val="0"/>
          <w:color w:val="auto"/>
          <w:sz w:val="24"/>
        </w:rPr>
        <w:t xml:space="preserve"> DUGA F</w:t>
      </w:r>
      <w:r w:rsidR="00A5324C" w:rsidRPr="007A2F27">
        <w:rPr>
          <w:rFonts w:ascii="Arial" w:hAnsi="Arial" w:cs="Arial"/>
          <w:b w:val="0"/>
          <w:color w:val="auto"/>
          <w:sz w:val="24"/>
        </w:rPr>
        <w:t xml:space="preserve">EDERACIJE </w:t>
      </w:r>
      <w:r w:rsidRPr="007A2F27">
        <w:rPr>
          <w:rFonts w:ascii="Arial" w:hAnsi="Arial" w:cs="Arial"/>
          <w:b w:val="0"/>
          <w:color w:val="auto"/>
          <w:sz w:val="24"/>
        </w:rPr>
        <w:t>BiH</w:t>
      </w:r>
      <w:bookmarkEnd w:id="101"/>
    </w:p>
    <w:p w14:paraId="593777B4" w14:textId="77777777" w:rsidR="005D321E" w:rsidRPr="00AF7CAC" w:rsidRDefault="005D321E" w:rsidP="005D321E">
      <w:pPr>
        <w:pStyle w:val="Heading2"/>
        <w:spacing w:before="0"/>
        <w:ind w:left="1004"/>
        <w:rPr>
          <w:rFonts w:ascii="Arial" w:hAnsi="Arial" w:cs="Arial"/>
          <w:b w:val="0"/>
          <w:color w:val="auto"/>
        </w:rPr>
      </w:pPr>
    </w:p>
    <w:p w14:paraId="3FF8283B" w14:textId="74AB112D" w:rsidR="00ED768D" w:rsidRPr="007A2F27" w:rsidRDefault="00ED768D" w:rsidP="004728CB">
      <w:pPr>
        <w:pStyle w:val="Heading2"/>
        <w:numPr>
          <w:ilvl w:val="1"/>
          <w:numId w:val="10"/>
        </w:numPr>
        <w:spacing w:before="0"/>
        <w:rPr>
          <w:rFonts w:ascii="Arial" w:hAnsi="Arial" w:cs="Arial"/>
          <w:b w:val="0"/>
          <w:color w:val="auto"/>
          <w:sz w:val="24"/>
        </w:rPr>
      </w:pPr>
      <w:bookmarkStart w:id="102" w:name="_Toc100823749"/>
      <w:r w:rsidRPr="007A2F27">
        <w:rPr>
          <w:rFonts w:ascii="Arial" w:hAnsi="Arial" w:cs="Arial"/>
          <w:b w:val="0"/>
          <w:color w:val="auto"/>
          <w:sz w:val="24"/>
        </w:rPr>
        <w:t xml:space="preserve">Karakteristike troškova i rizika </w:t>
      </w:r>
      <w:r w:rsidR="009A78EF">
        <w:rPr>
          <w:rFonts w:ascii="Arial" w:hAnsi="Arial" w:cs="Arial"/>
          <w:b w:val="0"/>
          <w:color w:val="auto"/>
          <w:sz w:val="24"/>
        </w:rPr>
        <w:t>portfelja</w:t>
      </w:r>
      <w:r w:rsidRPr="007A2F27">
        <w:rPr>
          <w:rFonts w:ascii="Arial" w:hAnsi="Arial" w:cs="Arial"/>
          <w:b w:val="0"/>
          <w:color w:val="auto"/>
          <w:sz w:val="24"/>
        </w:rPr>
        <w:t xml:space="preserve"> duga F</w:t>
      </w:r>
      <w:r w:rsidR="00A5324C" w:rsidRPr="007A2F27">
        <w:rPr>
          <w:rFonts w:ascii="Arial" w:hAnsi="Arial" w:cs="Arial"/>
          <w:b w:val="0"/>
          <w:color w:val="auto"/>
          <w:sz w:val="24"/>
        </w:rPr>
        <w:t xml:space="preserve">ederacije </w:t>
      </w:r>
      <w:r w:rsidRPr="007A2F27">
        <w:rPr>
          <w:rFonts w:ascii="Arial" w:hAnsi="Arial" w:cs="Arial"/>
          <w:b w:val="0"/>
          <w:color w:val="auto"/>
          <w:sz w:val="24"/>
        </w:rPr>
        <w:t>BiH</w:t>
      </w:r>
      <w:bookmarkEnd w:id="102"/>
    </w:p>
    <w:p w14:paraId="2E2C323B" w14:textId="77777777" w:rsidR="00ED768D" w:rsidRPr="00AF7CAC" w:rsidRDefault="00ED768D" w:rsidP="00ED768D">
      <w:pPr>
        <w:pStyle w:val="ParagraphNumbering"/>
        <w:keepNext/>
        <w:numPr>
          <w:ilvl w:val="0"/>
          <w:numId w:val="0"/>
        </w:numPr>
        <w:tabs>
          <w:tab w:val="num" w:pos="3600"/>
        </w:tabs>
        <w:spacing w:after="0" w:line="276" w:lineRule="auto"/>
        <w:jc w:val="both"/>
        <w:rPr>
          <w:rFonts w:ascii="Arial" w:hAnsi="Arial" w:cs="Arial"/>
        </w:rPr>
      </w:pPr>
    </w:p>
    <w:p w14:paraId="5835511C" w14:textId="35ECBB9F" w:rsidR="004728CB" w:rsidRDefault="007A2F27" w:rsidP="002C1F91">
      <w:pPr>
        <w:pStyle w:val="ParagraphNumbering"/>
        <w:keepNext/>
        <w:numPr>
          <w:ilvl w:val="0"/>
          <w:numId w:val="0"/>
        </w:numPr>
        <w:spacing w:after="0" w:line="276" w:lineRule="auto"/>
        <w:ind w:right="-23" w:firstLine="284"/>
        <w:jc w:val="both"/>
        <w:rPr>
          <w:rFonts w:ascii="Arial" w:hAnsi="Arial" w:cs="Arial"/>
          <w:sz w:val="22"/>
        </w:rPr>
      </w:pPr>
      <w:r w:rsidRPr="00D912D1">
        <w:rPr>
          <w:rFonts w:ascii="Arial" w:hAnsi="Arial" w:cs="Arial"/>
          <w:sz w:val="22"/>
        </w:rPr>
        <w:t>Prosječn</w:t>
      </w:r>
      <w:r w:rsidRPr="0023784F">
        <w:rPr>
          <w:rFonts w:ascii="Arial" w:hAnsi="Arial" w:cs="Arial"/>
          <w:sz w:val="22"/>
        </w:rPr>
        <w:t xml:space="preserve">a </w:t>
      </w:r>
      <w:r w:rsidR="009A78EF">
        <w:rPr>
          <w:rFonts w:ascii="Arial" w:hAnsi="Arial" w:cs="Arial"/>
          <w:sz w:val="22"/>
        </w:rPr>
        <w:t>ponderir</w:t>
      </w:r>
      <w:r w:rsidRPr="0023784F">
        <w:rPr>
          <w:rFonts w:ascii="Arial" w:hAnsi="Arial" w:cs="Arial"/>
          <w:sz w:val="22"/>
        </w:rPr>
        <w:t>ana implicitna kamatna stopa</w:t>
      </w:r>
      <w:r w:rsidR="001A19A4">
        <w:rPr>
          <w:rFonts w:ascii="Arial" w:hAnsi="Arial" w:cs="Arial"/>
          <w:sz w:val="22"/>
        </w:rPr>
        <w:t xml:space="preserve"> ukupnog</w:t>
      </w:r>
      <w:r w:rsidRPr="0023784F">
        <w:rPr>
          <w:rFonts w:ascii="Arial" w:hAnsi="Arial" w:cs="Arial"/>
          <w:sz w:val="22"/>
        </w:rPr>
        <w:t xml:space="preserve"> </w:t>
      </w:r>
      <w:r w:rsidR="009A78EF">
        <w:rPr>
          <w:rFonts w:ascii="Arial" w:hAnsi="Arial" w:cs="Arial"/>
          <w:sz w:val="22"/>
        </w:rPr>
        <w:t>portfelja</w:t>
      </w:r>
      <w:r w:rsidR="00885002" w:rsidRPr="0023784F">
        <w:rPr>
          <w:rFonts w:ascii="Arial" w:hAnsi="Arial" w:cs="Arial"/>
          <w:sz w:val="22"/>
        </w:rPr>
        <w:t xml:space="preserve"> duga</w:t>
      </w:r>
      <w:r w:rsidR="00A5324C" w:rsidRPr="0023784F">
        <w:rPr>
          <w:rFonts w:ascii="Arial" w:hAnsi="Arial" w:cs="Arial"/>
          <w:sz w:val="22"/>
        </w:rPr>
        <w:t xml:space="preserve"> Federacije BiH</w:t>
      </w:r>
      <w:r w:rsidRPr="0023784F">
        <w:rPr>
          <w:rFonts w:ascii="Arial" w:hAnsi="Arial" w:cs="Arial"/>
          <w:sz w:val="22"/>
        </w:rPr>
        <w:t xml:space="preserve"> relativno je niska i iznosi</w:t>
      </w:r>
      <w:r w:rsidR="00885002" w:rsidRPr="0023784F">
        <w:rPr>
          <w:rFonts w:ascii="Arial" w:hAnsi="Arial" w:cs="Arial"/>
          <w:sz w:val="22"/>
        </w:rPr>
        <w:t xml:space="preserve"> </w:t>
      </w:r>
      <w:r w:rsidR="003F1067" w:rsidRPr="0023784F">
        <w:rPr>
          <w:rFonts w:ascii="Arial" w:hAnsi="Arial" w:cs="Arial"/>
          <w:sz w:val="22"/>
        </w:rPr>
        <w:t>1,</w:t>
      </w:r>
      <w:r w:rsidR="00067161" w:rsidRPr="00445180">
        <w:rPr>
          <w:rFonts w:ascii="Arial" w:hAnsi="Arial" w:cs="Arial"/>
          <w:sz w:val="22"/>
        </w:rPr>
        <w:t>25</w:t>
      </w:r>
      <w:r w:rsidR="00885002" w:rsidRPr="00D912D1">
        <w:rPr>
          <w:rFonts w:ascii="Arial" w:hAnsi="Arial" w:cs="Arial"/>
          <w:sz w:val="22"/>
        </w:rPr>
        <w:t>%</w:t>
      </w:r>
      <w:r w:rsidR="001A19A4">
        <w:rPr>
          <w:rFonts w:ascii="Arial" w:hAnsi="Arial" w:cs="Arial"/>
          <w:sz w:val="22"/>
        </w:rPr>
        <w:t>,</w:t>
      </w:r>
      <w:r w:rsidR="0012277F" w:rsidRPr="00D912D1">
        <w:rPr>
          <w:rFonts w:ascii="Arial" w:hAnsi="Arial" w:cs="Arial"/>
          <w:sz w:val="22"/>
        </w:rPr>
        <w:t xml:space="preserve"> </w:t>
      </w:r>
      <w:r w:rsidRPr="0023784F">
        <w:rPr>
          <w:rFonts w:ascii="Arial" w:hAnsi="Arial" w:cs="Arial"/>
          <w:sz w:val="22"/>
        </w:rPr>
        <w:t>a</w:t>
      </w:r>
      <w:r w:rsidR="00DB64F9" w:rsidRPr="0023784F">
        <w:rPr>
          <w:rFonts w:ascii="Arial" w:hAnsi="Arial" w:cs="Arial"/>
          <w:sz w:val="22"/>
        </w:rPr>
        <w:t xml:space="preserve"> rezultat </w:t>
      </w:r>
      <w:r w:rsidRPr="0023784F">
        <w:rPr>
          <w:rFonts w:ascii="Arial" w:hAnsi="Arial" w:cs="Arial"/>
          <w:sz w:val="22"/>
        </w:rPr>
        <w:t xml:space="preserve">je </w:t>
      </w:r>
      <w:r w:rsidR="00885002" w:rsidRPr="0023784F">
        <w:rPr>
          <w:rFonts w:ascii="Arial" w:hAnsi="Arial" w:cs="Arial"/>
          <w:sz w:val="22"/>
        </w:rPr>
        <w:t xml:space="preserve">omjera obveznica </w:t>
      </w:r>
      <w:r w:rsidR="00621347" w:rsidRPr="0023784F">
        <w:rPr>
          <w:rFonts w:ascii="Arial" w:hAnsi="Arial" w:cs="Arial"/>
          <w:sz w:val="22"/>
        </w:rPr>
        <w:t>emitiranih</w:t>
      </w:r>
      <w:r w:rsidR="00A5324C" w:rsidRPr="0023784F">
        <w:rPr>
          <w:rFonts w:ascii="Arial" w:hAnsi="Arial" w:cs="Arial"/>
          <w:sz w:val="22"/>
        </w:rPr>
        <w:t xml:space="preserve"> za </w:t>
      </w:r>
      <w:r w:rsidR="0012277F" w:rsidRPr="0023784F">
        <w:rPr>
          <w:rFonts w:ascii="Arial" w:hAnsi="Arial" w:cs="Arial"/>
          <w:sz w:val="22"/>
        </w:rPr>
        <w:t>iz</w:t>
      </w:r>
      <w:r w:rsidR="00DD6EF3" w:rsidRPr="0023784F">
        <w:rPr>
          <w:rFonts w:ascii="Arial" w:hAnsi="Arial" w:cs="Arial"/>
          <w:sz w:val="22"/>
        </w:rPr>
        <w:t>m</w:t>
      </w:r>
      <w:r w:rsidR="0012277F" w:rsidRPr="0023784F">
        <w:rPr>
          <w:rFonts w:ascii="Arial" w:hAnsi="Arial" w:cs="Arial"/>
          <w:sz w:val="22"/>
        </w:rPr>
        <w:t>irenj</w:t>
      </w:r>
      <w:r w:rsidR="00A5324C" w:rsidRPr="0023784F">
        <w:rPr>
          <w:rFonts w:ascii="Arial" w:hAnsi="Arial" w:cs="Arial"/>
          <w:sz w:val="22"/>
        </w:rPr>
        <w:t>e</w:t>
      </w:r>
      <w:r w:rsidR="00621347">
        <w:rPr>
          <w:rFonts w:ascii="Arial" w:hAnsi="Arial" w:cs="Arial"/>
          <w:sz w:val="22"/>
        </w:rPr>
        <w:t xml:space="preserve"> ob</w:t>
      </w:r>
      <w:r w:rsidR="0012277F" w:rsidRPr="0023784F">
        <w:rPr>
          <w:rFonts w:ascii="Arial" w:hAnsi="Arial" w:cs="Arial"/>
          <w:sz w:val="22"/>
        </w:rPr>
        <w:t>veza po osnov</w:t>
      </w:r>
      <w:r w:rsidR="00621347">
        <w:rPr>
          <w:rFonts w:ascii="Arial" w:hAnsi="Arial" w:cs="Arial"/>
          <w:sz w:val="22"/>
        </w:rPr>
        <w:t>i</w:t>
      </w:r>
      <w:r w:rsidR="0012277F" w:rsidRPr="0023784F">
        <w:rPr>
          <w:rFonts w:ascii="Arial" w:hAnsi="Arial" w:cs="Arial"/>
          <w:sz w:val="22"/>
        </w:rPr>
        <w:t xml:space="preserve"> </w:t>
      </w:r>
      <w:r w:rsidR="00885002" w:rsidRPr="0023784F">
        <w:rPr>
          <w:rFonts w:ascii="Arial" w:hAnsi="Arial" w:cs="Arial"/>
          <w:sz w:val="22"/>
        </w:rPr>
        <w:t>ratn</w:t>
      </w:r>
      <w:r w:rsidR="00FA368E" w:rsidRPr="0023784F">
        <w:rPr>
          <w:rFonts w:ascii="Arial" w:hAnsi="Arial" w:cs="Arial"/>
          <w:sz w:val="22"/>
        </w:rPr>
        <w:t>ih</w:t>
      </w:r>
      <w:r w:rsidR="00885002" w:rsidRPr="0023784F">
        <w:rPr>
          <w:rFonts w:ascii="Arial" w:hAnsi="Arial" w:cs="Arial"/>
          <w:sz w:val="22"/>
        </w:rPr>
        <w:t xml:space="preserve"> potraživanja</w:t>
      </w:r>
      <w:r w:rsidR="00A5324C" w:rsidRPr="0023784F">
        <w:rPr>
          <w:rFonts w:ascii="Arial" w:hAnsi="Arial" w:cs="Arial"/>
          <w:sz w:val="22"/>
        </w:rPr>
        <w:t xml:space="preserve"> koje imaju zakonom određenu kamatnu stopu 2,5%</w:t>
      </w:r>
      <w:r w:rsidR="003631ED" w:rsidRPr="0023784F">
        <w:rPr>
          <w:rFonts w:ascii="Arial" w:hAnsi="Arial" w:cs="Arial"/>
          <w:sz w:val="22"/>
        </w:rPr>
        <w:t xml:space="preserve"> </w:t>
      </w:r>
      <w:r w:rsidR="00A5324C" w:rsidRPr="0023784F">
        <w:rPr>
          <w:rFonts w:ascii="Arial" w:hAnsi="Arial" w:cs="Arial"/>
          <w:sz w:val="22"/>
        </w:rPr>
        <w:t>(</w:t>
      </w:r>
      <w:r w:rsidR="00067161" w:rsidRPr="0023784F">
        <w:rPr>
          <w:rFonts w:ascii="Arial" w:hAnsi="Arial" w:cs="Arial"/>
          <w:sz w:val="22"/>
        </w:rPr>
        <w:t>74,28</w:t>
      </w:r>
      <w:r w:rsidR="00885002" w:rsidRPr="0023784F">
        <w:rPr>
          <w:rFonts w:ascii="Arial" w:hAnsi="Arial" w:cs="Arial"/>
          <w:sz w:val="22"/>
        </w:rPr>
        <w:t xml:space="preserve"> </w:t>
      </w:r>
      <w:r w:rsidR="00E672EB" w:rsidRPr="0023784F">
        <w:rPr>
          <w:rFonts w:ascii="Arial" w:hAnsi="Arial" w:cs="Arial"/>
          <w:sz w:val="22"/>
        </w:rPr>
        <w:t>mil.</w:t>
      </w:r>
      <w:r w:rsidR="00741FF9" w:rsidRPr="0023784F">
        <w:rPr>
          <w:rFonts w:ascii="Arial" w:hAnsi="Arial" w:cs="Arial"/>
          <w:sz w:val="22"/>
        </w:rPr>
        <w:t xml:space="preserve"> </w:t>
      </w:r>
      <w:r w:rsidR="00E672EB" w:rsidRPr="0023784F">
        <w:rPr>
          <w:rFonts w:ascii="Arial" w:hAnsi="Arial" w:cs="Arial"/>
          <w:sz w:val="22"/>
        </w:rPr>
        <w:t>KM</w:t>
      </w:r>
      <w:r w:rsidR="00A5324C" w:rsidRPr="0023784F">
        <w:rPr>
          <w:rFonts w:ascii="Arial" w:hAnsi="Arial" w:cs="Arial"/>
          <w:sz w:val="22"/>
        </w:rPr>
        <w:t>)</w:t>
      </w:r>
      <w:r w:rsidR="00885002" w:rsidRPr="0023784F">
        <w:rPr>
          <w:rFonts w:ascii="Arial" w:hAnsi="Arial" w:cs="Arial"/>
          <w:sz w:val="22"/>
        </w:rPr>
        <w:t xml:space="preserve"> i tržišnih</w:t>
      </w:r>
      <w:r w:rsidR="001A19A4">
        <w:rPr>
          <w:rFonts w:ascii="Arial" w:hAnsi="Arial" w:cs="Arial"/>
          <w:sz w:val="22"/>
        </w:rPr>
        <w:t xml:space="preserve"> kratkoročnih i</w:t>
      </w:r>
      <w:r w:rsidR="00885002" w:rsidRPr="0023784F">
        <w:rPr>
          <w:rFonts w:ascii="Arial" w:hAnsi="Arial" w:cs="Arial"/>
          <w:sz w:val="22"/>
        </w:rPr>
        <w:t xml:space="preserve"> dugoročnih vrijednosnih papira u obliku </w:t>
      </w:r>
      <w:r w:rsidR="0047387A" w:rsidRPr="0023784F">
        <w:rPr>
          <w:rFonts w:ascii="Arial" w:hAnsi="Arial" w:cs="Arial"/>
          <w:sz w:val="22"/>
        </w:rPr>
        <w:t>obveznica</w:t>
      </w:r>
      <w:r w:rsidR="00885002" w:rsidRPr="0023784F">
        <w:rPr>
          <w:rFonts w:ascii="Arial" w:hAnsi="Arial" w:cs="Arial"/>
          <w:sz w:val="22"/>
        </w:rPr>
        <w:t xml:space="preserve"> </w:t>
      </w:r>
      <w:r w:rsidR="00A5324C" w:rsidRPr="0023784F">
        <w:rPr>
          <w:rFonts w:ascii="Arial" w:hAnsi="Arial" w:cs="Arial"/>
          <w:sz w:val="22"/>
        </w:rPr>
        <w:t>(</w:t>
      </w:r>
      <w:r w:rsidR="00067161" w:rsidRPr="0023784F">
        <w:rPr>
          <w:rFonts w:ascii="Arial" w:hAnsi="Arial" w:cs="Arial"/>
          <w:sz w:val="22"/>
        </w:rPr>
        <w:t>6</w:t>
      </w:r>
      <w:r w:rsidR="001A19A4">
        <w:rPr>
          <w:rFonts w:ascii="Arial" w:hAnsi="Arial" w:cs="Arial"/>
          <w:sz w:val="22"/>
        </w:rPr>
        <w:t>8</w:t>
      </w:r>
      <w:r w:rsidR="00067161" w:rsidRPr="0023784F">
        <w:rPr>
          <w:rFonts w:ascii="Arial" w:hAnsi="Arial" w:cs="Arial"/>
          <w:sz w:val="22"/>
        </w:rPr>
        <w:t>0</w:t>
      </w:r>
      <w:r w:rsidR="009E53C2" w:rsidRPr="0023784F">
        <w:rPr>
          <w:rFonts w:ascii="Arial" w:hAnsi="Arial" w:cs="Arial"/>
          <w:sz w:val="22"/>
        </w:rPr>
        <w:t>,0</w:t>
      </w:r>
      <w:r w:rsidR="00885002" w:rsidRPr="0023784F">
        <w:rPr>
          <w:rFonts w:ascii="Arial" w:hAnsi="Arial" w:cs="Arial"/>
          <w:sz w:val="22"/>
        </w:rPr>
        <w:t xml:space="preserve"> </w:t>
      </w:r>
      <w:r w:rsidR="00E672EB" w:rsidRPr="0023784F">
        <w:rPr>
          <w:rFonts w:ascii="Arial" w:hAnsi="Arial" w:cs="Arial"/>
          <w:sz w:val="22"/>
        </w:rPr>
        <w:t>mil.</w:t>
      </w:r>
      <w:r w:rsidR="00741FF9" w:rsidRPr="0023784F">
        <w:rPr>
          <w:rFonts w:ascii="Arial" w:hAnsi="Arial" w:cs="Arial"/>
          <w:sz w:val="22"/>
        </w:rPr>
        <w:t xml:space="preserve"> </w:t>
      </w:r>
      <w:r w:rsidR="00E672EB" w:rsidRPr="0023784F">
        <w:rPr>
          <w:rFonts w:ascii="Arial" w:hAnsi="Arial" w:cs="Arial"/>
          <w:sz w:val="22"/>
        </w:rPr>
        <w:t>KM</w:t>
      </w:r>
      <w:r w:rsidR="00A5324C" w:rsidRPr="0023784F">
        <w:rPr>
          <w:rFonts w:ascii="Arial" w:hAnsi="Arial" w:cs="Arial"/>
          <w:sz w:val="22"/>
        </w:rPr>
        <w:t>)</w:t>
      </w:r>
      <w:r w:rsidR="00885002" w:rsidRPr="0023784F">
        <w:rPr>
          <w:rFonts w:ascii="Arial" w:hAnsi="Arial" w:cs="Arial"/>
          <w:sz w:val="22"/>
        </w:rPr>
        <w:t>.</w:t>
      </w:r>
      <w:r w:rsidR="004728CB" w:rsidRPr="0023784F">
        <w:rPr>
          <w:rFonts w:ascii="Arial" w:hAnsi="Arial" w:cs="Arial"/>
          <w:sz w:val="22"/>
        </w:rPr>
        <w:t xml:space="preserve"> </w:t>
      </w:r>
      <w:r w:rsidR="00A5324C" w:rsidRPr="0023784F">
        <w:rPr>
          <w:rFonts w:ascii="Arial" w:hAnsi="Arial" w:cs="Arial"/>
          <w:sz w:val="22"/>
        </w:rPr>
        <w:t>P</w:t>
      </w:r>
      <w:r w:rsidR="00885002" w:rsidRPr="0023784F">
        <w:rPr>
          <w:rFonts w:ascii="Arial" w:hAnsi="Arial" w:cs="Arial"/>
          <w:sz w:val="22"/>
        </w:rPr>
        <w:t>rosječna</w:t>
      </w:r>
      <w:r w:rsidR="00462544" w:rsidRPr="0023784F">
        <w:rPr>
          <w:rFonts w:ascii="Arial" w:hAnsi="Arial" w:cs="Arial"/>
          <w:sz w:val="22"/>
        </w:rPr>
        <w:t xml:space="preserve"> </w:t>
      </w:r>
      <w:r w:rsidR="009A78EF">
        <w:rPr>
          <w:rFonts w:ascii="Arial" w:hAnsi="Arial" w:cs="Arial"/>
          <w:sz w:val="22"/>
        </w:rPr>
        <w:t>ponderir</w:t>
      </w:r>
      <w:r w:rsidR="0012277F" w:rsidRPr="0023784F">
        <w:rPr>
          <w:rFonts w:ascii="Arial" w:hAnsi="Arial" w:cs="Arial"/>
          <w:sz w:val="22"/>
        </w:rPr>
        <w:t xml:space="preserve">ana </w:t>
      </w:r>
      <w:r w:rsidR="00462544" w:rsidRPr="0023784F">
        <w:rPr>
          <w:rFonts w:ascii="Arial" w:hAnsi="Arial" w:cs="Arial"/>
          <w:sz w:val="22"/>
        </w:rPr>
        <w:t>implicitna</w:t>
      </w:r>
      <w:r w:rsidR="00885002" w:rsidRPr="0023784F">
        <w:rPr>
          <w:rFonts w:ascii="Arial" w:hAnsi="Arial" w:cs="Arial"/>
          <w:sz w:val="22"/>
        </w:rPr>
        <w:t xml:space="preserve"> kamatna stopa</w:t>
      </w:r>
      <w:r w:rsidR="00A5324C" w:rsidRPr="0023784F">
        <w:rPr>
          <w:rFonts w:ascii="Arial" w:hAnsi="Arial" w:cs="Arial"/>
          <w:sz w:val="22"/>
        </w:rPr>
        <w:t xml:space="preserve"> za vanjski dug</w:t>
      </w:r>
      <w:r w:rsidR="001A19A4">
        <w:rPr>
          <w:rFonts w:ascii="Arial" w:hAnsi="Arial" w:cs="Arial"/>
          <w:sz w:val="22"/>
        </w:rPr>
        <w:t xml:space="preserve"> također</w:t>
      </w:r>
      <w:r w:rsidR="00885002" w:rsidRPr="0023784F">
        <w:rPr>
          <w:rFonts w:ascii="Arial" w:hAnsi="Arial" w:cs="Arial"/>
          <w:sz w:val="22"/>
        </w:rPr>
        <w:t xml:space="preserve"> iznosi 1,</w:t>
      </w:r>
      <w:r w:rsidR="00067161" w:rsidRPr="0023784F">
        <w:rPr>
          <w:rFonts w:ascii="Arial" w:hAnsi="Arial" w:cs="Arial"/>
          <w:sz w:val="22"/>
        </w:rPr>
        <w:t>25</w:t>
      </w:r>
      <w:r w:rsidR="00885002" w:rsidRPr="0023784F">
        <w:rPr>
          <w:rFonts w:ascii="Arial" w:hAnsi="Arial" w:cs="Arial"/>
          <w:sz w:val="22"/>
        </w:rPr>
        <w:t>%</w:t>
      </w:r>
      <w:r w:rsidR="004728CB" w:rsidRPr="0023784F">
        <w:rPr>
          <w:rFonts w:ascii="Arial" w:hAnsi="Arial" w:cs="Arial"/>
          <w:sz w:val="22"/>
        </w:rPr>
        <w:t>.</w:t>
      </w:r>
    </w:p>
    <w:p w14:paraId="1E018001" w14:textId="77777777" w:rsidR="001D65EA" w:rsidRPr="00AF7CAC" w:rsidRDefault="001D65EA" w:rsidP="002C1F91">
      <w:pPr>
        <w:pStyle w:val="ParagraphNumbering"/>
        <w:keepNext/>
        <w:numPr>
          <w:ilvl w:val="0"/>
          <w:numId w:val="0"/>
        </w:numPr>
        <w:spacing w:after="0" w:line="276" w:lineRule="auto"/>
        <w:ind w:right="-23" w:firstLine="284"/>
        <w:jc w:val="both"/>
        <w:rPr>
          <w:rFonts w:ascii="Arial" w:hAnsi="Arial" w:cs="Arial"/>
        </w:rPr>
      </w:pPr>
    </w:p>
    <w:p w14:paraId="107596FC" w14:textId="77777777" w:rsidR="00337B91" w:rsidRDefault="00337B91" w:rsidP="00AB5C50">
      <w:pPr>
        <w:pStyle w:val="NoSpacing"/>
        <w:jc w:val="both"/>
        <w:rPr>
          <w:rFonts w:ascii="Arial" w:hAnsi="Arial" w:cs="Arial"/>
          <w:sz w:val="24"/>
          <w:szCs w:val="24"/>
          <w:lang w:val="hr-HR"/>
        </w:rPr>
      </w:pPr>
    </w:p>
    <w:p w14:paraId="0A2E0609" w14:textId="589883C7" w:rsidR="00ED768D" w:rsidRDefault="00ED768D" w:rsidP="00AB5C50">
      <w:pPr>
        <w:pStyle w:val="NoSpacing"/>
        <w:jc w:val="both"/>
        <w:rPr>
          <w:rFonts w:ascii="Arial" w:hAnsi="Arial" w:cs="Arial"/>
          <w:szCs w:val="24"/>
          <w:lang w:val="hr-HR"/>
        </w:rPr>
      </w:pPr>
      <w:r w:rsidRPr="00E043B0">
        <w:rPr>
          <w:rFonts w:ascii="Arial" w:hAnsi="Arial" w:cs="Arial"/>
          <w:szCs w:val="24"/>
          <w:lang w:val="hr-HR"/>
        </w:rPr>
        <w:lastRenderedPageBreak/>
        <w:t>Tab</w:t>
      </w:r>
      <w:r w:rsidR="00621347">
        <w:rPr>
          <w:rFonts w:ascii="Arial" w:hAnsi="Arial" w:cs="Arial"/>
          <w:szCs w:val="24"/>
          <w:lang w:val="hr-HR"/>
        </w:rPr>
        <w:t>lica</w:t>
      </w:r>
      <w:r w:rsidRPr="00E043B0">
        <w:rPr>
          <w:rFonts w:ascii="Arial" w:hAnsi="Arial" w:cs="Arial"/>
          <w:szCs w:val="24"/>
          <w:lang w:val="hr-HR"/>
        </w:rPr>
        <w:t xml:space="preserve"> 5. </w:t>
      </w:r>
      <w:r w:rsidR="00621347" w:rsidRPr="00E043B0">
        <w:rPr>
          <w:rFonts w:ascii="Arial" w:hAnsi="Arial" w:cs="Arial"/>
          <w:szCs w:val="24"/>
          <w:lang w:val="hr-HR"/>
        </w:rPr>
        <w:t>Usporedni</w:t>
      </w:r>
      <w:r w:rsidR="00E043B0" w:rsidRPr="00E043B0">
        <w:rPr>
          <w:rFonts w:ascii="Arial" w:hAnsi="Arial" w:cs="Arial"/>
          <w:szCs w:val="24"/>
          <w:lang w:val="hr-HR"/>
        </w:rPr>
        <w:t xml:space="preserve"> prikaz i</w:t>
      </w:r>
      <w:r w:rsidRPr="00E043B0">
        <w:rPr>
          <w:rFonts w:ascii="Arial" w:hAnsi="Arial" w:cs="Arial"/>
          <w:szCs w:val="24"/>
          <w:lang w:val="hr-HR"/>
        </w:rPr>
        <w:t>ndikator</w:t>
      </w:r>
      <w:r w:rsidR="00E043B0" w:rsidRPr="00E043B0">
        <w:rPr>
          <w:rFonts w:ascii="Arial" w:hAnsi="Arial" w:cs="Arial"/>
          <w:szCs w:val="24"/>
          <w:lang w:val="hr-HR"/>
        </w:rPr>
        <w:t>a</w:t>
      </w:r>
      <w:r w:rsidRPr="00E043B0">
        <w:rPr>
          <w:rFonts w:ascii="Arial" w:hAnsi="Arial" w:cs="Arial"/>
          <w:szCs w:val="24"/>
          <w:lang w:val="hr-HR"/>
        </w:rPr>
        <w:t xml:space="preserve"> rizika </w:t>
      </w:r>
      <w:r w:rsidR="009A78EF">
        <w:rPr>
          <w:rFonts w:ascii="Arial" w:hAnsi="Arial" w:cs="Arial"/>
          <w:szCs w:val="24"/>
          <w:lang w:val="hr-HR"/>
        </w:rPr>
        <w:t>portfelja</w:t>
      </w:r>
      <w:r w:rsidRPr="00E043B0">
        <w:rPr>
          <w:rFonts w:ascii="Arial" w:hAnsi="Arial" w:cs="Arial"/>
          <w:szCs w:val="24"/>
          <w:lang w:val="hr-HR"/>
        </w:rPr>
        <w:t xml:space="preserve"> duga F</w:t>
      </w:r>
      <w:r w:rsidR="00D864A3" w:rsidRPr="00E043B0">
        <w:rPr>
          <w:rFonts w:ascii="Arial" w:hAnsi="Arial" w:cs="Arial"/>
          <w:szCs w:val="24"/>
          <w:lang w:val="hr-HR"/>
        </w:rPr>
        <w:t xml:space="preserve">ederacije </w:t>
      </w:r>
      <w:r w:rsidRPr="00E043B0">
        <w:rPr>
          <w:rFonts w:ascii="Arial" w:hAnsi="Arial" w:cs="Arial"/>
          <w:szCs w:val="24"/>
          <w:lang w:val="hr-HR"/>
        </w:rPr>
        <w:t>BiH</w:t>
      </w:r>
      <w:r w:rsidR="00692DE1" w:rsidRPr="00E043B0">
        <w:rPr>
          <w:rFonts w:ascii="Arial" w:hAnsi="Arial" w:cs="Arial"/>
          <w:szCs w:val="24"/>
          <w:lang w:val="hr-HR"/>
        </w:rPr>
        <w:t xml:space="preserve"> </w:t>
      </w:r>
      <w:r w:rsidRPr="00E043B0">
        <w:rPr>
          <w:rFonts w:ascii="Arial" w:hAnsi="Arial" w:cs="Arial"/>
          <w:szCs w:val="24"/>
          <w:lang w:val="hr-HR"/>
        </w:rPr>
        <w:t xml:space="preserve">na </w:t>
      </w:r>
      <w:r w:rsidRPr="00D912D1">
        <w:rPr>
          <w:rFonts w:ascii="Arial" w:hAnsi="Arial" w:cs="Arial"/>
          <w:szCs w:val="24"/>
          <w:lang w:val="hr-HR"/>
        </w:rPr>
        <w:t>dan 31.</w:t>
      </w:r>
      <w:r w:rsidR="00621347">
        <w:rPr>
          <w:rFonts w:ascii="Arial" w:hAnsi="Arial" w:cs="Arial"/>
          <w:szCs w:val="24"/>
          <w:lang w:val="hr-HR"/>
        </w:rPr>
        <w:t xml:space="preserve"> </w:t>
      </w:r>
      <w:r w:rsidRPr="00D912D1">
        <w:rPr>
          <w:rFonts w:ascii="Arial" w:hAnsi="Arial" w:cs="Arial"/>
          <w:szCs w:val="24"/>
          <w:lang w:val="hr-HR"/>
        </w:rPr>
        <w:t>12.</w:t>
      </w:r>
      <w:r w:rsidR="00621347">
        <w:rPr>
          <w:rFonts w:ascii="Arial" w:hAnsi="Arial" w:cs="Arial"/>
          <w:szCs w:val="24"/>
          <w:lang w:val="hr-HR"/>
        </w:rPr>
        <w:t xml:space="preserve"> </w:t>
      </w:r>
      <w:r w:rsidR="00014E48" w:rsidRPr="0023784F">
        <w:rPr>
          <w:rFonts w:ascii="Arial" w:hAnsi="Arial" w:cs="Arial"/>
          <w:szCs w:val="24"/>
          <w:lang w:val="hr-HR"/>
        </w:rPr>
        <w:t>2021</w:t>
      </w:r>
      <w:r w:rsidR="00B63A57" w:rsidRPr="0023784F">
        <w:rPr>
          <w:rFonts w:ascii="Arial" w:hAnsi="Arial" w:cs="Arial"/>
          <w:szCs w:val="24"/>
          <w:lang w:val="hr-HR"/>
        </w:rPr>
        <w:t xml:space="preserve">. </w:t>
      </w:r>
      <w:r w:rsidR="00E043B0" w:rsidRPr="0023784F">
        <w:rPr>
          <w:rFonts w:ascii="Arial" w:hAnsi="Arial" w:cs="Arial"/>
          <w:szCs w:val="24"/>
          <w:lang w:val="hr-HR"/>
        </w:rPr>
        <w:t xml:space="preserve">u odnosu na </w:t>
      </w:r>
      <w:r w:rsidR="00AD4A08" w:rsidRPr="0023784F">
        <w:rPr>
          <w:rFonts w:ascii="Arial" w:hAnsi="Arial" w:cs="Arial"/>
          <w:szCs w:val="24"/>
          <w:lang w:val="hr-HR"/>
        </w:rPr>
        <w:t xml:space="preserve">indikatore na </w:t>
      </w:r>
      <w:r w:rsidR="00E043B0" w:rsidRPr="0023784F">
        <w:rPr>
          <w:rFonts w:ascii="Arial" w:hAnsi="Arial" w:cs="Arial"/>
          <w:szCs w:val="24"/>
          <w:lang w:val="hr-HR"/>
        </w:rPr>
        <w:t>kraj</w:t>
      </w:r>
      <w:r w:rsidR="00AD4A08" w:rsidRPr="0023784F">
        <w:rPr>
          <w:rFonts w:ascii="Arial" w:hAnsi="Arial" w:cs="Arial"/>
          <w:szCs w:val="24"/>
          <w:lang w:val="hr-HR"/>
        </w:rPr>
        <w:t>u</w:t>
      </w:r>
      <w:r w:rsidR="00E043B0" w:rsidRPr="0023784F">
        <w:rPr>
          <w:rFonts w:ascii="Arial" w:hAnsi="Arial" w:cs="Arial"/>
          <w:szCs w:val="24"/>
          <w:lang w:val="hr-HR"/>
        </w:rPr>
        <w:t xml:space="preserve"> </w:t>
      </w:r>
      <w:r w:rsidR="00014E48" w:rsidRPr="0023784F">
        <w:rPr>
          <w:rFonts w:ascii="Arial" w:hAnsi="Arial" w:cs="Arial"/>
          <w:szCs w:val="24"/>
          <w:lang w:val="hr-HR"/>
        </w:rPr>
        <w:t>2020</w:t>
      </w:r>
      <w:r w:rsidR="00E043B0" w:rsidRPr="0023784F">
        <w:rPr>
          <w:rFonts w:ascii="Arial" w:hAnsi="Arial" w:cs="Arial"/>
          <w:szCs w:val="24"/>
          <w:lang w:val="hr-HR"/>
        </w:rPr>
        <w:t>. godine</w:t>
      </w:r>
    </w:p>
    <w:p w14:paraId="3A987A0F" w14:textId="77777777" w:rsidR="001D65EA" w:rsidRPr="00E043B0" w:rsidRDefault="001D65EA" w:rsidP="00AB5C50">
      <w:pPr>
        <w:pStyle w:val="NoSpacing"/>
        <w:jc w:val="both"/>
        <w:rPr>
          <w:rFonts w:ascii="Arial" w:hAnsi="Arial" w:cs="Arial"/>
          <w:szCs w:val="24"/>
          <w:lang w:val="hr-HR"/>
        </w:rPr>
      </w:pPr>
    </w:p>
    <w:tbl>
      <w:tblPr>
        <w:tblW w:w="9375" w:type="dxa"/>
        <w:tblInd w:w="-1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526"/>
        <w:gridCol w:w="3667"/>
        <w:gridCol w:w="740"/>
        <w:gridCol w:w="740"/>
        <w:gridCol w:w="611"/>
        <w:gridCol w:w="611"/>
        <w:gridCol w:w="740"/>
        <w:gridCol w:w="740"/>
      </w:tblGrid>
      <w:tr w:rsidR="00067161" w:rsidRPr="00067161" w14:paraId="6E61361D" w14:textId="77777777" w:rsidTr="00445180">
        <w:trPr>
          <w:trHeight w:val="320"/>
        </w:trPr>
        <w:tc>
          <w:tcPr>
            <w:tcW w:w="0" w:type="auto"/>
            <w:gridSpan w:val="2"/>
            <w:vMerge w:val="restart"/>
            <w:shd w:val="clear" w:color="auto" w:fill="auto"/>
            <w:noWrap/>
            <w:vAlign w:val="center"/>
            <w:hideMark/>
          </w:tcPr>
          <w:p w14:paraId="2E85E72A" w14:textId="77777777" w:rsidR="00067161" w:rsidRPr="00067161" w:rsidRDefault="00067161" w:rsidP="00067161">
            <w:pPr>
              <w:spacing w:after="0" w:line="240" w:lineRule="auto"/>
              <w:jc w:val="center"/>
              <w:rPr>
                <w:rFonts w:ascii="Arial Narrow" w:eastAsia="Times New Roman" w:hAnsi="Arial Narrow" w:cs="Calibri"/>
                <w:color w:val="000000"/>
                <w:sz w:val="18"/>
                <w:szCs w:val="18"/>
                <w:lang w:val="en-US"/>
              </w:rPr>
            </w:pPr>
            <w:r w:rsidRPr="00D912D1">
              <w:rPr>
                <w:rFonts w:ascii="Arial Narrow" w:eastAsia="Times New Roman" w:hAnsi="Arial Narrow" w:cs="Calibri"/>
                <w:color w:val="000000"/>
                <w:sz w:val="18"/>
                <w:szCs w:val="18"/>
                <w:lang w:val="en-US"/>
              </w:rPr>
              <w:t>Indikatori rizika</w:t>
            </w:r>
          </w:p>
        </w:tc>
        <w:tc>
          <w:tcPr>
            <w:tcW w:w="0" w:type="auto"/>
            <w:gridSpan w:val="2"/>
            <w:shd w:val="clear" w:color="auto" w:fill="auto"/>
            <w:vAlign w:val="center"/>
            <w:hideMark/>
          </w:tcPr>
          <w:p w14:paraId="620210D8" w14:textId="77777777" w:rsidR="00067161" w:rsidRPr="00067161" w:rsidRDefault="00067161" w:rsidP="00067161">
            <w:pPr>
              <w:spacing w:after="0" w:line="240" w:lineRule="auto"/>
              <w:jc w:val="center"/>
              <w:rPr>
                <w:rFonts w:ascii="Arial Narrow" w:eastAsia="Times New Roman" w:hAnsi="Arial Narrow" w:cs="Calibri"/>
                <w:color w:val="000000"/>
                <w:sz w:val="18"/>
                <w:szCs w:val="18"/>
                <w:lang w:val="en-US"/>
              </w:rPr>
            </w:pPr>
            <w:r w:rsidRPr="00067161">
              <w:rPr>
                <w:rFonts w:ascii="Arial Narrow" w:eastAsia="Times New Roman" w:hAnsi="Arial Narrow" w:cs="Calibri"/>
                <w:color w:val="000000"/>
                <w:sz w:val="18"/>
                <w:szCs w:val="18"/>
                <w:lang w:val="en-US"/>
              </w:rPr>
              <w:t>Vanjski dug</w:t>
            </w:r>
          </w:p>
        </w:tc>
        <w:tc>
          <w:tcPr>
            <w:tcW w:w="0" w:type="auto"/>
            <w:gridSpan w:val="2"/>
            <w:shd w:val="clear" w:color="auto" w:fill="auto"/>
            <w:vAlign w:val="center"/>
            <w:hideMark/>
          </w:tcPr>
          <w:p w14:paraId="044D1F77" w14:textId="6CB231B5" w:rsidR="00067161" w:rsidRPr="00067161" w:rsidRDefault="00DA7CD0" w:rsidP="00067161">
            <w:pPr>
              <w:spacing w:after="0" w:line="240" w:lineRule="auto"/>
              <w:jc w:val="center"/>
              <w:rPr>
                <w:rFonts w:ascii="Arial Narrow" w:eastAsia="Times New Roman" w:hAnsi="Arial Narrow" w:cs="Calibri"/>
                <w:color w:val="000000"/>
                <w:sz w:val="18"/>
                <w:szCs w:val="18"/>
                <w:lang w:val="en-US"/>
              </w:rPr>
            </w:pPr>
            <w:r>
              <w:rPr>
                <w:rFonts w:ascii="Arial Narrow" w:eastAsia="Times New Roman" w:hAnsi="Arial Narrow" w:cs="Calibri"/>
                <w:color w:val="000000"/>
                <w:sz w:val="18"/>
                <w:szCs w:val="18"/>
                <w:lang w:val="en-US"/>
              </w:rPr>
              <w:t>Unutarnji</w:t>
            </w:r>
            <w:r w:rsidR="00067161" w:rsidRPr="00067161">
              <w:rPr>
                <w:rFonts w:ascii="Arial Narrow" w:eastAsia="Times New Roman" w:hAnsi="Arial Narrow" w:cs="Calibri"/>
                <w:color w:val="000000"/>
                <w:sz w:val="18"/>
                <w:szCs w:val="18"/>
                <w:lang w:val="en-US"/>
              </w:rPr>
              <w:t xml:space="preserve"> dug</w:t>
            </w:r>
          </w:p>
        </w:tc>
        <w:tc>
          <w:tcPr>
            <w:tcW w:w="0" w:type="auto"/>
            <w:gridSpan w:val="2"/>
            <w:shd w:val="clear" w:color="auto" w:fill="auto"/>
            <w:vAlign w:val="center"/>
            <w:hideMark/>
          </w:tcPr>
          <w:p w14:paraId="1DBCC869" w14:textId="77777777" w:rsidR="00067161" w:rsidRPr="00067161" w:rsidRDefault="00067161" w:rsidP="00067161">
            <w:pPr>
              <w:spacing w:after="0" w:line="240" w:lineRule="auto"/>
              <w:jc w:val="center"/>
              <w:rPr>
                <w:rFonts w:ascii="Arial Narrow" w:eastAsia="Times New Roman" w:hAnsi="Arial Narrow" w:cs="Calibri"/>
                <w:color w:val="000000"/>
                <w:sz w:val="18"/>
                <w:szCs w:val="18"/>
                <w:lang w:val="en-US"/>
              </w:rPr>
            </w:pPr>
            <w:r w:rsidRPr="00067161">
              <w:rPr>
                <w:rFonts w:ascii="Arial Narrow" w:eastAsia="Times New Roman" w:hAnsi="Arial Narrow" w:cs="Calibri"/>
                <w:color w:val="000000"/>
                <w:sz w:val="18"/>
                <w:szCs w:val="18"/>
                <w:lang w:val="en-US"/>
              </w:rPr>
              <w:t>Ukupni dug</w:t>
            </w:r>
          </w:p>
        </w:tc>
      </w:tr>
      <w:tr w:rsidR="00067161" w:rsidRPr="00067161" w14:paraId="1FCD459E" w14:textId="77777777" w:rsidTr="00445180">
        <w:trPr>
          <w:trHeight w:val="320"/>
        </w:trPr>
        <w:tc>
          <w:tcPr>
            <w:tcW w:w="0" w:type="auto"/>
            <w:gridSpan w:val="2"/>
            <w:vMerge/>
            <w:vAlign w:val="center"/>
            <w:hideMark/>
          </w:tcPr>
          <w:p w14:paraId="2265EBCD" w14:textId="77777777" w:rsidR="00067161" w:rsidRPr="00067161" w:rsidRDefault="00067161" w:rsidP="00067161">
            <w:pPr>
              <w:spacing w:after="0" w:line="240" w:lineRule="auto"/>
              <w:rPr>
                <w:rFonts w:ascii="Arial Narrow" w:eastAsia="Times New Roman" w:hAnsi="Arial Narrow" w:cs="Calibri"/>
                <w:color w:val="000000"/>
                <w:sz w:val="18"/>
                <w:szCs w:val="18"/>
                <w:lang w:val="en-US"/>
              </w:rPr>
            </w:pPr>
          </w:p>
        </w:tc>
        <w:tc>
          <w:tcPr>
            <w:tcW w:w="0" w:type="auto"/>
            <w:shd w:val="clear" w:color="auto" w:fill="auto"/>
            <w:noWrap/>
            <w:vAlign w:val="center"/>
            <w:hideMark/>
          </w:tcPr>
          <w:p w14:paraId="3B13D54A" w14:textId="77777777" w:rsidR="00067161" w:rsidRPr="00D912D1" w:rsidRDefault="00067161" w:rsidP="00067161">
            <w:pPr>
              <w:spacing w:after="0" w:line="240" w:lineRule="auto"/>
              <w:jc w:val="center"/>
              <w:rPr>
                <w:rFonts w:ascii="Arial Narrow" w:eastAsia="Times New Roman" w:hAnsi="Arial Narrow" w:cs="Calibri"/>
                <w:color w:val="000000"/>
                <w:sz w:val="18"/>
                <w:szCs w:val="18"/>
                <w:lang w:val="en-US"/>
              </w:rPr>
            </w:pPr>
            <w:r w:rsidRPr="00D912D1">
              <w:rPr>
                <w:rFonts w:ascii="Arial Narrow" w:eastAsia="Times New Roman" w:hAnsi="Arial Narrow" w:cs="Calibri"/>
                <w:color w:val="000000"/>
                <w:sz w:val="18"/>
                <w:szCs w:val="18"/>
                <w:lang w:val="en-US"/>
              </w:rPr>
              <w:t>2020.</w:t>
            </w:r>
          </w:p>
        </w:tc>
        <w:tc>
          <w:tcPr>
            <w:tcW w:w="0" w:type="auto"/>
            <w:shd w:val="clear" w:color="auto" w:fill="auto"/>
            <w:noWrap/>
            <w:vAlign w:val="center"/>
            <w:hideMark/>
          </w:tcPr>
          <w:p w14:paraId="02EA4C1B" w14:textId="77777777" w:rsidR="00067161" w:rsidRPr="0023784F" w:rsidRDefault="00067161" w:rsidP="00067161">
            <w:pPr>
              <w:spacing w:after="0" w:line="240" w:lineRule="auto"/>
              <w:jc w:val="center"/>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2021.</w:t>
            </w:r>
          </w:p>
        </w:tc>
        <w:tc>
          <w:tcPr>
            <w:tcW w:w="0" w:type="auto"/>
            <w:shd w:val="clear" w:color="auto" w:fill="auto"/>
            <w:noWrap/>
            <w:vAlign w:val="center"/>
            <w:hideMark/>
          </w:tcPr>
          <w:p w14:paraId="71766193" w14:textId="77777777" w:rsidR="00067161" w:rsidRPr="0023784F" w:rsidRDefault="00067161" w:rsidP="00067161">
            <w:pPr>
              <w:spacing w:after="0" w:line="240" w:lineRule="auto"/>
              <w:jc w:val="center"/>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2020.</w:t>
            </w:r>
          </w:p>
        </w:tc>
        <w:tc>
          <w:tcPr>
            <w:tcW w:w="0" w:type="auto"/>
            <w:shd w:val="clear" w:color="auto" w:fill="auto"/>
            <w:noWrap/>
            <w:vAlign w:val="center"/>
            <w:hideMark/>
          </w:tcPr>
          <w:p w14:paraId="658A4654" w14:textId="77777777" w:rsidR="00067161" w:rsidRPr="0023784F" w:rsidRDefault="00067161" w:rsidP="00067161">
            <w:pPr>
              <w:spacing w:after="0" w:line="240" w:lineRule="auto"/>
              <w:jc w:val="center"/>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2021.</w:t>
            </w:r>
          </w:p>
        </w:tc>
        <w:tc>
          <w:tcPr>
            <w:tcW w:w="0" w:type="auto"/>
            <w:shd w:val="clear" w:color="auto" w:fill="auto"/>
            <w:noWrap/>
            <w:vAlign w:val="center"/>
            <w:hideMark/>
          </w:tcPr>
          <w:p w14:paraId="04B8F416" w14:textId="77777777" w:rsidR="00067161" w:rsidRPr="0023784F" w:rsidRDefault="00067161" w:rsidP="00067161">
            <w:pPr>
              <w:spacing w:after="0" w:line="240" w:lineRule="auto"/>
              <w:jc w:val="center"/>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2020.</w:t>
            </w:r>
          </w:p>
        </w:tc>
        <w:tc>
          <w:tcPr>
            <w:tcW w:w="0" w:type="auto"/>
            <w:shd w:val="clear" w:color="auto" w:fill="auto"/>
            <w:noWrap/>
            <w:vAlign w:val="center"/>
            <w:hideMark/>
          </w:tcPr>
          <w:p w14:paraId="4678B53A" w14:textId="77777777" w:rsidR="00067161" w:rsidRPr="0023784F" w:rsidRDefault="00067161" w:rsidP="00067161">
            <w:pPr>
              <w:spacing w:after="0" w:line="240" w:lineRule="auto"/>
              <w:jc w:val="center"/>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2021.</w:t>
            </w:r>
          </w:p>
        </w:tc>
      </w:tr>
      <w:tr w:rsidR="00067161" w:rsidRPr="006B1C62" w14:paraId="42B9B2F1" w14:textId="77777777" w:rsidTr="00445180">
        <w:trPr>
          <w:trHeight w:val="320"/>
        </w:trPr>
        <w:tc>
          <w:tcPr>
            <w:tcW w:w="0" w:type="auto"/>
            <w:gridSpan w:val="2"/>
            <w:shd w:val="clear" w:color="auto" w:fill="auto"/>
            <w:noWrap/>
            <w:vAlign w:val="center"/>
            <w:hideMark/>
          </w:tcPr>
          <w:p w14:paraId="20F4862F" w14:textId="78FDDD50" w:rsidR="00067161" w:rsidRPr="00067161" w:rsidRDefault="00067161" w:rsidP="00067161">
            <w:pPr>
              <w:spacing w:after="0" w:line="240" w:lineRule="auto"/>
              <w:rPr>
                <w:rFonts w:ascii="Arial Narrow" w:eastAsia="Times New Roman" w:hAnsi="Arial Narrow" w:cs="Calibri"/>
                <w:color w:val="000000"/>
                <w:sz w:val="18"/>
                <w:szCs w:val="18"/>
                <w:lang w:val="en-US"/>
              </w:rPr>
            </w:pPr>
            <w:r w:rsidRPr="00067161">
              <w:rPr>
                <w:rFonts w:ascii="Arial Narrow" w:eastAsia="Times New Roman" w:hAnsi="Arial Narrow" w:cs="Calibri"/>
                <w:color w:val="000000"/>
                <w:sz w:val="18"/>
                <w:szCs w:val="18"/>
                <w:lang w:val="en-US"/>
              </w:rPr>
              <w:t>Iznos duga (</w:t>
            </w:r>
            <w:r w:rsidR="00621347">
              <w:rPr>
                <w:rFonts w:ascii="Arial Narrow" w:eastAsia="Times New Roman" w:hAnsi="Arial Narrow" w:cs="Calibri"/>
                <w:color w:val="000000"/>
                <w:sz w:val="18"/>
                <w:szCs w:val="18"/>
                <w:lang w:val="en-US"/>
              </w:rPr>
              <w:t>milijun</w:t>
            </w:r>
            <w:r w:rsidRPr="00067161">
              <w:rPr>
                <w:rFonts w:ascii="Arial Narrow" w:eastAsia="Times New Roman" w:hAnsi="Arial Narrow" w:cs="Calibri"/>
                <w:color w:val="000000"/>
                <w:sz w:val="18"/>
                <w:szCs w:val="18"/>
                <w:lang w:val="en-US"/>
              </w:rPr>
              <w:t>i KM)</w:t>
            </w:r>
          </w:p>
        </w:tc>
        <w:tc>
          <w:tcPr>
            <w:tcW w:w="0" w:type="auto"/>
            <w:shd w:val="clear" w:color="auto" w:fill="auto"/>
            <w:noWrap/>
            <w:vAlign w:val="center"/>
            <w:hideMark/>
          </w:tcPr>
          <w:p w14:paraId="5FCC6CFF" w14:textId="77777777" w:rsidR="00067161" w:rsidRPr="00D912D1" w:rsidRDefault="00067161" w:rsidP="00067161">
            <w:pPr>
              <w:spacing w:after="0" w:line="240" w:lineRule="auto"/>
              <w:jc w:val="right"/>
              <w:rPr>
                <w:rFonts w:ascii="Arial Narrow" w:eastAsia="Times New Roman" w:hAnsi="Arial Narrow" w:cs="Calibri"/>
                <w:color w:val="000000"/>
                <w:sz w:val="18"/>
                <w:szCs w:val="18"/>
                <w:lang w:val="en-US"/>
              </w:rPr>
            </w:pPr>
            <w:r w:rsidRPr="00D912D1">
              <w:rPr>
                <w:rFonts w:ascii="Arial Narrow" w:eastAsia="Times New Roman" w:hAnsi="Arial Narrow" w:cs="Calibri"/>
                <w:color w:val="000000"/>
                <w:sz w:val="18"/>
                <w:szCs w:val="18"/>
                <w:lang w:val="en-US"/>
              </w:rPr>
              <w:t>4.982,7</w:t>
            </w:r>
          </w:p>
        </w:tc>
        <w:tc>
          <w:tcPr>
            <w:tcW w:w="0" w:type="auto"/>
            <w:shd w:val="clear" w:color="auto" w:fill="auto"/>
            <w:noWrap/>
            <w:vAlign w:val="center"/>
            <w:hideMark/>
          </w:tcPr>
          <w:p w14:paraId="407E6E1E"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5.406,6</w:t>
            </w:r>
          </w:p>
        </w:tc>
        <w:tc>
          <w:tcPr>
            <w:tcW w:w="0" w:type="auto"/>
            <w:shd w:val="clear" w:color="auto" w:fill="auto"/>
            <w:noWrap/>
            <w:vAlign w:val="center"/>
            <w:hideMark/>
          </w:tcPr>
          <w:p w14:paraId="4D535BED"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849,9</w:t>
            </w:r>
          </w:p>
        </w:tc>
        <w:tc>
          <w:tcPr>
            <w:tcW w:w="0" w:type="auto"/>
            <w:shd w:val="clear" w:color="auto" w:fill="auto"/>
            <w:noWrap/>
            <w:vAlign w:val="center"/>
            <w:hideMark/>
          </w:tcPr>
          <w:p w14:paraId="11FA6393"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754,3</w:t>
            </w:r>
          </w:p>
        </w:tc>
        <w:tc>
          <w:tcPr>
            <w:tcW w:w="0" w:type="auto"/>
            <w:shd w:val="clear" w:color="auto" w:fill="auto"/>
            <w:noWrap/>
            <w:vAlign w:val="center"/>
            <w:hideMark/>
          </w:tcPr>
          <w:p w14:paraId="4DCAB506"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5.832,6</w:t>
            </w:r>
          </w:p>
        </w:tc>
        <w:tc>
          <w:tcPr>
            <w:tcW w:w="0" w:type="auto"/>
            <w:shd w:val="clear" w:color="auto" w:fill="auto"/>
            <w:noWrap/>
            <w:vAlign w:val="center"/>
            <w:hideMark/>
          </w:tcPr>
          <w:p w14:paraId="748F90FA"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6.160,9</w:t>
            </w:r>
          </w:p>
        </w:tc>
      </w:tr>
      <w:tr w:rsidR="00067161" w:rsidRPr="006B1C62" w14:paraId="59B31A4D" w14:textId="77777777" w:rsidTr="00445180">
        <w:trPr>
          <w:trHeight w:val="320"/>
        </w:trPr>
        <w:tc>
          <w:tcPr>
            <w:tcW w:w="0" w:type="auto"/>
            <w:gridSpan w:val="2"/>
            <w:shd w:val="clear" w:color="auto" w:fill="auto"/>
            <w:noWrap/>
            <w:vAlign w:val="center"/>
            <w:hideMark/>
          </w:tcPr>
          <w:p w14:paraId="6912A595" w14:textId="785103B8" w:rsidR="00067161" w:rsidRPr="00067161" w:rsidRDefault="00067161" w:rsidP="00067161">
            <w:pPr>
              <w:spacing w:after="0" w:line="240" w:lineRule="auto"/>
              <w:rPr>
                <w:rFonts w:ascii="Arial Narrow" w:eastAsia="Times New Roman" w:hAnsi="Arial Narrow" w:cs="Calibri"/>
                <w:color w:val="000000"/>
                <w:sz w:val="18"/>
                <w:szCs w:val="18"/>
                <w:lang w:val="en-US"/>
              </w:rPr>
            </w:pPr>
            <w:r w:rsidRPr="00067161">
              <w:rPr>
                <w:rFonts w:ascii="Arial Narrow" w:eastAsia="Times New Roman" w:hAnsi="Arial Narrow" w:cs="Calibri"/>
                <w:color w:val="000000"/>
                <w:sz w:val="18"/>
                <w:szCs w:val="18"/>
                <w:lang w:val="en-US"/>
              </w:rPr>
              <w:t>Iznos duga (</w:t>
            </w:r>
            <w:r w:rsidR="00621347">
              <w:rPr>
                <w:rFonts w:ascii="Arial Narrow" w:eastAsia="Times New Roman" w:hAnsi="Arial Narrow" w:cs="Calibri"/>
                <w:color w:val="000000"/>
                <w:sz w:val="18"/>
                <w:szCs w:val="18"/>
                <w:lang w:val="en-US"/>
              </w:rPr>
              <w:t>milijun</w:t>
            </w:r>
            <w:r w:rsidRPr="00067161">
              <w:rPr>
                <w:rFonts w:ascii="Arial Narrow" w:eastAsia="Times New Roman" w:hAnsi="Arial Narrow" w:cs="Calibri"/>
                <w:color w:val="000000"/>
                <w:sz w:val="18"/>
                <w:szCs w:val="18"/>
                <w:lang w:val="en-US"/>
              </w:rPr>
              <w:t>i USD)</w:t>
            </w:r>
          </w:p>
        </w:tc>
        <w:tc>
          <w:tcPr>
            <w:tcW w:w="0" w:type="auto"/>
            <w:shd w:val="clear" w:color="auto" w:fill="auto"/>
            <w:noWrap/>
            <w:vAlign w:val="center"/>
            <w:hideMark/>
          </w:tcPr>
          <w:p w14:paraId="0B6743C3" w14:textId="77777777" w:rsidR="00067161" w:rsidRPr="00D912D1" w:rsidRDefault="00067161" w:rsidP="00067161">
            <w:pPr>
              <w:spacing w:after="0" w:line="240" w:lineRule="auto"/>
              <w:jc w:val="right"/>
              <w:rPr>
                <w:rFonts w:ascii="Arial Narrow" w:eastAsia="Times New Roman" w:hAnsi="Arial Narrow" w:cs="Calibri"/>
                <w:color w:val="000000"/>
                <w:sz w:val="18"/>
                <w:szCs w:val="18"/>
                <w:lang w:val="en-US"/>
              </w:rPr>
            </w:pPr>
            <w:r w:rsidRPr="00D912D1">
              <w:rPr>
                <w:rFonts w:ascii="Arial Narrow" w:eastAsia="Times New Roman" w:hAnsi="Arial Narrow" w:cs="Calibri"/>
                <w:color w:val="000000"/>
                <w:sz w:val="18"/>
                <w:szCs w:val="18"/>
                <w:lang w:val="en-US"/>
              </w:rPr>
              <w:t>3.128,7</w:t>
            </w:r>
          </w:p>
        </w:tc>
        <w:tc>
          <w:tcPr>
            <w:tcW w:w="0" w:type="auto"/>
            <w:shd w:val="clear" w:color="auto" w:fill="auto"/>
            <w:noWrap/>
            <w:vAlign w:val="center"/>
            <w:hideMark/>
          </w:tcPr>
          <w:p w14:paraId="139F4245"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3.133,1</w:t>
            </w:r>
          </w:p>
        </w:tc>
        <w:tc>
          <w:tcPr>
            <w:tcW w:w="0" w:type="auto"/>
            <w:shd w:val="clear" w:color="auto" w:fill="auto"/>
            <w:noWrap/>
            <w:vAlign w:val="center"/>
            <w:hideMark/>
          </w:tcPr>
          <w:p w14:paraId="5FBE0DE8"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533,6</w:t>
            </w:r>
          </w:p>
        </w:tc>
        <w:tc>
          <w:tcPr>
            <w:tcW w:w="0" w:type="auto"/>
            <w:shd w:val="clear" w:color="auto" w:fill="auto"/>
            <w:noWrap/>
            <w:vAlign w:val="center"/>
            <w:hideMark/>
          </w:tcPr>
          <w:p w14:paraId="19286A01"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437,1</w:t>
            </w:r>
          </w:p>
        </w:tc>
        <w:tc>
          <w:tcPr>
            <w:tcW w:w="0" w:type="auto"/>
            <w:shd w:val="clear" w:color="auto" w:fill="auto"/>
            <w:noWrap/>
            <w:vAlign w:val="center"/>
            <w:hideMark/>
          </w:tcPr>
          <w:p w14:paraId="3E777158"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3.662,4</w:t>
            </w:r>
          </w:p>
        </w:tc>
        <w:tc>
          <w:tcPr>
            <w:tcW w:w="0" w:type="auto"/>
            <w:shd w:val="clear" w:color="auto" w:fill="auto"/>
            <w:noWrap/>
            <w:vAlign w:val="center"/>
            <w:hideMark/>
          </w:tcPr>
          <w:p w14:paraId="074413AA"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3.570,2</w:t>
            </w:r>
          </w:p>
        </w:tc>
      </w:tr>
      <w:tr w:rsidR="00067161" w:rsidRPr="006B1C62" w14:paraId="72FDD3C8" w14:textId="77777777" w:rsidTr="00445180">
        <w:trPr>
          <w:trHeight w:val="320"/>
        </w:trPr>
        <w:tc>
          <w:tcPr>
            <w:tcW w:w="0" w:type="auto"/>
            <w:gridSpan w:val="2"/>
            <w:shd w:val="clear" w:color="auto" w:fill="auto"/>
            <w:noWrap/>
            <w:vAlign w:val="center"/>
            <w:hideMark/>
          </w:tcPr>
          <w:p w14:paraId="4704E8FE" w14:textId="77777777" w:rsidR="00067161" w:rsidRPr="00067161" w:rsidRDefault="00067161" w:rsidP="00067161">
            <w:pPr>
              <w:spacing w:after="0" w:line="240" w:lineRule="auto"/>
              <w:rPr>
                <w:rFonts w:ascii="Arial Narrow" w:eastAsia="Times New Roman" w:hAnsi="Arial Narrow" w:cs="Calibri"/>
                <w:color w:val="000000"/>
                <w:sz w:val="18"/>
                <w:szCs w:val="18"/>
                <w:lang w:val="en-US"/>
              </w:rPr>
            </w:pPr>
            <w:r w:rsidRPr="00067161">
              <w:rPr>
                <w:rFonts w:ascii="Arial Narrow" w:eastAsia="Times New Roman" w:hAnsi="Arial Narrow" w:cs="Calibri"/>
                <w:color w:val="000000"/>
                <w:sz w:val="18"/>
                <w:szCs w:val="18"/>
                <w:lang w:val="en-US"/>
              </w:rPr>
              <w:t>Nominalni dug u % BDP</w:t>
            </w:r>
          </w:p>
        </w:tc>
        <w:tc>
          <w:tcPr>
            <w:tcW w:w="0" w:type="auto"/>
            <w:shd w:val="clear" w:color="auto" w:fill="auto"/>
            <w:noWrap/>
            <w:vAlign w:val="center"/>
            <w:hideMark/>
          </w:tcPr>
          <w:p w14:paraId="226B3D21" w14:textId="77777777" w:rsidR="00067161" w:rsidRPr="00D912D1" w:rsidRDefault="00067161" w:rsidP="00067161">
            <w:pPr>
              <w:spacing w:after="0" w:line="240" w:lineRule="auto"/>
              <w:jc w:val="right"/>
              <w:rPr>
                <w:rFonts w:ascii="Arial Narrow" w:eastAsia="Times New Roman" w:hAnsi="Arial Narrow" w:cs="Calibri"/>
                <w:color w:val="000000"/>
                <w:sz w:val="18"/>
                <w:szCs w:val="18"/>
                <w:lang w:val="en-US"/>
              </w:rPr>
            </w:pPr>
            <w:r w:rsidRPr="00D912D1">
              <w:rPr>
                <w:rFonts w:ascii="Arial Narrow" w:eastAsia="Times New Roman" w:hAnsi="Arial Narrow" w:cs="Calibri"/>
                <w:color w:val="000000"/>
                <w:sz w:val="18"/>
                <w:szCs w:val="18"/>
                <w:lang w:val="en-US"/>
              </w:rPr>
              <w:t>22,6</w:t>
            </w:r>
          </w:p>
        </w:tc>
        <w:tc>
          <w:tcPr>
            <w:tcW w:w="0" w:type="auto"/>
            <w:shd w:val="clear" w:color="auto" w:fill="auto"/>
            <w:noWrap/>
            <w:vAlign w:val="center"/>
            <w:hideMark/>
          </w:tcPr>
          <w:p w14:paraId="0714E133"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23,6</w:t>
            </w:r>
          </w:p>
        </w:tc>
        <w:tc>
          <w:tcPr>
            <w:tcW w:w="0" w:type="auto"/>
            <w:shd w:val="clear" w:color="auto" w:fill="auto"/>
            <w:noWrap/>
            <w:vAlign w:val="center"/>
            <w:hideMark/>
          </w:tcPr>
          <w:p w14:paraId="47101C92"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3,8</w:t>
            </w:r>
          </w:p>
        </w:tc>
        <w:tc>
          <w:tcPr>
            <w:tcW w:w="0" w:type="auto"/>
            <w:shd w:val="clear" w:color="auto" w:fill="auto"/>
            <w:noWrap/>
            <w:vAlign w:val="center"/>
            <w:hideMark/>
          </w:tcPr>
          <w:p w14:paraId="5024EBF9"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3,3</w:t>
            </w:r>
          </w:p>
        </w:tc>
        <w:tc>
          <w:tcPr>
            <w:tcW w:w="0" w:type="auto"/>
            <w:shd w:val="clear" w:color="auto" w:fill="auto"/>
            <w:noWrap/>
            <w:vAlign w:val="center"/>
            <w:hideMark/>
          </w:tcPr>
          <w:p w14:paraId="337D8E9E"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26,4</w:t>
            </w:r>
          </w:p>
        </w:tc>
        <w:tc>
          <w:tcPr>
            <w:tcW w:w="0" w:type="auto"/>
            <w:shd w:val="clear" w:color="auto" w:fill="auto"/>
            <w:noWrap/>
            <w:vAlign w:val="center"/>
            <w:hideMark/>
          </w:tcPr>
          <w:p w14:paraId="72D51119"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26,8</w:t>
            </w:r>
          </w:p>
        </w:tc>
      </w:tr>
      <w:tr w:rsidR="00067161" w:rsidRPr="006B1C62" w14:paraId="6879ED47" w14:textId="77777777" w:rsidTr="00445180">
        <w:trPr>
          <w:trHeight w:val="320"/>
        </w:trPr>
        <w:tc>
          <w:tcPr>
            <w:tcW w:w="0" w:type="auto"/>
            <w:gridSpan w:val="2"/>
            <w:shd w:val="clear" w:color="auto" w:fill="auto"/>
            <w:noWrap/>
            <w:vAlign w:val="center"/>
            <w:hideMark/>
          </w:tcPr>
          <w:p w14:paraId="0EB2887C" w14:textId="77777777" w:rsidR="00067161" w:rsidRPr="00067161" w:rsidRDefault="00067161" w:rsidP="00067161">
            <w:pPr>
              <w:spacing w:after="0" w:line="240" w:lineRule="auto"/>
              <w:rPr>
                <w:rFonts w:ascii="Arial Narrow" w:eastAsia="Times New Roman" w:hAnsi="Arial Narrow" w:cs="Calibri"/>
                <w:color w:val="000000"/>
                <w:sz w:val="18"/>
                <w:szCs w:val="18"/>
                <w:lang w:val="en-US"/>
              </w:rPr>
            </w:pPr>
            <w:r w:rsidRPr="00067161">
              <w:rPr>
                <w:rFonts w:ascii="Arial Narrow" w:eastAsia="Times New Roman" w:hAnsi="Arial Narrow" w:cs="Calibri"/>
                <w:color w:val="000000"/>
                <w:sz w:val="18"/>
                <w:szCs w:val="18"/>
                <w:lang w:val="en-US"/>
              </w:rPr>
              <w:t>Sadašnja vrijednost duga u % BDP</w:t>
            </w:r>
          </w:p>
        </w:tc>
        <w:tc>
          <w:tcPr>
            <w:tcW w:w="0" w:type="auto"/>
            <w:shd w:val="clear" w:color="auto" w:fill="auto"/>
            <w:noWrap/>
            <w:vAlign w:val="center"/>
            <w:hideMark/>
          </w:tcPr>
          <w:p w14:paraId="722AB504" w14:textId="77777777" w:rsidR="00067161" w:rsidRPr="00D912D1" w:rsidRDefault="00067161" w:rsidP="00067161">
            <w:pPr>
              <w:spacing w:after="0" w:line="240" w:lineRule="auto"/>
              <w:jc w:val="right"/>
              <w:rPr>
                <w:rFonts w:ascii="Arial Narrow" w:eastAsia="Times New Roman" w:hAnsi="Arial Narrow" w:cs="Calibri"/>
                <w:color w:val="000000"/>
                <w:sz w:val="18"/>
                <w:szCs w:val="18"/>
                <w:lang w:val="en-US"/>
              </w:rPr>
            </w:pPr>
            <w:r w:rsidRPr="00D912D1">
              <w:rPr>
                <w:rFonts w:ascii="Arial Narrow" w:eastAsia="Times New Roman" w:hAnsi="Arial Narrow" w:cs="Calibri"/>
                <w:color w:val="000000"/>
                <w:sz w:val="18"/>
                <w:szCs w:val="18"/>
                <w:lang w:val="en-US"/>
              </w:rPr>
              <w:t>18,8</w:t>
            </w:r>
          </w:p>
        </w:tc>
        <w:tc>
          <w:tcPr>
            <w:tcW w:w="0" w:type="auto"/>
            <w:shd w:val="clear" w:color="auto" w:fill="auto"/>
            <w:noWrap/>
            <w:vAlign w:val="center"/>
            <w:hideMark/>
          </w:tcPr>
          <w:p w14:paraId="6B6F4E97"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19,1</w:t>
            </w:r>
          </w:p>
        </w:tc>
        <w:tc>
          <w:tcPr>
            <w:tcW w:w="0" w:type="auto"/>
            <w:shd w:val="clear" w:color="auto" w:fill="auto"/>
            <w:noWrap/>
            <w:vAlign w:val="center"/>
            <w:hideMark/>
          </w:tcPr>
          <w:p w14:paraId="2826E5AD"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3,8</w:t>
            </w:r>
          </w:p>
        </w:tc>
        <w:tc>
          <w:tcPr>
            <w:tcW w:w="0" w:type="auto"/>
            <w:shd w:val="clear" w:color="auto" w:fill="auto"/>
            <w:noWrap/>
            <w:vAlign w:val="center"/>
            <w:hideMark/>
          </w:tcPr>
          <w:p w14:paraId="7745EA32"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3,3</w:t>
            </w:r>
          </w:p>
        </w:tc>
        <w:tc>
          <w:tcPr>
            <w:tcW w:w="0" w:type="auto"/>
            <w:shd w:val="clear" w:color="auto" w:fill="auto"/>
            <w:noWrap/>
            <w:vAlign w:val="center"/>
            <w:hideMark/>
          </w:tcPr>
          <w:p w14:paraId="503683E3"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22,7</w:t>
            </w:r>
          </w:p>
        </w:tc>
        <w:tc>
          <w:tcPr>
            <w:tcW w:w="0" w:type="auto"/>
            <w:shd w:val="clear" w:color="auto" w:fill="auto"/>
            <w:noWrap/>
            <w:vAlign w:val="center"/>
            <w:hideMark/>
          </w:tcPr>
          <w:p w14:paraId="566E81E4"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22,4</w:t>
            </w:r>
          </w:p>
        </w:tc>
      </w:tr>
      <w:tr w:rsidR="00067161" w:rsidRPr="006B1C62" w14:paraId="4B4FBABB" w14:textId="77777777" w:rsidTr="00445180">
        <w:trPr>
          <w:trHeight w:val="320"/>
        </w:trPr>
        <w:tc>
          <w:tcPr>
            <w:tcW w:w="0" w:type="auto"/>
            <w:vMerge w:val="restart"/>
            <w:shd w:val="clear" w:color="auto" w:fill="auto"/>
            <w:noWrap/>
            <w:vAlign w:val="center"/>
            <w:hideMark/>
          </w:tcPr>
          <w:p w14:paraId="2890BAC0" w14:textId="77777777" w:rsidR="00067161" w:rsidRPr="00067161" w:rsidRDefault="00067161" w:rsidP="00067161">
            <w:pPr>
              <w:spacing w:after="0" w:line="240" w:lineRule="auto"/>
              <w:jc w:val="center"/>
              <w:rPr>
                <w:rFonts w:ascii="Arial Narrow" w:eastAsia="Times New Roman" w:hAnsi="Arial Narrow" w:cs="Calibri"/>
                <w:color w:val="000000"/>
                <w:sz w:val="18"/>
                <w:szCs w:val="18"/>
                <w:lang w:val="en-US"/>
              </w:rPr>
            </w:pPr>
            <w:r w:rsidRPr="00067161">
              <w:rPr>
                <w:rFonts w:ascii="Arial Narrow" w:eastAsia="Times New Roman" w:hAnsi="Arial Narrow" w:cs="Calibri"/>
                <w:color w:val="000000"/>
                <w:sz w:val="18"/>
                <w:szCs w:val="18"/>
                <w:lang w:val="en-US"/>
              </w:rPr>
              <w:t>Troškovi duga</w:t>
            </w:r>
          </w:p>
        </w:tc>
        <w:tc>
          <w:tcPr>
            <w:tcW w:w="0" w:type="auto"/>
            <w:shd w:val="clear" w:color="auto" w:fill="auto"/>
            <w:noWrap/>
            <w:vAlign w:val="center"/>
            <w:hideMark/>
          </w:tcPr>
          <w:p w14:paraId="53591830" w14:textId="77777777" w:rsidR="00067161" w:rsidRPr="00067161" w:rsidRDefault="00067161" w:rsidP="00067161">
            <w:pPr>
              <w:spacing w:after="0" w:line="240" w:lineRule="auto"/>
              <w:rPr>
                <w:rFonts w:ascii="Arial Narrow" w:eastAsia="Times New Roman" w:hAnsi="Arial Narrow" w:cs="Calibri"/>
                <w:color w:val="000000"/>
                <w:sz w:val="18"/>
                <w:szCs w:val="18"/>
                <w:lang w:val="en-US"/>
              </w:rPr>
            </w:pPr>
            <w:r w:rsidRPr="00067161">
              <w:rPr>
                <w:rFonts w:ascii="Arial Narrow" w:eastAsia="Times New Roman" w:hAnsi="Arial Narrow" w:cs="Calibri"/>
                <w:color w:val="000000"/>
                <w:sz w:val="18"/>
                <w:szCs w:val="18"/>
                <w:lang w:val="en-US"/>
              </w:rPr>
              <w:t>Kamata kao % BDP</w:t>
            </w:r>
          </w:p>
        </w:tc>
        <w:tc>
          <w:tcPr>
            <w:tcW w:w="0" w:type="auto"/>
            <w:shd w:val="clear" w:color="auto" w:fill="auto"/>
            <w:noWrap/>
            <w:vAlign w:val="center"/>
            <w:hideMark/>
          </w:tcPr>
          <w:p w14:paraId="1C01CB5F" w14:textId="77777777" w:rsidR="00067161" w:rsidRPr="00D912D1" w:rsidRDefault="00067161" w:rsidP="00067161">
            <w:pPr>
              <w:spacing w:after="0" w:line="240" w:lineRule="auto"/>
              <w:jc w:val="right"/>
              <w:rPr>
                <w:rFonts w:ascii="Arial Narrow" w:eastAsia="Times New Roman" w:hAnsi="Arial Narrow" w:cs="Calibri"/>
                <w:color w:val="000000"/>
                <w:sz w:val="18"/>
                <w:szCs w:val="18"/>
                <w:lang w:val="en-US"/>
              </w:rPr>
            </w:pPr>
            <w:r w:rsidRPr="00D912D1">
              <w:rPr>
                <w:rFonts w:ascii="Arial Narrow" w:eastAsia="Times New Roman" w:hAnsi="Arial Narrow" w:cs="Calibri"/>
                <w:color w:val="000000"/>
                <w:sz w:val="18"/>
                <w:szCs w:val="18"/>
                <w:lang w:val="en-US"/>
              </w:rPr>
              <w:t>0,3</w:t>
            </w:r>
          </w:p>
        </w:tc>
        <w:tc>
          <w:tcPr>
            <w:tcW w:w="0" w:type="auto"/>
            <w:shd w:val="clear" w:color="auto" w:fill="auto"/>
            <w:noWrap/>
            <w:vAlign w:val="center"/>
            <w:hideMark/>
          </w:tcPr>
          <w:p w14:paraId="0BE3BE80"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0,3</w:t>
            </w:r>
          </w:p>
        </w:tc>
        <w:tc>
          <w:tcPr>
            <w:tcW w:w="0" w:type="auto"/>
            <w:shd w:val="clear" w:color="auto" w:fill="auto"/>
            <w:noWrap/>
            <w:vAlign w:val="center"/>
            <w:hideMark/>
          </w:tcPr>
          <w:p w14:paraId="3B0FF6D0"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0,05</w:t>
            </w:r>
          </w:p>
        </w:tc>
        <w:tc>
          <w:tcPr>
            <w:tcW w:w="0" w:type="auto"/>
            <w:shd w:val="clear" w:color="auto" w:fill="auto"/>
            <w:noWrap/>
            <w:vAlign w:val="center"/>
            <w:hideMark/>
          </w:tcPr>
          <w:p w14:paraId="6E7C59E2"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0,04</w:t>
            </w:r>
          </w:p>
        </w:tc>
        <w:tc>
          <w:tcPr>
            <w:tcW w:w="0" w:type="auto"/>
            <w:shd w:val="clear" w:color="auto" w:fill="auto"/>
            <w:noWrap/>
            <w:vAlign w:val="center"/>
            <w:hideMark/>
          </w:tcPr>
          <w:p w14:paraId="33912884"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0,4</w:t>
            </w:r>
          </w:p>
        </w:tc>
        <w:tc>
          <w:tcPr>
            <w:tcW w:w="0" w:type="auto"/>
            <w:shd w:val="clear" w:color="auto" w:fill="auto"/>
            <w:noWrap/>
            <w:vAlign w:val="center"/>
            <w:hideMark/>
          </w:tcPr>
          <w:p w14:paraId="62CC1BB4"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0,3</w:t>
            </w:r>
          </w:p>
        </w:tc>
      </w:tr>
      <w:tr w:rsidR="00067161" w:rsidRPr="006B1C62" w14:paraId="51DEC2F1" w14:textId="77777777" w:rsidTr="00445180">
        <w:trPr>
          <w:trHeight w:val="320"/>
        </w:trPr>
        <w:tc>
          <w:tcPr>
            <w:tcW w:w="0" w:type="auto"/>
            <w:vMerge/>
            <w:vAlign w:val="center"/>
            <w:hideMark/>
          </w:tcPr>
          <w:p w14:paraId="4CBB78D1" w14:textId="77777777" w:rsidR="00067161" w:rsidRPr="00067161" w:rsidRDefault="00067161" w:rsidP="00067161">
            <w:pPr>
              <w:spacing w:after="0" w:line="240" w:lineRule="auto"/>
              <w:rPr>
                <w:rFonts w:ascii="Arial Narrow" w:eastAsia="Times New Roman" w:hAnsi="Arial Narrow" w:cs="Calibri"/>
                <w:color w:val="000000"/>
                <w:sz w:val="18"/>
                <w:szCs w:val="18"/>
                <w:lang w:val="en-US"/>
              </w:rPr>
            </w:pPr>
          </w:p>
        </w:tc>
        <w:tc>
          <w:tcPr>
            <w:tcW w:w="0" w:type="auto"/>
            <w:shd w:val="clear" w:color="auto" w:fill="auto"/>
            <w:noWrap/>
            <w:vAlign w:val="center"/>
            <w:hideMark/>
          </w:tcPr>
          <w:p w14:paraId="4F16BE72" w14:textId="5D215D48" w:rsidR="00067161" w:rsidRPr="00067161" w:rsidRDefault="00067161" w:rsidP="00067161">
            <w:pPr>
              <w:spacing w:after="0" w:line="240" w:lineRule="auto"/>
              <w:rPr>
                <w:rFonts w:ascii="Arial Narrow" w:eastAsia="Times New Roman" w:hAnsi="Arial Narrow" w:cs="Calibri"/>
                <w:color w:val="000000"/>
                <w:sz w:val="18"/>
                <w:szCs w:val="18"/>
                <w:lang w:val="en-US"/>
              </w:rPr>
            </w:pPr>
            <w:r w:rsidRPr="00067161">
              <w:rPr>
                <w:rFonts w:ascii="Arial Narrow" w:eastAsia="Times New Roman" w:hAnsi="Arial Narrow" w:cs="Calibri"/>
                <w:color w:val="000000"/>
                <w:sz w:val="18"/>
                <w:szCs w:val="18"/>
                <w:lang w:val="en-US"/>
              </w:rPr>
              <w:t xml:space="preserve">Prosječna </w:t>
            </w:r>
            <w:r w:rsidR="009A78EF">
              <w:rPr>
                <w:rFonts w:ascii="Arial Narrow" w:eastAsia="Times New Roman" w:hAnsi="Arial Narrow" w:cs="Calibri"/>
                <w:color w:val="000000"/>
                <w:sz w:val="18"/>
                <w:szCs w:val="18"/>
                <w:lang w:val="en-US"/>
              </w:rPr>
              <w:t>ponderir</w:t>
            </w:r>
            <w:r w:rsidRPr="00067161">
              <w:rPr>
                <w:rFonts w:ascii="Arial Narrow" w:eastAsia="Times New Roman" w:hAnsi="Arial Narrow" w:cs="Calibri"/>
                <w:color w:val="000000"/>
                <w:sz w:val="18"/>
                <w:szCs w:val="18"/>
                <w:lang w:val="en-US"/>
              </w:rPr>
              <w:t>ana kamata  (%)</w:t>
            </w:r>
          </w:p>
        </w:tc>
        <w:tc>
          <w:tcPr>
            <w:tcW w:w="0" w:type="auto"/>
            <w:shd w:val="clear" w:color="auto" w:fill="auto"/>
            <w:noWrap/>
            <w:vAlign w:val="center"/>
            <w:hideMark/>
          </w:tcPr>
          <w:p w14:paraId="3694F10F" w14:textId="77777777" w:rsidR="00067161" w:rsidRPr="00D912D1" w:rsidRDefault="00067161" w:rsidP="00067161">
            <w:pPr>
              <w:spacing w:after="0" w:line="240" w:lineRule="auto"/>
              <w:jc w:val="right"/>
              <w:rPr>
                <w:rFonts w:ascii="Arial Narrow" w:eastAsia="Times New Roman" w:hAnsi="Arial Narrow" w:cs="Calibri"/>
                <w:color w:val="000000"/>
                <w:sz w:val="18"/>
                <w:szCs w:val="18"/>
                <w:lang w:val="en-US"/>
              </w:rPr>
            </w:pPr>
            <w:r w:rsidRPr="00D912D1">
              <w:rPr>
                <w:rFonts w:ascii="Arial Narrow" w:eastAsia="Times New Roman" w:hAnsi="Arial Narrow" w:cs="Calibri"/>
                <w:color w:val="000000"/>
                <w:sz w:val="18"/>
                <w:szCs w:val="18"/>
                <w:lang w:val="en-US"/>
              </w:rPr>
              <w:t>1,4</w:t>
            </w:r>
          </w:p>
        </w:tc>
        <w:tc>
          <w:tcPr>
            <w:tcW w:w="0" w:type="auto"/>
            <w:shd w:val="clear" w:color="auto" w:fill="auto"/>
            <w:noWrap/>
            <w:vAlign w:val="center"/>
            <w:hideMark/>
          </w:tcPr>
          <w:p w14:paraId="0AF09788"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1,2</w:t>
            </w:r>
          </w:p>
        </w:tc>
        <w:tc>
          <w:tcPr>
            <w:tcW w:w="0" w:type="auto"/>
            <w:shd w:val="clear" w:color="auto" w:fill="auto"/>
            <w:noWrap/>
            <w:vAlign w:val="center"/>
            <w:hideMark/>
          </w:tcPr>
          <w:p w14:paraId="4AF1F008"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1,7</w:t>
            </w:r>
          </w:p>
        </w:tc>
        <w:tc>
          <w:tcPr>
            <w:tcW w:w="0" w:type="auto"/>
            <w:shd w:val="clear" w:color="auto" w:fill="auto"/>
            <w:noWrap/>
            <w:vAlign w:val="center"/>
            <w:hideMark/>
          </w:tcPr>
          <w:p w14:paraId="3E924284"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1,2</w:t>
            </w:r>
          </w:p>
        </w:tc>
        <w:tc>
          <w:tcPr>
            <w:tcW w:w="0" w:type="auto"/>
            <w:shd w:val="clear" w:color="auto" w:fill="auto"/>
            <w:noWrap/>
            <w:vAlign w:val="center"/>
            <w:hideMark/>
          </w:tcPr>
          <w:p w14:paraId="0C0E931B"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1,5</w:t>
            </w:r>
          </w:p>
        </w:tc>
        <w:tc>
          <w:tcPr>
            <w:tcW w:w="0" w:type="auto"/>
            <w:shd w:val="clear" w:color="auto" w:fill="auto"/>
            <w:noWrap/>
            <w:vAlign w:val="center"/>
            <w:hideMark/>
          </w:tcPr>
          <w:p w14:paraId="262E1B6C"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1,2</w:t>
            </w:r>
          </w:p>
        </w:tc>
      </w:tr>
      <w:tr w:rsidR="00067161" w:rsidRPr="006B1C62" w14:paraId="0A2ADFE4" w14:textId="77777777" w:rsidTr="00445180">
        <w:trPr>
          <w:trHeight w:val="320"/>
        </w:trPr>
        <w:tc>
          <w:tcPr>
            <w:tcW w:w="0" w:type="auto"/>
            <w:vMerge w:val="restart"/>
            <w:shd w:val="clear" w:color="auto" w:fill="auto"/>
            <w:noWrap/>
            <w:vAlign w:val="center"/>
            <w:hideMark/>
          </w:tcPr>
          <w:p w14:paraId="69E9870B" w14:textId="4BDB3FC6" w:rsidR="00067161" w:rsidRPr="00067161" w:rsidRDefault="00067161" w:rsidP="00067161">
            <w:pPr>
              <w:spacing w:after="0" w:line="240" w:lineRule="auto"/>
              <w:jc w:val="center"/>
              <w:rPr>
                <w:rFonts w:ascii="Arial Narrow" w:eastAsia="Times New Roman" w:hAnsi="Arial Narrow" w:cs="Calibri"/>
                <w:color w:val="000000"/>
                <w:sz w:val="18"/>
                <w:szCs w:val="18"/>
                <w:lang w:val="en-US"/>
              </w:rPr>
            </w:pPr>
            <w:r w:rsidRPr="00067161">
              <w:rPr>
                <w:rFonts w:ascii="Arial Narrow" w:eastAsia="Times New Roman" w:hAnsi="Arial Narrow" w:cs="Calibri"/>
                <w:color w:val="000000"/>
                <w:sz w:val="18"/>
                <w:szCs w:val="18"/>
                <w:lang w:val="en-US"/>
              </w:rPr>
              <w:t>Rizik re</w:t>
            </w:r>
            <w:r w:rsidR="009A78EF">
              <w:rPr>
                <w:rFonts w:ascii="Arial Narrow" w:eastAsia="Times New Roman" w:hAnsi="Arial Narrow" w:cs="Calibri"/>
                <w:color w:val="000000"/>
                <w:sz w:val="18"/>
                <w:szCs w:val="18"/>
                <w:lang w:val="en-US"/>
              </w:rPr>
              <w:t>financ</w:t>
            </w:r>
            <w:r w:rsidRPr="00067161">
              <w:rPr>
                <w:rFonts w:ascii="Arial Narrow" w:eastAsia="Times New Roman" w:hAnsi="Arial Narrow" w:cs="Calibri"/>
                <w:color w:val="000000"/>
                <w:sz w:val="18"/>
                <w:szCs w:val="18"/>
                <w:lang w:val="en-US"/>
              </w:rPr>
              <w:t>iranja</w:t>
            </w:r>
          </w:p>
        </w:tc>
        <w:tc>
          <w:tcPr>
            <w:tcW w:w="0" w:type="auto"/>
            <w:shd w:val="clear" w:color="auto" w:fill="auto"/>
            <w:noWrap/>
            <w:vAlign w:val="center"/>
            <w:hideMark/>
          </w:tcPr>
          <w:p w14:paraId="3EEE95A0" w14:textId="77777777" w:rsidR="00067161" w:rsidRPr="00067161" w:rsidRDefault="00067161" w:rsidP="00067161">
            <w:pPr>
              <w:spacing w:after="0" w:line="240" w:lineRule="auto"/>
              <w:rPr>
                <w:rFonts w:ascii="Arial Narrow" w:eastAsia="Times New Roman" w:hAnsi="Arial Narrow" w:cs="Calibri"/>
                <w:color w:val="000000"/>
                <w:sz w:val="18"/>
                <w:szCs w:val="18"/>
                <w:lang w:val="en-US"/>
              </w:rPr>
            </w:pPr>
            <w:r w:rsidRPr="00067161">
              <w:rPr>
                <w:rFonts w:ascii="Arial Narrow" w:eastAsia="Times New Roman" w:hAnsi="Arial Narrow" w:cs="Calibri"/>
                <w:color w:val="000000"/>
                <w:sz w:val="18"/>
                <w:szCs w:val="18"/>
                <w:lang w:val="en-US"/>
              </w:rPr>
              <w:t>Prosječno vrijeme dospijeća (godine)</w:t>
            </w:r>
          </w:p>
        </w:tc>
        <w:tc>
          <w:tcPr>
            <w:tcW w:w="0" w:type="auto"/>
            <w:shd w:val="clear" w:color="auto" w:fill="auto"/>
            <w:noWrap/>
            <w:vAlign w:val="center"/>
            <w:hideMark/>
          </w:tcPr>
          <w:p w14:paraId="61EEF2CA" w14:textId="77777777" w:rsidR="00067161" w:rsidRPr="00D912D1" w:rsidRDefault="00067161" w:rsidP="00067161">
            <w:pPr>
              <w:spacing w:after="0" w:line="240" w:lineRule="auto"/>
              <w:jc w:val="right"/>
              <w:rPr>
                <w:rFonts w:ascii="Arial Narrow" w:eastAsia="Times New Roman" w:hAnsi="Arial Narrow" w:cs="Calibri"/>
                <w:color w:val="000000"/>
                <w:sz w:val="18"/>
                <w:szCs w:val="18"/>
                <w:lang w:val="en-US"/>
              </w:rPr>
            </w:pPr>
            <w:r w:rsidRPr="00D912D1">
              <w:rPr>
                <w:rFonts w:ascii="Arial Narrow" w:eastAsia="Times New Roman" w:hAnsi="Arial Narrow" w:cs="Calibri"/>
                <w:color w:val="000000"/>
                <w:sz w:val="18"/>
                <w:szCs w:val="18"/>
                <w:lang w:val="en-US"/>
              </w:rPr>
              <w:t>6,2</w:t>
            </w:r>
          </w:p>
        </w:tc>
        <w:tc>
          <w:tcPr>
            <w:tcW w:w="0" w:type="auto"/>
            <w:shd w:val="clear" w:color="auto" w:fill="auto"/>
            <w:noWrap/>
            <w:vAlign w:val="center"/>
            <w:hideMark/>
          </w:tcPr>
          <w:p w14:paraId="26E51D28"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6,6</w:t>
            </w:r>
          </w:p>
        </w:tc>
        <w:tc>
          <w:tcPr>
            <w:tcW w:w="0" w:type="auto"/>
            <w:shd w:val="clear" w:color="auto" w:fill="auto"/>
            <w:noWrap/>
            <w:vAlign w:val="center"/>
            <w:hideMark/>
          </w:tcPr>
          <w:p w14:paraId="3E9C3EFB"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3,3</w:t>
            </w:r>
          </w:p>
        </w:tc>
        <w:tc>
          <w:tcPr>
            <w:tcW w:w="0" w:type="auto"/>
            <w:shd w:val="clear" w:color="auto" w:fill="auto"/>
            <w:noWrap/>
            <w:vAlign w:val="center"/>
            <w:hideMark/>
          </w:tcPr>
          <w:p w14:paraId="0B28E68C"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3,6</w:t>
            </w:r>
          </w:p>
        </w:tc>
        <w:tc>
          <w:tcPr>
            <w:tcW w:w="0" w:type="auto"/>
            <w:shd w:val="clear" w:color="auto" w:fill="auto"/>
            <w:noWrap/>
            <w:vAlign w:val="center"/>
            <w:hideMark/>
          </w:tcPr>
          <w:p w14:paraId="3B2147A6"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5,8</w:t>
            </w:r>
          </w:p>
        </w:tc>
        <w:tc>
          <w:tcPr>
            <w:tcW w:w="0" w:type="auto"/>
            <w:shd w:val="clear" w:color="auto" w:fill="auto"/>
            <w:noWrap/>
            <w:vAlign w:val="center"/>
            <w:hideMark/>
          </w:tcPr>
          <w:p w14:paraId="06C68D64"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6,2</w:t>
            </w:r>
          </w:p>
        </w:tc>
      </w:tr>
      <w:tr w:rsidR="00067161" w:rsidRPr="006B1C62" w14:paraId="35E087AC" w14:textId="77777777" w:rsidTr="00445180">
        <w:trPr>
          <w:trHeight w:val="320"/>
        </w:trPr>
        <w:tc>
          <w:tcPr>
            <w:tcW w:w="0" w:type="auto"/>
            <w:vMerge/>
            <w:vAlign w:val="center"/>
            <w:hideMark/>
          </w:tcPr>
          <w:p w14:paraId="29DBE7E6" w14:textId="77777777" w:rsidR="00067161" w:rsidRPr="00067161" w:rsidRDefault="00067161" w:rsidP="00067161">
            <w:pPr>
              <w:spacing w:after="0" w:line="240" w:lineRule="auto"/>
              <w:rPr>
                <w:rFonts w:ascii="Arial Narrow" w:eastAsia="Times New Roman" w:hAnsi="Arial Narrow" w:cs="Calibri"/>
                <w:color w:val="000000"/>
                <w:sz w:val="18"/>
                <w:szCs w:val="18"/>
                <w:lang w:val="en-US"/>
              </w:rPr>
            </w:pPr>
          </w:p>
        </w:tc>
        <w:tc>
          <w:tcPr>
            <w:tcW w:w="0" w:type="auto"/>
            <w:shd w:val="clear" w:color="auto" w:fill="auto"/>
            <w:noWrap/>
            <w:vAlign w:val="center"/>
            <w:hideMark/>
          </w:tcPr>
          <w:p w14:paraId="745C33A0" w14:textId="77777777" w:rsidR="00067161" w:rsidRPr="00067161" w:rsidRDefault="00067161" w:rsidP="00067161">
            <w:pPr>
              <w:spacing w:after="0" w:line="240" w:lineRule="auto"/>
              <w:rPr>
                <w:rFonts w:ascii="Arial Narrow" w:eastAsia="Times New Roman" w:hAnsi="Arial Narrow" w:cs="Calibri"/>
                <w:color w:val="000000"/>
                <w:sz w:val="18"/>
                <w:szCs w:val="18"/>
                <w:lang w:val="en-US"/>
              </w:rPr>
            </w:pPr>
            <w:r w:rsidRPr="00067161">
              <w:rPr>
                <w:rFonts w:ascii="Arial Narrow" w:eastAsia="Times New Roman" w:hAnsi="Arial Narrow" w:cs="Calibri"/>
                <w:color w:val="000000"/>
                <w:sz w:val="18"/>
                <w:szCs w:val="18"/>
                <w:lang w:val="en-US"/>
              </w:rPr>
              <w:t>Dospijeće duga u sljedećoj godini  (% ukupnog)</w:t>
            </w:r>
          </w:p>
        </w:tc>
        <w:tc>
          <w:tcPr>
            <w:tcW w:w="0" w:type="auto"/>
            <w:shd w:val="clear" w:color="auto" w:fill="auto"/>
            <w:noWrap/>
            <w:vAlign w:val="center"/>
            <w:hideMark/>
          </w:tcPr>
          <w:p w14:paraId="10356F7F" w14:textId="77777777" w:rsidR="00067161" w:rsidRPr="00D912D1" w:rsidRDefault="00067161" w:rsidP="00067161">
            <w:pPr>
              <w:spacing w:after="0" w:line="240" w:lineRule="auto"/>
              <w:jc w:val="right"/>
              <w:rPr>
                <w:rFonts w:ascii="Arial Narrow" w:eastAsia="Times New Roman" w:hAnsi="Arial Narrow" w:cs="Calibri"/>
                <w:color w:val="000000"/>
                <w:sz w:val="18"/>
                <w:szCs w:val="18"/>
                <w:lang w:val="en-US"/>
              </w:rPr>
            </w:pPr>
            <w:r w:rsidRPr="00D912D1">
              <w:rPr>
                <w:rFonts w:ascii="Arial Narrow" w:eastAsia="Times New Roman" w:hAnsi="Arial Narrow" w:cs="Calibri"/>
                <w:color w:val="000000"/>
                <w:sz w:val="18"/>
                <w:szCs w:val="18"/>
                <w:lang w:val="en-US"/>
              </w:rPr>
              <w:t>8,9</w:t>
            </w:r>
          </w:p>
        </w:tc>
        <w:tc>
          <w:tcPr>
            <w:tcW w:w="0" w:type="auto"/>
            <w:shd w:val="clear" w:color="auto" w:fill="auto"/>
            <w:noWrap/>
            <w:vAlign w:val="center"/>
            <w:hideMark/>
          </w:tcPr>
          <w:p w14:paraId="6D03240A"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8,2</w:t>
            </w:r>
          </w:p>
        </w:tc>
        <w:tc>
          <w:tcPr>
            <w:tcW w:w="0" w:type="auto"/>
            <w:shd w:val="clear" w:color="auto" w:fill="auto"/>
            <w:noWrap/>
            <w:vAlign w:val="center"/>
            <w:hideMark/>
          </w:tcPr>
          <w:p w14:paraId="2C8A89B9"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27,7</w:t>
            </w:r>
          </w:p>
        </w:tc>
        <w:tc>
          <w:tcPr>
            <w:tcW w:w="0" w:type="auto"/>
            <w:shd w:val="clear" w:color="auto" w:fill="auto"/>
            <w:noWrap/>
            <w:vAlign w:val="center"/>
            <w:hideMark/>
          </w:tcPr>
          <w:p w14:paraId="59D23BDF"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33,9</w:t>
            </w:r>
          </w:p>
        </w:tc>
        <w:tc>
          <w:tcPr>
            <w:tcW w:w="0" w:type="auto"/>
            <w:shd w:val="clear" w:color="auto" w:fill="auto"/>
            <w:noWrap/>
            <w:vAlign w:val="center"/>
            <w:hideMark/>
          </w:tcPr>
          <w:p w14:paraId="714FC6A8"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11,6</w:t>
            </w:r>
          </w:p>
        </w:tc>
        <w:tc>
          <w:tcPr>
            <w:tcW w:w="0" w:type="auto"/>
            <w:shd w:val="clear" w:color="auto" w:fill="auto"/>
            <w:noWrap/>
            <w:vAlign w:val="center"/>
            <w:hideMark/>
          </w:tcPr>
          <w:p w14:paraId="1C850369"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11,5</w:t>
            </w:r>
          </w:p>
        </w:tc>
      </w:tr>
      <w:tr w:rsidR="00067161" w:rsidRPr="006B1C62" w14:paraId="7317900A" w14:textId="77777777" w:rsidTr="00445180">
        <w:trPr>
          <w:trHeight w:val="320"/>
        </w:trPr>
        <w:tc>
          <w:tcPr>
            <w:tcW w:w="0" w:type="auto"/>
            <w:vMerge/>
            <w:vAlign w:val="center"/>
            <w:hideMark/>
          </w:tcPr>
          <w:p w14:paraId="01C191A1" w14:textId="77777777" w:rsidR="00067161" w:rsidRPr="00067161" w:rsidRDefault="00067161" w:rsidP="00067161">
            <w:pPr>
              <w:spacing w:after="0" w:line="240" w:lineRule="auto"/>
              <w:rPr>
                <w:rFonts w:ascii="Arial Narrow" w:eastAsia="Times New Roman" w:hAnsi="Arial Narrow" w:cs="Calibri"/>
                <w:color w:val="000000"/>
                <w:sz w:val="18"/>
                <w:szCs w:val="18"/>
                <w:lang w:val="en-US"/>
              </w:rPr>
            </w:pPr>
          </w:p>
        </w:tc>
        <w:tc>
          <w:tcPr>
            <w:tcW w:w="0" w:type="auto"/>
            <w:shd w:val="clear" w:color="auto" w:fill="auto"/>
            <w:noWrap/>
            <w:vAlign w:val="center"/>
            <w:hideMark/>
          </w:tcPr>
          <w:p w14:paraId="79FC6D2E" w14:textId="77777777" w:rsidR="00067161" w:rsidRPr="00067161" w:rsidRDefault="00067161" w:rsidP="00067161">
            <w:pPr>
              <w:spacing w:after="0" w:line="240" w:lineRule="auto"/>
              <w:rPr>
                <w:rFonts w:ascii="Arial Narrow" w:eastAsia="Times New Roman" w:hAnsi="Arial Narrow" w:cs="Calibri"/>
                <w:color w:val="000000"/>
                <w:sz w:val="18"/>
                <w:szCs w:val="18"/>
                <w:lang w:val="en-US"/>
              </w:rPr>
            </w:pPr>
            <w:r w:rsidRPr="00067161">
              <w:rPr>
                <w:rFonts w:ascii="Arial Narrow" w:eastAsia="Times New Roman" w:hAnsi="Arial Narrow" w:cs="Calibri"/>
                <w:color w:val="000000"/>
                <w:sz w:val="18"/>
                <w:szCs w:val="18"/>
                <w:lang w:val="en-US"/>
              </w:rPr>
              <w:t>Dospijeće duga u sljedećoj godini  (% BDP)</w:t>
            </w:r>
          </w:p>
        </w:tc>
        <w:tc>
          <w:tcPr>
            <w:tcW w:w="0" w:type="auto"/>
            <w:shd w:val="clear" w:color="auto" w:fill="auto"/>
            <w:noWrap/>
            <w:vAlign w:val="center"/>
            <w:hideMark/>
          </w:tcPr>
          <w:p w14:paraId="63F5778B" w14:textId="77777777" w:rsidR="00067161" w:rsidRPr="00D912D1" w:rsidRDefault="00067161" w:rsidP="00067161">
            <w:pPr>
              <w:spacing w:after="0" w:line="240" w:lineRule="auto"/>
              <w:jc w:val="right"/>
              <w:rPr>
                <w:rFonts w:ascii="Arial Narrow" w:eastAsia="Times New Roman" w:hAnsi="Arial Narrow" w:cs="Calibri"/>
                <w:color w:val="000000"/>
                <w:sz w:val="18"/>
                <w:szCs w:val="18"/>
                <w:lang w:val="en-US"/>
              </w:rPr>
            </w:pPr>
            <w:r w:rsidRPr="00D912D1">
              <w:rPr>
                <w:rFonts w:ascii="Arial Narrow" w:eastAsia="Times New Roman" w:hAnsi="Arial Narrow" w:cs="Calibri"/>
                <w:color w:val="000000"/>
                <w:sz w:val="18"/>
                <w:szCs w:val="18"/>
                <w:lang w:val="en-US"/>
              </w:rPr>
              <w:t>2</w:t>
            </w:r>
          </w:p>
        </w:tc>
        <w:tc>
          <w:tcPr>
            <w:tcW w:w="0" w:type="auto"/>
            <w:shd w:val="clear" w:color="auto" w:fill="auto"/>
            <w:noWrap/>
            <w:vAlign w:val="center"/>
            <w:hideMark/>
          </w:tcPr>
          <w:p w14:paraId="5AF80DC0"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1,9</w:t>
            </w:r>
          </w:p>
        </w:tc>
        <w:tc>
          <w:tcPr>
            <w:tcW w:w="0" w:type="auto"/>
            <w:shd w:val="clear" w:color="auto" w:fill="auto"/>
            <w:noWrap/>
            <w:vAlign w:val="center"/>
            <w:hideMark/>
          </w:tcPr>
          <w:p w14:paraId="79345B0F"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1,1</w:t>
            </w:r>
          </w:p>
        </w:tc>
        <w:tc>
          <w:tcPr>
            <w:tcW w:w="0" w:type="auto"/>
            <w:shd w:val="clear" w:color="auto" w:fill="auto"/>
            <w:noWrap/>
            <w:vAlign w:val="center"/>
            <w:hideMark/>
          </w:tcPr>
          <w:p w14:paraId="68964642"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1,1</w:t>
            </w:r>
          </w:p>
        </w:tc>
        <w:tc>
          <w:tcPr>
            <w:tcW w:w="0" w:type="auto"/>
            <w:shd w:val="clear" w:color="auto" w:fill="auto"/>
            <w:noWrap/>
            <w:vAlign w:val="center"/>
            <w:hideMark/>
          </w:tcPr>
          <w:p w14:paraId="68123CE6"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3,1</w:t>
            </w:r>
          </w:p>
        </w:tc>
        <w:tc>
          <w:tcPr>
            <w:tcW w:w="0" w:type="auto"/>
            <w:shd w:val="clear" w:color="auto" w:fill="auto"/>
            <w:noWrap/>
            <w:vAlign w:val="center"/>
            <w:hideMark/>
          </w:tcPr>
          <w:p w14:paraId="1EB7251D"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3,0</w:t>
            </w:r>
          </w:p>
        </w:tc>
      </w:tr>
      <w:tr w:rsidR="00067161" w:rsidRPr="006B1C62" w14:paraId="334BC7A3" w14:textId="77777777" w:rsidTr="00445180">
        <w:trPr>
          <w:trHeight w:val="320"/>
        </w:trPr>
        <w:tc>
          <w:tcPr>
            <w:tcW w:w="0" w:type="auto"/>
            <w:vMerge w:val="restart"/>
            <w:shd w:val="clear" w:color="auto" w:fill="auto"/>
            <w:noWrap/>
            <w:vAlign w:val="center"/>
            <w:hideMark/>
          </w:tcPr>
          <w:p w14:paraId="69FDCCE9" w14:textId="77777777" w:rsidR="00067161" w:rsidRPr="00067161" w:rsidRDefault="00067161" w:rsidP="00067161">
            <w:pPr>
              <w:spacing w:after="0" w:line="240" w:lineRule="auto"/>
              <w:jc w:val="center"/>
              <w:rPr>
                <w:rFonts w:ascii="Arial Narrow" w:eastAsia="Times New Roman" w:hAnsi="Arial Narrow" w:cs="Calibri"/>
                <w:color w:val="000000"/>
                <w:sz w:val="18"/>
                <w:szCs w:val="18"/>
                <w:lang w:val="en-US"/>
              </w:rPr>
            </w:pPr>
            <w:r w:rsidRPr="00067161">
              <w:rPr>
                <w:rFonts w:ascii="Arial Narrow" w:eastAsia="Times New Roman" w:hAnsi="Arial Narrow" w:cs="Calibri"/>
                <w:color w:val="000000"/>
                <w:sz w:val="18"/>
                <w:szCs w:val="18"/>
                <w:lang w:val="en-US"/>
              </w:rPr>
              <w:t>Kamatni rizik</w:t>
            </w:r>
          </w:p>
        </w:tc>
        <w:tc>
          <w:tcPr>
            <w:tcW w:w="0" w:type="auto"/>
            <w:shd w:val="clear" w:color="auto" w:fill="auto"/>
            <w:noWrap/>
            <w:vAlign w:val="center"/>
            <w:hideMark/>
          </w:tcPr>
          <w:p w14:paraId="48AAFB75" w14:textId="77777777" w:rsidR="00067161" w:rsidRPr="00067161" w:rsidRDefault="00067161" w:rsidP="00067161">
            <w:pPr>
              <w:spacing w:after="0" w:line="240" w:lineRule="auto"/>
              <w:rPr>
                <w:rFonts w:ascii="Arial Narrow" w:eastAsia="Times New Roman" w:hAnsi="Arial Narrow" w:cs="Calibri"/>
                <w:color w:val="000000"/>
                <w:sz w:val="18"/>
                <w:szCs w:val="18"/>
                <w:lang w:val="en-US"/>
              </w:rPr>
            </w:pPr>
            <w:r w:rsidRPr="00067161">
              <w:rPr>
                <w:rFonts w:ascii="Arial Narrow" w:eastAsia="Times New Roman" w:hAnsi="Arial Narrow" w:cs="Calibri"/>
                <w:color w:val="000000"/>
                <w:sz w:val="18"/>
                <w:szCs w:val="18"/>
                <w:lang w:val="en-US"/>
              </w:rPr>
              <w:t>Prosječno vrijeme refiksiranja (godine)</w:t>
            </w:r>
          </w:p>
        </w:tc>
        <w:tc>
          <w:tcPr>
            <w:tcW w:w="0" w:type="auto"/>
            <w:shd w:val="clear" w:color="auto" w:fill="auto"/>
            <w:noWrap/>
            <w:vAlign w:val="center"/>
            <w:hideMark/>
          </w:tcPr>
          <w:p w14:paraId="627D9829" w14:textId="77777777" w:rsidR="00067161" w:rsidRPr="00D912D1" w:rsidRDefault="00067161" w:rsidP="00067161">
            <w:pPr>
              <w:spacing w:after="0" w:line="240" w:lineRule="auto"/>
              <w:jc w:val="right"/>
              <w:rPr>
                <w:rFonts w:ascii="Arial Narrow" w:eastAsia="Times New Roman" w:hAnsi="Arial Narrow" w:cs="Calibri"/>
                <w:color w:val="000000"/>
                <w:sz w:val="18"/>
                <w:szCs w:val="18"/>
                <w:lang w:val="en-US"/>
              </w:rPr>
            </w:pPr>
            <w:r w:rsidRPr="00D912D1">
              <w:rPr>
                <w:rFonts w:ascii="Arial Narrow" w:eastAsia="Times New Roman" w:hAnsi="Arial Narrow" w:cs="Calibri"/>
                <w:color w:val="000000"/>
                <w:sz w:val="18"/>
                <w:szCs w:val="18"/>
                <w:lang w:val="en-US"/>
              </w:rPr>
              <w:t>3,3</w:t>
            </w:r>
          </w:p>
        </w:tc>
        <w:tc>
          <w:tcPr>
            <w:tcW w:w="0" w:type="auto"/>
            <w:shd w:val="clear" w:color="auto" w:fill="auto"/>
            <w:noWrap/>
            <w:vAlign w:val="center"/>
            <w:hideMark/>
          </w:tcPr>
          <w:p w14:paraId="074342E0"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4,2</w:t>
            </w:r>
          </w:p>
        </w:tc>
        <w:tc>
          <w:tcPr>
            <w:tcW w:w="0" w:type="auto"/>
            <w:shd w:val="clear" w:color="auto" w:fill="auto"/>
            <w:noWrap/>
            <w:vAlign w:val="center"/>
            <w:hideMark/>
          </w:tcPr>
          <w:p w14:paraId="3A694705"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3,3</w:t>
            </w:r>
          </w:p>
        </w:tc>
        <w:tc>
          <w:tcPr>
            <w:tcW w:w="0" w:type="auto"/>
            <w:shd w:val="clear" w:color="auto" w:fill="auto"/>
            <w:noWrap/>
            <w:vAlign w:val="center"/>
            <w:hideMark/>
          </w:tcPr>
          <w:p w14:paraId="73D654C5"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3,6</w:t>
            </w:r>
          </w:p>
        </w:tc>
        <w:tc>
          <w:tcPr>
            <w:tcW w:w="0" w:type="auto"/>
            <w:shd w:val="clear" w:color="auto" w:fill="auto"/>
            <w:noWrap/>
            <w:vAlign w:val="center"/>
            <w:hideMark/>
          </w:tcPr>
          <w:p w14:paraId="007EEE20"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3,7</w:t>
            </w:r>
          </w:p>
        </w:tc>
        <w:tc>
          <w:tcPr>
            <w:tcW w:w="0" w:type="auto"/>
            <w:shd w:val="clear" w:color="auto" w:fill="auto"/>
            <w:noWrap/>
            <w:vAlign w:val="center"/>
            <w:hideMark/>
          </w:tcPr>
          <w:p w14:paraId="2081EC1D"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4,1</w:t>
            </w:r>
          </w:p>
        </w:tc>
      </w:tr>
      <w:tr w:rsidR="00067161" w:rsidRPr="006B1C62" w14:paraId="00C1C598" w14:textId="77777777" w:rsidTr="00445180">
        <w:trPr>
          <w:trHeight w:val="320"/>
        </w:trPr>
        <w:tc>
          <w:tcPr>
            <w:tcW w:w="0" w:type="auto"/>
            <w:vMerge/>
            <w:vAlign w:val="center"/>
            <w:hideMark/>
          </w:tcPr>
          <w:p w14:paraId="7D3698E8" w14:textId="77777777" w:rsidR="00067161" w:rsidRPr="00067161" w:rsidRDefault="00067161" w:rsidP="00067161">
            <w:pPr>
              <w:spacing w:after="0" w:line="240" w:lineRule="auto"/>
              <w:rPr>
                <w:rFonts w:ascii="Arial Narrow" w:eastAsia="Times New Roman" w:hAnsi="Arial Narrow" w:cs="Calibri"/>
                <w:color w:val="000000"/>
                <w:sz w:val="18"/>
                <w:szCs w:val="18"/>
                <w:lang w:val="en-US"/>
              </w:rPr>
            </w:pPr>
          </w:p>
        </w:tc>
        <w:tc>
          <w:tcPr>
            <w:tcW w:w="0" w:type="auto"/>
            <w:shd w:val="clear" w:color="auto" w:fill="auto"/>
            <w:noWrap/>
            <w:vAlign w:val="center"/>
            <w:hideMark/>
          </w:tcPr>
          <w:p w14:paraId="3294F8ED" w14:textId="77777777" w:rsidR="00067161" w:rsidRPr="00067161" w:rsidRDefault="00067161" w:rsidP="00067161">
            <w:pPr>
              <w:spacing w:after="0" w:line="240" w:lineRule="auto"/>
              <w:rPr>
                <w:rFonts w:ascii="Arial Narrow" w:eastAsia="Times New Roman" w:hAnsi="Arial Narrow" w:cs="Calibri"/>
                <w:color w:val="000000"/>
                <w:sz w:val="18"/>
                <w:szCs w:val="18"/>
                <w:lang w:val="en-US"/>
              </w:rPr>
            </w:pPr>
            <w:r w:rsidRPr="00067161">
              <w:rPr>
                <w:rFonts w:ascii="Arial Narrow" w:eastAsia="Times New Roman" w:hAnsi="Arial Narrow" w:cs="Calibri"/>
                <w:color w:val="000000"/>
                <w:sz w:val="18"/>
                <w:szCs w:val="18"/>
                <w:lang w:val="en-US"/>
              </w:rPr>
              <w:t>Dug koji se refiksira u sljedećoj godini (%ukupnog)</w:t>
            </w:r>
          </w:p>
        </w:tc>
        <w:tc>
          <w:tcPr>
            <w:tcW w:w="0" w:type="auto"/>
            <w:shd w:val="clear" w:color="auto" w:fill="auto"/>
            <w:noWrap/>
            <w:vAlign w:val="center"/>
            <w:hideMark/>
          </w:tcPr>
          <w:p w14:paraId="181E68E7" w14:textId="77777777" w:rsidR="00067161" w:rsidRPr="00D912D1" w:rsidRDefault="00067161" w:rsidP="00067161">
            <w:pPr>
              <w:spacing w:after="0" w:line="240" w:lineRule="auto"/>
              <w:jc w:val="right"/>
              <w:rPr>
                <w:rFonts w:ascii="Arial Narrow" w:eastAsia="Times New Roman" w:hAnsi="Arial Narrow" w:cs="Calibri"/>
                <w:color w:val="000000"/>
                <w:sz w:val="18"/>
                <w:szCs w:val="18"/>
                <w:lang w:val="en-US"/>
              </w:rPr>
            </w:pPr>
            <w:r w:rsidRPr="00D912D1">
              <w:rPr>
                <w:rFonts w:ascii="Arial Narrow" w:eastAsia="Times New Roman" w:hAnsi="Arial Narrow" w:cs="Calibri"/>
                <w:color w:val="000000"/>
                <w:sz w:val="18"/>
                <w:szCs w:val="18"/>
                <w:lang w:val="en-US"/>
              </w:rPr>
              <w:t>49,1</w:t>
            </w:r>
          </w:p>
        </w:tc>
        <w:tc>
          <w:tcPr>
            <w:tcW w:w="0" w:type="auto"/>
            <w:shd w:val="clear" w:color="auto" w:fill="auto"/>
            <w:noWrap/>
            <w:vAlign w:val="center"/>
            <w:hideMark/>
          </w:tcPr>
          <w:p w14:paraId="61AB205C"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47,5</w:t>
            </w:r>
          </w:p>
        </w:tc>
        <w:tc>
          <w:tcPr>
            <w:tcW w:w="0" w:type="auto"/>
            <w:shd w:val="clear" w:color="auto" w:fill="auto"/>
            <w:noWrap/>
            <w:vAlign w:val="center"/>
            <w:hideMark/>
          </w:tcPr>
          <w:p w14:paraId="7D055D55"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27,7</w:t>
            </w:r>
          </w:p>
        </w:tc>
        <w:tc>
          <w:tcPr>
            <w:tcW w:w="0" w:type="auto"/>
            <w:shd w:val="clear" w:color="auto" w:fill="auto"/>
            <w:noWrap/>
            <w:vAlign w:val="center"/>
            <w:hideMark/>
          </w:tcPr>
          <w:p w14:paraId="51DA8601"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33,9</w:t>
            </w:r>
          </w:p>
        </w:tc>
        <w:tc>
          <w:tcPr>
            <w:tcW w:w="0" w:type="auto"/>
            <w:shd w:val="clear" w:color="auto" w:fill="auto"/>
            <w:noWrap/>
            <w:vAlign w:val="center"/>
            <w:hideMark/>
          </w:tcPr>
          <w:p w14:paraId="4753C594"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46</w:t>
            </w:r>
          </w:p>
        </w:tc>
        <w:tc>
          <w:tcPr>
            <w:tcW w:w="0" w:type="auto"/>
            <w:shd w:val="clear" w:color="auto" w:fill="auto"/>
            <w:noWrap/>
            <w:vAlign w:val="center"/>
            <w:hideMark/>
          </w:tcPr>
          <w:p w14:paraId="73CFAA36"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45,8</w:t>
            </w:r>
          </w:p>
        </w:tc>
      </w:tr>
      <w:tr w:rsidR="00067161" w:rsidRPr="006B1C62" w14:paraId="594FF6D0" w14:textId="77777777" w:rsidTr="00445180">
        <w:trPr>
          <w:trHeight w:val="320"/>
        </w:trPr>
        <w:tc>
          <w:tcPr>
            <w:tcW w:w="0" w:type="auto"/>
            <w:vMerge/>
            <w:vAlign w:val="center"/>
            <w:hideMark/>
          </w:tcPr>
          <w:p w14:paraId="24C601F5" w14:textId="77777777" w:rsidR="00067161" w:rsidRPr="00067161" w:rsidRDefault="00067161" w:rsidP="00067161">
            <w:pPr>
              <w:spacing w:after="0" w:line="240" w:lineRule="auto"/>
              <w:rPr>
                <w:rFonts w:ascii="Arial Narrow" w:eastAsia="Times New Roman" w:hAnsi="Arial Narrow" w:cs="Calibri"/>
                <w:color w:val="000000"/>
                <w:sz w:val="18"/>
                <w:szCs w:val="18"/>
                <w:lang w:val="en-US"/>
              </w:rPr>
            </w:pPr>
          </w:p>
        </w:tc>
        <w:tc>
          <w:tcPr>
            <w:tcW w:w="0" w:type="auto"/>
            <w:shd w:val="clear" w:color="auto" w:fill="auto"/>
            <w:noWrap/>
            <w:vAlign w:val="center"/>
            <w:hideMark/>
          </w:tcPr>
          <w:p w14:paraId="5B45CE26" w14:textId="7AAD3FD3" w:rsidR="00067161" w:rsidRPr="00067161" w:rsidRDefault="00621347" w:rsidP="00067161">
            <w:pPr>
              <w:spacing w:after="0" w:line="240" w:lineRule="auto"/>
              <w:rPr>
                <w:rFonts w:ascii="Arial Narrow" w:eastAsia="Times New Roman" w:hAnsi="Arial Narrow" w:cs="Calibri"/>
                <w:color w:val="000000"/>
                <w:sz w:val="18"/>
                <w:szCs w:val="18"/>
                <w:lang w:val="en-US"/>
              </w:rPr>
            </w:pPr>
            <w:r>
              <w:rPr>
                <w:rFonts w:ascii="Arial Narrow" w:eastAsia="Times New Roman" w:hAnsi="Arial Narrow" w:cs="Calibri"/>
                <w:color w:val="000000"/>
                <w:sz w:val="18"/>
                <w:szCs w:val="18"/>
                <w:lang w:val="en-US"/>
              </w:rPr>
              <w:t>Dug s</w:t>
            </w:r>
            <w:r w:rsidR="00067161" w:rsidRPr="00067161">
              <w:rPr>
                <w:rFonts w:ascii="Arial Narrow" w:eastAsia="Times New Roman" w:hAnsi="Arial Narrow" w:cs="Calibri"/>
                <w:color w:val="000000"/>
                <w:sz w:val="18"/>
                <w:szCs w:val="18"/>
                <w:lang w:val="en-US"/>
              </w:rPr>
              <w:t xml:space="preserve"> fiksnom kamatnom stopom  (% ukupnog)</w:t>
            </w:r>
          </w:p>
        </w:tc>
        <w:tc>
          <w:tcPr>
            <w:tcW w:w="0" w:type="auto"/>
            <w:shd w:val="clear" w:color="auto" w:fill="auto"/>
            <w:noWrap/>
            <w:vAlign w:val="center"/>
            <w:hideMark/>
          </w:tcPr>
          <w:p w14:paraId="20026B59" w14:textId="77777777" w:rsidR="00067161" w:rsidRPr="00D912D1" w:rsidRDefault="00067161" w:rsidP="00067161">
            <w:pPr>
              <w:spacing w:after="0" w:line="240" w:lineRule="auto"/>
              <w:jc w:val="right"/>
              <w:rPr>
                <w:rFonts w:ascii="Arial Narrow" w:eastAsia="Times New Roman" w:hAnsi="Arial Narrow" w:cs="Calibri"/>
                <w:color w:val="000000"/>
                <w:sz w:val="18"/>
                <w:szCs w:val="18"/>
                <w:lang w:val="en-US"/>
              </w:rPr>
            </w:pPr>
            <w:r w:rsidRPr="00D912D1">
              <w:rPr>
                <w:rFonts w:ascii="Arial Narrow" w:eastAsia="Times New Roman" w:hAnsi="Arial Narrow" w:cs="Calibri"/>
                <w:color w:val="000000"/>
                <w:sz w:val="18"/>
                <w:szCs w:val="18"/>
                <w:lang w:val="en-US"/>
              </w:rPr>
              <w:t>55,4</w:t>
            </w:r>
          </w:p>
        </w:tc>
        <w:tc>
          <w:tcPr>
            <w:tcW w:w="0" w:type="auto"/>
            <w:shd w:val="clear" w:color="auto" w:fill="auto"/>
            <w:noWrap/>
            <w:vAlign w:val="center"/>
            <w:hideMark/>
          </w:tcPr>
          <w:p w14:paraId="17DD07E8"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57,1</w:t>
            </w:r>
          </w:p>
        </w:tc>
        <w:tc>
          <w:tcPr>
            <w:tcW w:w="0" w:type="auto"/>
            <w:shd w:val="clear" w:color="auto" w:fill="auto"/>
            <w:noWrap/>
            <w:vAlign w:val="center"/>
            <w:hideMark/>
          </w:tcPr>
          <w:p w14:paraId="15850934"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100</w:t>
            </w:r>
          </w:p>
        </w:tc>
        <w:tc>
          <w:tcPr>
            <w:tcW w:w="0" w:type="auto"/>
            <w:shd w:val="clear" w:color="auto" w:fill="auto"/>
            <w:noWrap/>
            <w:vAlign w:val="center"/>
            <w:hideMark/>
          </w:tcPr>
          <w:p w14:paraId="2BBED307"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100,0</w:t>
            </w:r>
          </w:p>
        </w:tc>
        <w:tc>
          <w:tcPr>
            <w:tcW w:w="0" w:type="auto"/>
            <w:shd w:val="clear" w:color="auto" w:fill="auto"/>
            <w:noWrap/>
            <w:vAlign w:val="center"/>
            <w:hideMark/>
          </w:tcPr>
          <w:p w14:paraId="52B283CA"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61,9</w:t>
            </w:r>
          </w:p>
        </w:tc>
        <w:tc>
          <w:tcPr>
            <w:tcW w:w="0" w:type="auto"/>
            <w:shd w:val="clear" w:color="auto" w:fill="auto"/>
            <w:noWrap/>
            <w:vAlign w:val="center"/>
            <w:hideMark/>
          </w:tcPr>
          <w:p w14:paraId="2576CAD4"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62,5</w:t>
            </w:r>
          </w:p>
        </w:tc>
      </w:tr>
      <w:tr w:rsidR="00067161" w:rsidRPr="006B1C62" w14:paraId="71645FED" w14:textId="77777777" w:rsidTr="00445180">
        <w:trPr>
          <w:trHeight w:val="320"/>
        </w:trPr>
        <w:tc>
          <w:tcPr>
            <w:tcW w:w="0" w:type="auto"/>
            <w:vMerge w:val="restart"/>
            <w:shd w:val="clear" w:color="auto" w:fill="auto"/>
            <w:noWrap/>
            <w:vAlign w:val="center"/>
            <w:hideMark/>
          </w:tcPr>
          <w:p w14:paraId="6BBC748F" w14:textId="77777777" w:rsidR="00067161" w:rsidRPr="00067161" w:rsidRDefault="00067161" w:rsidP="00067161">
            <w:pPr>
              <w:spacing w:after="0" w:line="240" w:lineRule="auto"/>
              <w:jc w:val="center"/>
              <w:rPr>
                <w:rFonts w:ascii="Arial Narrow" w:eastAsia="Times New Roman" w:hAnsi="Arial Narrow" w:cs="Calibri"/>
                <w:color w:val="000000"/>
                <w:sz w:val="18"/>
                <w:szCs w:val="18"/>
                <w:lang w:val="en-US"/>
              </w:rPr>
            </w:pPr>
            <w:r w:rsidRPr="00067161">
              <w:rPr>
                <w:rFonts w:ascii="Arial Narrow" w:eastAsia="Times New Roman" w:hAnsi="Arial Narrow" w:cs="Calibri"/>
                <w:color w:val="000000"/>
                <w:sz w:val="18"/>
                <w:szCs w:val="18"/>
                <w:lang w:val="en-US"/>
              </w:rPr>
              <w:t>Valutni rizik</w:t>
            </w:r>
          </w:p>
        </w:tc>
        <w:tc>
          <w:tcPr>
            <w:tcW w:w="0" w:type="auto"/>
            <w:shd w:val="clear" w:color="auto" w:fill="auto"/>
            <w:noWrap/>
            <w:vAlign w:val="center"/>
            <w:hideMark/>
          </w:tcPr>
          <w:p w14:paraId="37D07A7A" w14:textId="77777777" w:rsidR="00067161" w:rsidRPr="00067161" w:rsidRDefault="00067161" w:rsidP="00067161">
            <w:pPr>
              <w:spacing w:after="0" w:line="240" w:lineRule="auto"/>
              <w:rPr>
                <w:rFonts w:ascii="Arial Narrow" w:eastAsia="Times New Roman" w:hAnsi="Arial Narrow" w:cs="Calibri"/>
                <w:color w:val="000000"/>
                <w:sz w:val="18"/>
                <w:szCs w:val="18"/>
                <w:lang w:val="en-US"/>
              </w:rPr>
            </w:pPr>
            <w:r w:rsidRPr="00067161">
              <w:rPr>
                <w:rFonts w:ascii="Arial Narrow" w:eastAsia="Times New Roman" w:hAnsi="Arial Narrow" w:cs="Calibri"/>
                <w:color w:val="000000"/>
                <w:sz w:val="18"/>
                <w:szCs w:val="18"/>
                <w:lang w:val="en-US"/>
              </w:rPr>
              <w:t>Devizni dug  (% ukupnog duga)</w:t>
            </w:r>
          </w:p>
        </w:tc>
        <w:tc>
          <w:tcPr>
            <w:tcW w:w="0" w:type="auto"/>
            <w:shd w:val="clear" w:color="auto" w:fill="auto"/>
            <w:vAlign w:val="center"/>
            <w:hideMark/>
          </w:tcPr>
          <w:p w14:paraId="53F75CC8" w14:textId="77777777" w:rsidR="00067161" w:rsidRPr="00D912D1" w:rsidRDefault="00067161" w:rsidP="00067161">
            <w:pPr>
              <w:spacing w:after="0" w:line="240" w:lineRule="auto"/>
              <w:jc w:val="right"/>
              <w:rPr>
                <w:rFonts w:ascii="Arial Narrow" w:eastAsia="Times New Roman" w:hAnsi="Arial Narrow" w:cs="Calibri"/>
                <w:color w:val="000000"/>
                <w:sz w:val="18"/>
                <w:szCs w:val="18"/>
                <w:lang w:val="en-US"/>
              </w:rPr>
            </w:pPr>
            <w:r w:rsidRPr="00D912D1">
              <w:rPr>
                <w:rFonts w:ascii="Arial Narrow" w:eastAsia="Times New Roman" w:hAnsi="Arial Narrow" w:cs="Calibri"/>
                <w:color w:val="000000"/>
                <w:sz w:val="18"/>
                <w:szCs w:val="18"/>
                <w:lang w:val="en-US"/>
              </w:rPr>
              <w:t> </w:t>
            </w:r>
          </w:p>
        </w:tc>
        <w:tc>
          <w:tcPr>
            <w:tcW w:w="0" w:type="auto"/>
            <w:shd w:val="clear" w:color="auto" w:fill="auto"/>
            <w:noWrap/>
            <w:vAlign w:val="center"/>
            <w:hideMark/>
          </w:tcPr>
          <w:p w14:paraId="53AF42EA"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 </w:t>
            </w:r>
          </w:p>
        </w:tc>
        <w:tc>
          <w:tcPr>
            <w:tcW w:w="0" w:type="auto"/>
            <w:shd w:val="clear" w:color="auto" w:fill="auto"/>
            <w:vAlign w:val="center"/>
            <w:hideMark/>
          </w:tcPr>
          <w:p w14:paraId="05A6F82F"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 </w:t>
            </w:r>
          </w:p>
        </w:tc>
        <w:tc>
          <w:tcPr>
            <w:tcW w:w="0" w:type="auto"/>
            <w:shd w:val="clear" w:color="auto" w:fill="auto"/>
            <w:noWrap/>
            <w:vAlign w:val="center"/>
            <w:hideMark/>
          </w:tcPr>
          <w:p w14:paraId="718BC923"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 </w:t>
            </w:r>
          </w:p>
        </w:tc>
        <w:tc>
          <w:tcPr>
            <w:tcW w:w="0" w:type="auto"/>
            <w:shd w:val="clear" w:color="auto" w:fill="auto"/>
            <w:noWrap/>
            <w:vAlign w:val="center"/>
            <w:hideMark/>
          </w:tcPr>
          <w:p w14:paraId="1AB0280C"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85,4</w:t>
            </w:r>
          </w:p>
        </w:tc>
        <w:tc>
          <w:tcPr>
            <w:tcW w:w="0" w:type="auto"/>
            <w:shd w:val="clear" w:color="auto" w:fill="auto"/>
            <w:noWrap/>
            <w:vAlign w:val="center"/>
            <w:hideMark/>
          </w:tcPr>
          <w:p w14:paraId="72FD1039"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87,8</w:t>
            </w:r>
          </w:p>
        </w:tc>
      </w:tr>
      <w:tr w:rsidR="00067161" w:rsidRPr="006B1C62" w14:paraId="79E6B8E6" w14:textId="77777777" w:rsidTr="00445180">
        <w:trPr>
          <w:trHeight w:val="320"/>
        </w:trPr>
        <w:tc>
          <w:tcPr>
            <w:tcW w:w="0" w:type="auto"/>
            <w:vMerge/>
            <w:vAlign w:val="center"/>
            <w:hideMark/>
          </w:tcPr>
          <w:p w14:paraId="32C105CD" w14:textId="77777777" w:rsidR="00067161" w:rsidRPr="00067161" w:rsidRDefault="00067161" w:rsidP="00067161">
            <w:pPr>
              <w:spacing w:after="0" w:line="240" w:lineRule="auto"/>
              <w:rPr>
                <w:rFonts w:ascii="Arial Narrow" w:eastAsia="Times New Roman" w:hAnsi="Arial Narrow" w:cs="Calibri"/>
                <w:color w:val="000000"/>
                <w:sz w:val="18"/>
                <w:szCs w:val="18"/>
                <w:lang w:val="en-US"/>
              </w:rPr>
            </w:pPr>
          </w:p>
        </w:tc>
        <w:tc>
          <w:tcPr>
            <w:tcW w:w="0" w:type="auto"/>
            <w:shd w:val="clear" w:color="auto" w:fill="auto"/>
            <w:noWrap/>
            <w:vAlign w:val="center"/>
            <w:hideMark/>
          </w:tcPr>
          <w:p w14:paraId="3208694F" w14:textId="77777777" w:rsidR="00067161" w:rsidRPr="00067161" w:rsidRDefault="00067161" w:rsidP="00067161">
            <w:pPr>
              <w:spacing w:after="0" w:line="240" w:lineRule="auto"/>
              <w:rPr>
                <w:rFonts w:ascii="Arial Narrow" w:eastAsia="Times New Roman" w:hAnsi="Arial Narrow" w:cs="Calibri"/>
                <w:color w:val="000000"/>
                <w:sz w:val="18"/>
                <w:szCs w:val="18"/>
                <w:lang w:val="en-US"/>
              </w:rPr>
            </w:pPr>
            <w:r w:rsidRPr="00067161">
              <w:rPr>
                <w:rFonts w:ascii="Arial Narrow" w:eastAsia="Times New Roman" w:hAnsi="Arial Narrow" w:cs="Calibri"/>
                <w:color w:val="000000"/>
                <w:sz w:val="18"/>
                <w:szCs w:val="18"/>
                <w:lang w:val="en-US"/>
              </w:rPr>
              <w:t>Kratkoročni devizni dug (% rezervi)</w:t>
            </w:r>
          </w:p>
        </w:tc>
        <w:tc>
          <w:tcPr>
            <w:tcW w:w="0" w:type="auto"/>
            <w:shd w:val="clear" w:color="auto" w:fill="auto"/>
            <w:vAlign w:val="center"/>
            <w:hideMark/>
          </w:tcPr>
          <w:p w14:paraId="07BCBB64" w14:textId="77777777" w:rsidR="00067161" w:rsidRPr="00D912D1" w:rsidRDefault="00067161" w:rsidP="00067161">
            <w:pPr>
              <w:spacing w:after="0" w:line="240" w:lineRule="auto"/>
              <w:jc w:val="right"/>
              <w:rPr>
                <w:rFonts w:ascii="Arial Narrow" w:eastAsia="Times New Roman" w:hAnsi="Arial Narrow" w:cs="Calibri"/>
                <w:color w:val="000000"/>
                <w:sz w:val="18"/>
                <w:szCs w:val="18"/>
                <w:lang w:val="en-US"/>
              </w:rPr>
            </w:pPr>
            <w:r w:rsidRPr="00D912D1">
              <w:rPr>
                <w:rFonts w:ascii="Arial Narrow" w:eastAsia="Times New Roman" w:hAnsi="Arial Narrow" w:cs="Calibri"/>
                <w:color w:val="000000"/>
                <w:sz w:val="18"/>
                <w:szCs w:val="18"/>
                <w:lang w:val="en-US"/>
              </w:rPr>
              <w:t> </w:t>
            </w:r>
          </w:p>
        </w:tc>
        <w:tc>
          <w:tcPr>
            <w:tcW w:w="0" w:type="auto"/>
            <w:shd w:val="clear" w:color="auto" w:fill="auto"/>
            <w:noWrap/>
            <w:vAlign w:val="center"/>
            <w:hideMark/>
          </w:tcPr>
          <w:p w14:paraId="6E6DADF0"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 </w:t>
            </w:r>
          </w:p>
        </w:tc>
        <w:tc>
          <w:tcPr>
            <w:tcW w:w="0" w:type="auto"/>
            <w:shd w:val="clear" w:color="auto" w:fill="auto"/>
            <w:vAlign w:val="center"/>
            <w:hideMark/>
          </w:tcPr>
          <w:p w14:paraId="00B6BC63"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 </w:t>
            </w:r>
          </w:p>
        </w:tc>
        <w:tc>
          <w:tcPr>
            <w:tcW w:w="0" w:type="auto"/>
            <w:shd w:val="clear" w:color="auto" w:fill="auto"/>
            <w:noWrap/>
            <w:vAlign w:val="center"/>
            <w:hideMark/>
          </w:tcPr>
          <w:p w14:paraId="7D65E087"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 </w:t>
            </w:r>
          </w:p>
        </w:tc>
        <w:tc>
          <w:tcPr>
            <w:tcW w:w="0" w:type="auto"/>
            <w:shd w:val="clear" w:color="auto" w:fill="auto"/>
            <w:noWrap/>
            <w:vAlign w:val="center"/>
            <w:hideMark/>
          </w:tcPr>
          <w:p w14:paraId="48638E95"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3,7</w:t>
            </w:r>
          </w:p>
        </w:tc>
        <w:tc>
          <w:tcPr>
            <w:tcW w:w="0" w:type="auto"/>
            <w:shd w:val="clear" w:color="auto" w:fill="auto"/>
            <w:noWrap/>
            <w:vAlign w:val="center"/>
            <w:hideMark/>
          </w:tcPr>
          <w:p w14:paraId="2E61D2F4" w14:textId="77777777" w:rsidR="00067161" w:rsidRPr="0023784F" w:rsidRDefault="00067161" w:rsidP="00067161">
            <w:pPr>
              <w:spacing w:after="0" w:line="240" w:lineRule="auto"/>
              <w:jc w:val="right"/>
              <w:rPr>
                <w:rFonts w:ascii="Arial Narrow" w:eastAsia="Times New Roman" w:hAnsi="Arial Narrow" w:cs="Calibri"/>
                <w:color w:val="000000"/>
                <w:sz w:val="18"/>
                <w:szCs w:val="18"/>
                <w:lang w:val="en-US"/>
              </w:rPr>
            </w:pPr>
            <w:r w:rsidRPr="0023784F">
              <w:rPr>
                <w:rFonts w:ascii="Arial Narrow" w:eastAsia="Times New Roman" w:hAnsi="Arial Narrow" w:cs="Calibri"/>
                <w:color w:val="000000"/>
                <w:sz w:val="18"/>
                <w:szCs w:val="18"/>
                <w:lang w:val="en-US"/>
              </w:rPr>
              <w:t>3,0</w:t>
            </w:r>
          </w:p>
        </w:tc>
      </w:tr>
    </w:tbl>
    <w:p w14:paraId="22AA3B7F" w14:textId="77777777" w:rsidR="00D91AB5" w:rsidRDefault="00D91AB5" w:rsidP="00AB5C50">
      <w:pPr>
        <w:pStyle w:val="NoSpacing"/>
        <w:jc w:val="both"/>
        <w:rPr>
          <w:rFonts w:ascii="Arial" w:hAnsi="Arial" w:cs="Arial"/>
          <w:sz w:val="24"/>
          <w:szCs w:val="24"/>
          <w:lang w:val="hr-HR"/>
        </w:rPr>
      </w:pPr>
    </w:p>
    <w:p w14:paraId="79784F94" w14:textId="77777777" w:rsidR="00FB77C6" w:rsidRPr="00AF7CAC" w:rsidRDefault="00FB77C6" w:rsidP="00050C2A">
      <w:pPr>
        <w:pStyle w:val="Heading2"/>
        <w:spacing w:before="0"/>
        <w:ind w:left="993"/>
        <w:rPr>
          <w:rFonts w:ascii="Arial" w:hAnsi="Arial" w:cs="Arial"/>
          <w:b w:val="0"/>
          <w:color w:val="auto"/>
        </w:rPr>
      </w:pPr>
    </w:p>
    <w:p w14:paraId="4F8D9D27" w14:textId="372A5D6E" w:rsidR="00ED768D" w:rsidRPr="00AD4A08" w:rsidRDefault="00ED768D" w:rsidP="00050C2A">
      <w:pPr>
        <w:pStyle w:val="Heading2"/>
        <w:numPr>
          <w:ilvl w:val="1"/>
          <w:numId w:val="12"/>
        </w:numPr>
        <w:spacing w:before="0"/>
        <w:ind w:left="993" w:hanging="709"/>
        <w:rPr>
          <w:rFonts w:ascii="Arial" w:hAnsi="Arial" w:cs="Arial"/>
          <w:b w:val="0"/>
          <w:color w:val="auto"/>
          <w:sz w:val="24"/>
        </w:rPr>
      </w:pPr>
      <w:bookmarkStart w:id="103" w:name="_Toc100751750"/>
      <w:bookmarkStart w:id="104" w:name="_Toc100754207"/>
      <w:bookmarkStart w:id="105" w:name="_Toc100754651"/>
      <w:bookmarkStart w:id="106" w:name="_Toc100755043"/>
      <w:bookmarkStart w:id="107" w:name="_Toc100818774"/>
      <w:bookmarkStart w:id="108" w:name="_Toc100820480"/>
      <w:bookmarkStart w:id="109" w:name="_Toc100822768"/>
      <w:bookmarkStart w:id="110" w:name="_Toc100823307"/>
      <w:bookmarkStart w:id="111" w:name="_Toc100823750"/>
      <w:bookmarkStart w:id="112" w:name="_Toc100823751"/>
      <w:bookmarkEnd w:id="103"/>
      <w:bookmarkEnd w:id="104"/>
      <w:bookmarkEnd w:id="105"/>
      <w:bookmarkEnd w:id="106"/>
      <w:bookmarkEnd w:id="107"/>
      <w:bookmarkEnd w:id="108"/>
      <w:bookmarkEnd w:id="109"/>
      <w:bookmarkEnd w:id="110"/>
      <w:bookmarkEnd w:id="111"/>
      <w:r w:rsidRPr="00AD4A08">
        <w:rPr>
          <w:rFonts w:ascii="Arial" w:hAnsi="Arial" w:cs="Arial"/>
          <w:b w:val="0"/>
          <w:color w:val="auto"/>
          <w:sz w:val="24"/>
        </w:rPr>
        <w:t>Rizik re</w:t>
      </w:r>
      <w:r w:rsidR="009A78EF">
        <w:rPr>
          <w:rFonts w:ascii="Arial" w:hAnsi="Arial" w:cs="Arial"/>
          <w:b w:val="0"/>
          <w:color w:val="auto"/>
          <w:sz w:val="24"/>
        </w:rPr>
        <w:t>financ</w:t>
      </w:r>
      <w:r w:rsidRPr="00AD4A08">
        <w:rPr>
          <w:rFonts w:ascii="Arial" w:hAnsi="Arial" w:cs="Arial"/>
          <w:b w:val="0"/>
          <w:color w:val="auto"/>
          <w:sz w:val="24"/>
        </w:rPr>
        <w:t>iranja</w:t>
      </w:r>
      <w:bookmarkEnd w:id="112"/>
    </w:p>
    <w:p w14:paraId="06D2B970" w14:textId="77777777" w:rsidR="00ED768D" w:rsidRPr="00AF7CAC" w:rsidRDefault="00ED768D" w:rsidP="00050C2A">
      <w:pPr>
        <w:pStyle w:val="ParagraphNumbering"/>
        <w:numPr>
          <w:ilvl w:val="0"/>
          <w:numId w:val="0"/>
        </w:numPr>
        <w:spacing w:after="0" w:line="240" w:lineRule="auto"/>
        <w:jc w:val="both"/>
        <w:rPr>
          <w:rFonts w:ascii="Arial" w:hAnsi="Arial" w:cs="Arial"/>
          <w:bCs/>
        </w:rPr>
      </w:pPr>
    </w:p>
    <w:p w14:paraId="4A112BBD" w14:textId="23FC94CB" w:rsidR="00ED768D" w:rsidRPr="00AF7CAC" w:rsidRDefault="00ED768D" w:rsidP="0030021E">
      <w:pPr>
        <w:pStyle w:val="ParagraphNumbering"/>
        <w:numPr>
          <w:ilvl w:val="0"/>
          <w:numId w:val="0"/>
        </w:numPr>
        <w:spacing w:after="0" w:line="276" w:lineRule="auto"/>
        <w:ind w:firstLine="284"/>
        <w:jc w:val="both"/>
        <w:rPr>
          <w:rFonts w:ascii="Arial" w:hAnsi="Arial" w:cs="Arial"/>
          <w:bCs/>
        </w:rPr>
      </w:pPr>
      <w:r w:rsidRPr="004740A2">
        <w:rPr>
          <w:rFonts w:ascii="Arial" w:hAnsi="Arial" w:cs="Arial"/>
          <w:bCs/>
          <w:sz w:val="22"/>
        </w:rPr>
        <w:t>Rizik re</w:t>
      </w:r>
      <w:r w:rsidR="009A78EF">
        <w:rPr>
          <w:rFonts w:ascii="Arial" w:hAnsi="Arial" w:cs="Arial"/>
          <w:bCs/>
          <w:sz w:val="22"/>
        </w:rPr>
        <w:t>financ</w:t>
      </w:r>
      <w:r w:rsidRPr="004740A2">
        <w:rPr>
          <w:rFonts w:ascii="Arial" w:hAnsi="Arial" w:cs="Arial"/>
          <w:bCs/>
          <w:sz w:val="22"/>
        </w:rPr>
        <w:t xml:space="preserve">iranja je </w:t>
      </w:r>
      <w:r w:rsidR="00AD738E" w:rsidRPr="004740A2">
        <w:rPr>
          <w:rFonts w:ascii="Arial" w:hAnsi="Arial" w:cs="Arial"/>
          <w:bCs/>
          <w:sz w:val="22"/>
        </w:rPr>
        <w:t>značajan</w:t>
      </w:r>
      <w:r w:rsidRPr="004740A2">
        <w:rPr>
          <w:rFonts w:ascii="Arial" w:hAnsi="Arial" w:cs="Arial"/>
          <w:bCs/>
          <w:sz w:val="22"/>
        </w:rPr>
        <w:t xml:space="preserve"> i za </w:t>
      </w:r>
      <w:r w:rsidR="00DA7CD0">
        <w:rPr>
          <w:rFonts w:ascii="Arial" w:hAnsi="Arial" w:cs="Arial"/>
          <w:bCs/>
          <w:sz w:val="22"/>
        </w:rPr>
        <w:t>unutarnji</w:t>
      </w:r>
      <w:r w:rsidRPr="004740A2">
        <w:rPr>
          <w:rFonts w:ascii="Arial" w:hAnsi="Arial" w:cs="Arial"/>
          <w:bCs/>
          <w:sz w:val="22"/>
        </w:rPr>
        <w:t xml:space="preserve"> i za vanjski </w:t>
      </w:r>
      <w:r w:rsidRPr="00D912D1">
        <w:rPr>
          <w:rFonts w:ascii="Arial" w:hAnsi="Arial" w:cs="Arial"/>
          <w:bCs/>
          <w:sz w:val="22"/>
        </w:rPr>
        <w:t>dug i koncentriran je na kratki i srednji rok.</w:t>
      </w:r>
      <w:r w:rsidRPr="0023784F">
        <w:rPr>
          <w:rFonts w:ascii="Arial" w:hAnsi="Arial" w:cs="Arial"/>
          <w:b/>
          <w:bCs/>
          <w:sz w:val="22"/>
        </w:rPr>
        <w:t xml:space="preserve"> </w:t>
      </w:r>
      <w:r w:rsidRPr="0023784F">
        <w:rPr>
          <w:rFonts w:ascii="Arial" w:hAnsi="Arial" w:cs="Arial"/>
          <w:bCs/>
          <w:sz w:val="22"/>
        </w:rPr>
        <w:t xml:space="preserve">Prosječno vrijeme dospijeća (ATM) za </w:t>
      </w:r>
      <w:r w:rsidR="00DA7CD0">
        <w:rPr>
          <w:rFonts w:ascii="Arial" w:hAnsi="Arial" w:cs="Arial"/>
          <w:bCs/>
          <w:sz w:val="22"/>
        </w:rPr>
        <w:t>unutarnji</w:t>
      </w:r>
      <w:r w:rsidRPr="0023784F">
        <w:rPr>
          <w:rFonts w:ascii="Arial" w:hAnsi="Arial" w:cs="Arial"/>
          <w:bCs/>
          <w:sz w:val="22"/>
        </w:rPr>
        <w:t xml:space="preserve"> dug </w:t>
      </w:r>
      <w:r w:rsidR="002C46EF" w:rsidRPr="0023784F">
        <w:rPr>
          <w:rFonts w:ascii="Arial" w:hAnsi="Arial" w:cs="Arial"/>
          <w:bCs/>
          <w:sz w:val="22"/>
        </w:rPr>
        <w:t>iznosi</w:t>
      </w:r>
      <w:r w:rsidRPr="0023784F">
        <w:rPr>
          <w:rFonts w:ascii="Arial" w:hAnsi="Arial" w:cs="Arial"/>
          <w:bCs/>
          <w:sz w:val="22"/>
        </w:rPr>
        <w:t xml:space="preserve"> </w:t>
      </w:r>
      <w:r w:rsidR="009B693C" w:rsidRPr="0023784F">
        <w:rPr>
          <w:rFonts w:ascii="Arial" w:hAnsi="Arial" w:cs="Arial"/>
          <w:bCs/>
          <w:sz w:val="22"/>
        </w:rPr>
        <w:t>3,</w:t>
      </w:r>
      <w:r w:rsidR="004740A2" w:rsidRPr="0023784F">
        <w:rPr>
          <w:rFonts w:ascii="Arial" w:hAnsi="Arial" w:cs="Arial"/>
          <w:bCs/>
          <w:sz w:val="22"/>
        </w:rPr>
        <w:t>6</w:t>
      </w:r>
      <w:r w:rsidR="0012277F" w:rsidRPr="0023784F">
        <w:rPr>
          <w:rFonts w:ascii="Arial" w:hAnsi="Arial" w:cs="Arial"/>
          <w:bCs/>
          <w:sz w:val="22"/>
        </w:rPr>
        <w:t xml:space="preserve"> godina</w:t>
      </w:r>
      <w:r w:rsidR="00D70067" w:rsidRPr="0023784F">
        <w:rPr>
          <w:rFonts w:ascii="Arial" w:hAnsi="Arial" w:cs="Arial"/>
          <w:bCs/>
          <w:sz w:val="22"/>
        </w:rPr>
        <w:t>, a</w:t>
      </w:r>
      <w:r w:rsidR="00AF5DED" w:rsidRPr="0023784F">
        <w:rPr>
          <w:rFonts w:ascii="Arial" w:hAnsi="Arial" w:cs="Arial"/>
          <w:bCs/>
          <w:sz w:val="22"/>
        </w:rPr>
        <w:t xml:space="preserve"> </w:t>
      </w:r>
      <w:r w:rsidR="003C10D3" w:rsidRPr="0023784F">
        <w:rPr>
          <w:rFonts w:ascii="Arial" w:hAnsi="Arial" w:cs="Arial"/>
          <w:bCs/>
          <w:sz w:val="22"/>
        </w:rPr>
        <w:t>6,</w:t>
      </w:r>
      <w:r w:rsidR="004740A2" w:rsidRPr="0023784F">
        <w:rPr>
          <w:rFonts w:ascii="Arial" w:hAnsi="Arial" w:cs="Arial"/>
          <w:bCs/>
          <w:sz w:val="22"/>
        </w:rPr>
        <w:t>6</w:t>
      </w:r>
      <w:r w:rsidRPr="0023784F">
        <w:rPr>
          <w:rFonts w:ascii="Arial" w:hAnsi="Arial" w:cs="Arial"/>
          <w:bCs/>
          <w:sz w:val="22"/>
        </w:rPr>
        <w:t xml:space="preserve"> godina </w:t>
      </w:r>
      <w:r w:rsidR="0012277F" w:rsidRPr="0023784F">
        <w:rPr>
          <w:rFonts w:ascii="Arial" w:hAnsi="Arial" w:cs="Arial"/>
          <w:bCs/>
          <w:sz w:val="22"/>
        </w:rPr>
        <w:t xml:space="preserve">za </w:t>
      </w:r>
      <w:r w:rsidRPr="0023784F">
        <w:rPr>
          <w:rFonts w:ascii="Arial" w:hAnsi="Arial" w:cs="Arial"/>
          <w:bCs/>
          <w:sz w:val="22"/>
        </w:rPr>
        <w:t xml:space="preserve">vanjski dug. </w:t>
      </w:r>
      <w:r w:rsidR="002C46EF" w:rsidRPr="0023784F">
        <w:rPr>
          <w:rFonts w:ascii="Arial" w:hAnsi="Arial" w:cs="Arial"/>
          <w:bCs/>
          <w:sz w:val="22"/>
        </w:rPr>
        <w:t xml:space="preserve">Prosječno vrijeme dospijeća ukupnog duga iznosi </w:t>
      </w:r>
      <w:r w:rsidR="004740A2" w:rsidRPr="0023784F">
        <w:rPr>
          <w:rFonts w:ascii="Arial" w:hAnsi="Arial" w:cs="Arial"/>
          <w:bCs/>
          <w:sz w:val="22"/>
        </w:rPr>
        <w:t>6,2</w:t>
      </w:r>
      <w:r w:rsidR="002C46EF" w:rsidRPr="0023784F">
        <w:rPr>
          <w:rFonts w:ascii="Arial" w:hAnsi="Arial" w:cs="Arial"/>
          <w:bCs/>
          <w:sz w:val="22"/>
        </w:rPr>
        <w:t xml:space="preserve"> godina. </w:t>
      </w:r>
      <w:r w:rsidRPr="0023784F">
        <w:rPr>
          <w:rFonts w:ascii="Arial" w:hAnsi="Arial" w:cs="Arial"/>
          <w:bCs/>
          <w:sz w:val="22"/>
        </w:rPr>
        <w:t xml:space="preserve">Kraće prosječno vrijeme dospijeća </w:t>
      </w:r>
      <w:r w:rsidR="009A78EF">
        <w:rPr>
          <w:rFonts w:ascii="Arial" w:hAnsi="Arial" w:cs="Arial"/>
          <w:bCs/>
          <w:sz w:val="22"/>
        </w:rPr>
        <w:t>unutarnjeg</w:t>
      </w:r>
      <w:r w:rsidRPr="0023784F">
        <w:rPr>
          <w:rFonts w:ascii="Arial" w:hAnsi="Arial" w:cs="Arial"/>
          <w:bCs/>
          <w:sz w:val="22"/>
        </w:rPr>
        <w:t xml:space="preserve"> duga </w:t>
      </w:r>
      <w:r w:rsidR="00D22626" w:rsidRPr="0023784F">
        <w:rPr>
          <w:rFonts w:ascii="Arial" w:hAnsi="Arial" w:cs="Arial"/>
          <w:bCs/>
          <w:sz w:val="22"/>
        </w:rPr>
        <w:t>u odnosu na vanjski dug rezultat je</w:t>
      </w:r>
      <w:r w:rsidR="00D22626" w:rsidRPr="004740A2">
        <w:rPr>
          <w:rFonts w:ascii="Arial" w:hAnsi="Arial" w:cs="Arial"/>
          <w:bCs/>
          <w:sz w:val="22"/>
        </w:rPr>
        <w:t xml:space="preserve"> </w:t>
      </w:r>
      <w:r w:rsidR="00345A44" w:rsidRPr="004740A2">
        <w:rPr>
          <w:rFonts w:ascii="Arial" w:hAnsi="Arial" w:cs="Arial"/>
          <w:bCs/>
          <w:sz w:val="22"/>
        </w:rPr>
        <w:t>st</w:t>
      </w:r>
      <w:r w:rsidR="00621347">
        <w:rPr>
          <w:rFonts w:ascii="Arial" w:hAnsi="Arial" w:cs="Arial"/>
          <w:bCs/>
          <w:sz w:val="22"/>
        </w:rPr>
        <w:t>upnja</w:t>
      </w:r>
      <w:r w:rsidR="00345A44" w:rsidRPr="004740A2">
        <w:rPr>
          <w:rFonts w:ascii="Arial" w:hAnsi="Arial" w:cs="Arial"/>
          <w:bCs/>
          <w:sz w:val="22"/>
        </w:rPr>
        <w:t xml:space="preserve"> </w:t>
      </w:r>
      <w:r w:rsidR="00D22626" w:rsidRPr="004740A2">
        <w:rPr>
          <w:rFonts w:ascii="Arial" w:hAnsi="Arial" w:cs="Arial"/>
          <w:bCs/>
          <w:sz w:val="22"/>
        </w:rPr>
        <w:t>razvijenosti domaćeg tržišta vrijednosnih papira</w:t>
      </w:r>
      <w:r w:rsidR="00EA7C7A" w:rsidRPr="004740A2">
        <w:rPr>
          <w:rFonts w:ascii="Arial" w:hAnsi="Arial" w:cs="Arial"/>
          <w:bCs/>
          <w:sz w:val="22"/>
        </w:rPr>
        <w:t>,</w:t>
      </w:r>
      <w:r w:rsidR="00CE3C2E" w:rsidRPr="004740A2">
        <w:rPr>
          <w:rFonts w:ascii="Arial" w:hAnsi="Arial" w:cs="Arial"/>
          <w:bCs/>
          <w:sz w:val="22"/>
        </w:rPr>
        <w:t xml:space="preserve"> s</w:t>
      </w:r>
      <w:r w:rsidR="00D22626" w:rsidRPr="004740A2">
        <w:rPr>
          <w:rFonts w:ascii="Arial" w:hAnsi="Arial" w:cs="Arial"/>
          <w:bCs/>
          <w:sz w:val="22"/>
        </w:rPr>
        <w:t xml:space="preserve"> </w:t>
      </w:r>
      <w:r w:rsidR="0030021E" w:rsidRPr="004740A2">
        <w:rPr>
          <w:rFonts w:ascii="Arial" w:hAnsi="Arial" w:cs="Arial"/>
          <w:bCs/>
          <w:sz w:val="22"/>
        </w:rPr>
        <w:t xml:space="preserve">obzirom da </w:t>
      </w:r>
      <w:r w:rsidR="00D22626" w:rsidRPr="004740A2">
        <w:rPr>
          <w:rFonts w:ascii="Arial" w:hAnsi="Arial" w:cs="Arial"/>
          <w:bCs/>
          <w:sz w:val="22"/>
        </w:rPr>
        <w:t xml:space="preserve">na istom ne </w:t>
      </w:r>
      <w:r w:rsidR="00400A00" w:rsidRPr="004740A2">
        <w:rPr>
          <w:rFonts w:ascii="Arial" w:hAnsi="Arial" w:cs="Arial"/>
          <w:bCs/>
          <w:sz w:val="22"/>
        </w:rPr>
        <w:t xml:space="preserve">postoji </w:t>
      </w:r>
      <w:r w:rsidR="00D22626" w:rsidRPr="004740A2">
        <w:rPr>
          <w:rFonts w:ascii="Arial" w:hAnsi="Arial" w:cs="Arial"/>
          <w:bCs/>
          <w:sz w:val="22"/>
        </w:rPr>
        <w:t xml:space="preserve">značajniji </w:t>
      </w:r>
      <w:r w:rsidR="00DD7322" w:rsidRPr="004740A2">
        <w:rPr>
          <w:rFonts w:ascii="Arial" w:hAnsi="Arial" w:cs="Arial"/>
          <w:bCs/>
          <w:sz w:val="22"/>
        </w:rPr>
        <w:t xml:space="preserve">tržišni potencijal </w:t>
      </w:r>
      <w:r w:rsidR="00621347">
        <w:rPr>
          <w:rFonts w:ascii="Arial" w:hAnsi="Arial" w:cs="Arial"/>
          <w:bCs/>
          <w:sz w:val="22"/>
        </w:rPr>
        <w:t>za izdavanjem obveznica s</w:t>
      </w:r>
      <w:r w:rsidR="00D22626" w:rsidRPr="004740A2">
        <w:rPr>
          <w:rFonts w:ascii="Arial" w:hAnsi="Arial" w:cs="Arial"/>
          <w:bCs/>
          <w:sz w:val="22"/>
        </w:rPr>
        <w:t xml:space="preserve"> dužim rokom dosp</w:t>
      </w:r>
      <w:r w:rsidR="00D945EA" w:rsidRPr="004740A2">
        <w:rPr>
          <w:rFonts w:ascii="Arial" w:hAnsi="Arial" w:cs="Arial"/>
          <w:bCs/>
          <w:sz w:val="22"/>
        </w:rPr>
        <w:t>i</w:t>
      </w:r>
      <w:r w:rsidR="00D22626" w:rsidRPr="004740A2">
        <w:rPr>
          <w:rFonts w:ascii="Arial" w:hAnsi="Arial" w:cs="Arial"/>
          <w:bCs/>
          <w:sz w:val="22"/>
        </w:rPr>
        <w:t>jeća</w:t>
      </w:r>
      <w:r w:rsidR="00EA7C7A" w:rsidRPr="004740A2">
        <w:rPr>
          <w:rFonts w:ascii="Arial" w:hAnsi="Arial" w:cs="Arial"/>
          <w:bCs/>
          <w:sz w:val="22"/>
        </w:rPr>
        <w:t>, i</w:t>
      </w:r>
      <w:r w:rsidRPr="004740A2">
        <w:rPr>
          <w:rFonts w:ascii="Arial" w:hAnsi="Arial" w:cs="Arial"/>
          <w:bCs/>
          <w:sz w:val="22"/>
        </w:rPr>
        <w:t xml:space="preserve"> </w:t>
      </w:r>
      <w:r w:rsidR="00621347">
        <w:rPr>
          <w:rFonts w:ascii="Arial" w:hAnsi="Arial" w:cs="Arial"/>
          <w:bCs/>
          <w:sz w:val="22"/>
        </w:rPr>
        <w:t>ob</w:t>
      </w:r>
      <w:r w:rsidR="00EA7C7A" w:rsidRPr="004740A2">
        <w:rPr>
          <w:rFonts w:ascii="Arial" w:hAnsi="Arial" w:cs="Arial"/>
          <w:bCs/>
          <w:sz w:val="22"/>
        </w:rPr>
        <w:t>veza po osnov</w:t>
      </w:r>
      <w:r w:rsidR="00621347">
        <w:rPr>
          <w:rFonts w:ascii="Arial" w:hAnsi="Arial" w:cs="Arial"/>
          <w:bCs/>
          <w:sz w:val="22"/>
        </w:rPr>
        <w:t>i</w:t>
      </w:r>
      <w:r w:rsidR="00EA7C7A" w:rsidRPr="004740A2">
        <w:rPr>
          <w:rFonts w:ascii="Arial" w:hAnsi="Arial" w:cs="Arial"/>
          <w:bCs/>
          <w:sz w:val="22"/>
        </w:rPr>
        <w:t xml:space="preserve"> </w:t>
      </w:r>
      <w:r w:rsidR="009A78EF">
        <w:rPr>
          <w:rFonts w:ascii="Arial" w:hAnsi="Arial" w:cs="Arial"/>
          <w:bCs/>
          <w:sz w:val="22"/>
        </w:rPr>
        <w:t>unutarnjeg</w:t>
      </w:r>
      <w:r w:rsidR="00EA7C7A" w:rsidRPr="004740A2">
        <w:rPr>
          <w:rFonts w:ascii="Arial" w:hAnsi="Arial" w:cs="Arial"/>
          <w:bCs/>
          <w:sz w:val="22"/>
        </w:rPr>
        <w:t xml:space="preserve"> duga utvrđenih zakonom (obveznice izdane za izmirenje ratnih potraživanja).</w:t>
      </w:r>
      <w:r w:rsidR="007A2F27" w:rsidRPr="004740A2">
        <w:rPr>
          <w:rFonts w:ascii="Arial" w:hAnsi="Arial" w:cs="Arial"/>
          <w:bCs/>
          <w:sz w:val="22"/>
        </w:rPr>
        <w:t xml:space="preserve"> </w:t>
      </w:r>
    </w:p>
    <w:p w14:paraId="42C61B10" w14:textId="77777777" w:rsidR="00315942" w:rsidRDefault="00315942" w:rsidP="00ED768D">
      <w:pPr>
        <w:spacing w:after="0" w:line="240" w:lineRule="auto"/>
        <w:ind w:right="-46"/>
        <w:rPr>
          <w:rFonts w:ascii="Arial" w:hAnsi="Arial" w:cs="Arial"/>
          <w:highlight w:val="green"/>
        </w:rPr>
      </w:pPr>
    </w:p>
    <w:p w14:paraId="4BE1AF39" w14:textId="25C5BE64" w:rsidR="00ED768D" w:rsidRDefault="00ED768D" w:rsidP="00ED768D">
      <w:pPr>
        <w:spacing w:after="0" w:line="240" w:lineRule="auto"/>
        <w:ind w:right="-46"/>
        <w:rPr>
          <w:rFonts w:ascii="Arial" w:hAnsi="Arial" w:cs="Arial"/>
        </w:rPr>
      </w:pPr>
      <w:r w:rsidRPr="00D912D1">
        <w:rPr>
          <w:rFonts w:ascii="Arial" w:hAnsi="Arial" w:cs="Arial"/>
        </w:rPr>
        <w:t xml:space="preserve">Slika </w:t>
      </w:r>
      <w:r w:rsidR="008A7690" w:rsidRPr="0023784F">
        <w:rPr>
          <w:rFonts w:ascii="Arial" w:hAnsi="Arial" w:cs="Arial"/>
        </w:rPr>
        <w:t>5</w:t>
      </w:r>
      <w:r w:rsidRPr="0023784F">
        <w:rPr>
          <w:rFonts w:ascii="Arial" w:hAnsi="Arial" w:cs="Arial"/>
        </w:rPr>
        <w:t xml:space="preserve">. </w:t>
      </w:r>
      <w:r w:rsidRPr="0023784F">
        <w:rPr>
          <w:rFonts w:ascii="Arial" w:eastAsia="SimSun" w:hAnsi="Arial" w:cs="Arial"/>
          <w:bCs/>
          <w:szCs w:val="24"/>
        </w:rPr>
        <w:t>Profil otplate duga F</w:t>
      </w:r>
      <w:r w:rsidR="00972565" w:rsidRPr="0023784F">
        <w:rPr>
          <w:rFonts w:ascii="Arial" w:eastAsia="SimSun" w:hAnsi="Arial" w:cs="Arial"/>
          <w:bCs/>
          <w:szCs w:val="24"/>
        </w:rPr>
        <w:t xml:space="preserve">ederacije </w:t>
      </w:r>
      <w:r w:rsidRPr="0023784F">
        <w:rPr>
          <w:rFonts w:ascii="Arial" w:eastAsia="SimSun" w:hAnsi="Arial" w:cs="Arial"/>
          <w:bCs/>
          <w:szCs w:val="24"/>
        </w:rPr>
        <w:t>BiH na dan 31.</w:t>
      </w:r>
      <w:r w:rsidR="00621347">
        <w:rPr>
          <w:rFonts w:ascii="Arial" w:eastAsia="SimSun" w:hAnsi="Arial" w:cs="Arial"/>
          <w:bCs/>
          <w:szCs w:val="24"/>
        </w:rPr>
        <w:t xml:space="preserve"> </w:t>
      </w:r>
      <w:r w:rsidRPr="0023784F">
        <w:rPr>
          <w:rFonts w:ascii="Arial" w:eastAsia="SimSun" w:hAnsi="Arial" w:cs="Arial"/>
          <w:bCs/>
          <w:szCs w:val="24"/>
        </w:rPr>
        <w:t>12.</w:t>
      </w:r>
      <w:r w:rsidR="00621347">
        <w:rPr>
          <w:rFonts w:ascii="Arial" w:eastAsia="SimSun" w:hAnsi="Arial" w:cs="Arial"/>
          <w:bCs/>
          <w:szCs w:val="24"/>
        </w:rPr>
        <w:t xml:space="preserve"> </w:t>
      </w:r>
      <w:r w:rsidR="00014E48" w:rsidRPr="0023784F">
        <w:rPr>
          <w:rFonts w:ascii="Arial" w:eastAsia="SimSun" w:hAnsi="Arial" w:cs="Arial"/>
          <w:bCs/>
          <w:szCs w:val="24"/>
        </w:rPr>
        <w:t>2021</w:t>
      </w:r>
      <w:r w:rsidRPr="0023784F">
        <w:rPr>
          <w:rFonts w:ascii="Arial" w:eastAsia="SimSun" w:hAnsi="Arial" w:cs="Arial"/>
          <w:bCs/>
          <w:szCs w:val="24"/>
        </w:rPr>
        <w:t>. (mil.</w:t>
      </w:r>
      <w:r w:rsidR="00FB77C6" w:rsidRPr="0023784F">
        <w:rPr>
          <w:rFonts w:ascii="Arial" w:eastAsia="SimSun" w:hAnsi="Arial" w:cs="Arial"/>
          <w:bCs/>
          <w:szCs w:val="24"/>
        </w:rPr>
        <w:t xml:space="preserve"> </w:t>
      </w:r>
      <w:r w:rsidR="00E672EB" w:rsidRPr="0023784F">
        <w:rPr>
          <w:rFonts w:ascii="Arial" w:eastAsia="SimSun" w:hAnsi="Arial" w:cs="Arial"/>
          <w:bCs/>
          <w:szCs w:val="24"/>
        </w:rPr>
        <w:t>KM</w:t>
      </w:r>
      <w:r w:rsidRPr="0023784F">
        <w:rPr>
          <w:rFonts w:ascii="Arial" w:eastAsia="SimSun" w:hAnsi="Arial" w:cs="Arial"/>
          <w:bCs/>
          <w:szCs w:val="24"/>
        </w:rPr>
        <w:t>)</w:t>
      </w:r>
      <w:r w:rsidRPr="00AF7CAC">
        <w:rPr>
          <w:rFonts w:ascii="Arial" w:hAnsi="Arial" w:cs="Arial"/>
        </w:rPr>
        <w:t xml:space="preserve">  </w:t>
      </w:r>
    </w:p>
    <w:p w14:paraId="4509176B" w14:textId="77777777" w:rsidR="00315942" w:rsidRDefault="00315942" w:rsidP="00ED768D">
      <w:pPr>
        <w:spacing w:after="0" w:line="240" w:lineRule="auto"/>
        <w:ind w:right="-46"/>
        <w:rPr>
          <w:rFonts w:ascii="Arial" w:hAnsi="Arial" w:cs="Arial"/>
        </w:rPr>
      </w:pPr>
    </w:p>
    <w:p w14:paraId="70CAF8AD" w14:textId="5A1679A1" w:rsidR="00014E48" w:rsidRPr="00AF7CAC" w:rsidRDefault="00014E48" w:rsidP="00ED768D">
      <w:pPr>
        <w:spacing w:after="0" w:line="240" w:lineRule="auto"/>
        <w:ind w:right="-46"/>
        <w:rPr>
          <w:rFonts w:ascii="Arial" w:hAnsi="Arial" w:cs="Arial"/>
        </w:rPr>
      </w:pPr>
      <w:r>
        <w:rPr>
          <w:noProof/>
          <w:lang w:val="en-US"/>
        </w:rPr>
        <w:drawing>
          <wp:inline distT="0" distB="0" distL="0" distR="0" wp14:anchorId="2B450A87" wp14:editId="110FD5CA">
            <wp:extent cx="5925600" cy="2408400"/>
            <wp:effectExtent l="0" t="0" r="18415" b="1143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011C9C" w14:textId="77777777" w:rsidR="00307DFE" w:rsidRPr="00AF7CAC" w:rsidRDefault="00307DFE" w:rsidP="00ED768D">
      <w:pPr>
        <w:spacing w:after="0" w:line="240" w:lineRule="auto"/>
        <w:ind w:right="-46"/>
        <w:rPr>
          <w:rFonts w:ascii="Arial" w:hAnsi="Arial" w:cs="Arial"/>
        </w:rPr>
      </w:pPr>
    </w:p>
    <w:p w14:paraId="01003643" w14:textId="08D4A09A" w:rsidR="00894F63" w:rsidRDefault="00ED768D" w:rsidP="00445180">
      <w:pPr>
        <w:spacing w:after="0" w:line="240" w:lineRule="auto"/>
        <w:ind w:right="-46"/>
        <w:rPr>
          <w:rFonts w:ascii="Arial" w:hAnsi="Arial" w:cs="Arial"/>
          <w:szCs w:val="24"/>
        </w:rPr>
      </w:pPr>
      <w:r w:rsidRPr="00445180">
        <w:rPr>
          <w:rFonts w:ascii="Arial" w:hAnsi="Arial" w:cs="Arial"/>
          <w:szCs w:val="24"/>
        </w:rPr>
        <w:lastRenderedPageBreak/>
        <w:t xml:space="preserve">Slika </w:t>
      </w:r>
      <w:r w:rsidR="008A7690" w:rsidRPr="00445180">
        <w:rPr>
          <w:rFonts w:ascii="Arial" w:hAnsi="Arial" w:cs="Arial"/>
          <w:szCs w:val="24"/>
        </w:rPr>
        <w:t>6</w:t>
      </w:r>
      <w:r w:rsidRPr="00445180">
        <w:rPr>
          <w:rFonts w:ascii="Arial" w:hAnsi="Arial" w:cs="Arial"/>
          <w:szCs w:val="24"/>
        </w:rPr>
        <w:t xml:space="preserve">. Profil otplate duga </w:t>
      </w:r>
      <w:r w:rsidRPr="00445180">
        <w:rPr>
          <w:rFonts w:ascii="Arial" w:hAnsi="Arial" w:cs="Arial"/>
        </w:rPr>
        <w:t>F</w:t>
      </w:r>
      <w:r w:rsidR="00972565" w:rsidRPr="00445180">
        <w:rPr>
          <w:rFonts w:ascii="Arial" w:hAnsi="Arial" w:cs="Arial"/>
        </w:rPr>
        <w:t xml:space="preserve">ederacije </w:t>
      </w:r>
      <w:r w:rsidRPr="00445180">
        <w:rPr>
          <w:rFonts w:ascii="Arial" w:hAnsi="Arial" w:cs="Arial"/>
        </w:rPr>
        <w:t>BiH</w:t>
      </w:r>
      <w:r w:rsidRPr="00445180">
        <w:rPr>
          <w:rFonts w:ascii="Arial" w:hAnsi="Arial" w:cs="Arial"/>
          <w:sz w:val="24"/>
          <w:szCs w:val="24"/>
        </w:rPr>
        <w:t xml:space="preserve"> </w:t>
      </w:r>
      <w:r w:rsidRPr="00445180">
        <w:rPr>
          <w:rFonts w:ascii="Arial" w:hAnsi="Arial" w:cs="Arial"/>
          <w:szCs w:val="24"/>
        </w:rPr>
        <w:t xml:space="preserve">prema </w:t>
      </w:r>
      <w:r w:rsidR="006F06B8" w:rsidRPr="00445180">
        <w:rPr>
          <w:rFonts w:ascii="Arial" w:hAnsi="Arial" w:cs="Arial"/>
          <w:szCs w:val="24"/>
        </w:rPr>
        <w:t>IMF</w:t>
      </w:r>
      <w:r w:rsidR="00692DE1" w:rsidRPr="00445180">
        <w:rPr>
          <w:rFonts w:ascii="Arial" w:hAnsi="Arial" w:cs="Arial"/>
          <w:szCs w:val="24"/>
        </w:rPr>
        <w:t>-u</w:t>
      </w:r>
      <w:r w:rsidRPr="00445180">
        <w:rPr>
          <w:rFonts w:ascii="Arial" w:hAnsi="Arial" w:cs="Arial"/>
          <w:szCs w:val="24"/>
        </w:rPr>
        <w:t>, na dan 31.</w:t>
      </w:r>
      <w:r w:rsidR="00621347">
        <w:rPr>
          <w:rFonts w:ascii="Arial" w:hAnsi="Arial" w:cs="Arial"/>
          <w:szCs w:val="24"/>
        </w:rPr>
        <w:t xml:space="preserve"> </w:t>
      </w:r>
      <w:r w:rsidRPr="00445180">
        <w:rPr>
          <w:rFonts w:ascii="Arial" w:hAnsi="Arial" w:cs="Arial"/>
          <w:szCs w:val="24"/>
        </w:rPr>
        <w:t>12.</w:t>
      </w:r>
      <w:r w:rsidR="00621347">
        <w:rPr>
          <w:rFonts w:ascii="Arial" w:hAnsi="Arial" w:cs="Arial"/>
          <w:szCs w:val="24"/>
        </w:rPr>
        <w:t xml:space="preserve"> </w:t>
      </w:r>
      <w:r w:rsidR="00014E48" w:rsidRPr="00445180">
        <w:rPr>
          <w:rFonts w:ascii="Arial" w:hAnsi="Arial" w:cs="Arial"/>
          <w:szCs w:val="24"/>
        </w:rPr>
        <w:t>2021</w:t>
      </w:r>
      <w:r w:rsidRPr="00445180">
        <w:rPr>
          <w:rFonts w:ascii="Arial" w:hAnsi="Arial" w:cs="Arial"/>
          <w:szCs w:val="24"/>
        </w:rPr>
        <w:t>.</w:t>
      </w:r>
      <w:r w:rsidR="006870C2" w:rsidRPr="00445180">
        <w:rPr>
          <w:rFonts w:ascii="Arial" w:hAnsi="Arial" w:cs="Arial"/>
          <w:szCs w:val="24"/>
        </w:rPr>
        <w:t xml:space="preserve"> </w:t>
      </w:r>
      <w:r w:rsidR="004B4150" w:rsidRPr="00445180">
        <w:rPr>
          <w:rFonts w:ascii="Arial" w:hAnsi="Arial" w:cs="Arial"/>
          <w:szCs w:val="24"/>
        </w:rPr>
        <w:t xml:space="preserve">  </w:t>
      </w:r>
      <w:r w:rsidR="006870C2" w:rsidRPr="00445180">
        <w:rPr>
          <w:rFonts w:ascii="Arial" w:hAnsi="Arial" w:cs="Arial"/>
          <w:szCs w:val="24"/>
        </w:rPr>
        <w:t>(</w:t>
      </w:r>
      <w:r w:rsidR="00E672EB" w:rsidRPr="00445180">
        <w:rPr>
          <w:rFonts w:ascii="Arial" w:hAnsi="Arial" w:cs="Arial"/>
          <w:szCs w:val="24"/>
        </w:rPr>
        <w:t>mil.</w:t>
      </w:r>
      <w:r w:rsidR="00FB77C6" w:rsidRPr="00445180">
        <w:rPr>
          <w:rFonts w:ascii="Arial" w:hAnsi="Arial" w:cs="Arial"/>
          <w:szCs w:val="24"/>
        </w:rPr>
        <w:t xml:space="preserve"> </w:t>
      </w:r>
      <w:r w:rsidR="00E672EB" w:rsidRPr="00445180">
        <w:rPr>
          <w:rFonts w:ascii="Arial" w:hAnsi="Arial" w:cs="Arial"/>
          <w:szCs w:val="24"/>
        </w:rPr>
        <w:t>KM</w:t>
      </w:r>
      <w:r w:rsidR="00692DE1" w:rsidRPr="00445180">
        <w:rPr>
          <w:rFonts w:ascii="Arial" w:hAnsi="Arial" w:cs="Arial"/>
          <w:szCs w:val="24"/>
        </w:rPr>
        <w:t>)</w:t>
      </w:r>
      <w:r w:rsidRPr="00AF7CAC">
        <w:rPr>
          <w:rFonts w:ascii="Arial" w:hAnsi="Arial" w:cs="Arial"/>
          <w:szCs w:val="24"/>
        </w:rPr>
        <w:t xml:space="preserve">   </w:t>
      </w:r>
    </w:p>
    <w:p w14:paraId="518453DF" w14:textId="77777777" w:rsidR="001D1E7B" w:rsidRDefault="001D1E7B" w:rsidP="008A27E2">
      <w:pPr>
        <w:pStyle w:val="NoSpacing"/>
        <w:rPr>
          <w:rFonts w:ascii="Arial" w:hAnsi="Arial" w:cs="Arial"/>
          <w:szCs w:val="24"/>
          <w:lang w:val="hr-HR"/>
        </w:rPr>
      </w:pPr>
    </w:p>
    <w:p w14:paraId="5C926328" w14:textId="5CA9F47D" w:rsidR="001D1E7B" w:rsidRPr="00AF7CAC" w:rsidRDefault="00672D64" w:rsidP="008A27E2">
      <w:pPr>
        <w:pStyle w:val="NoSpacing"/>
        <w:rPr>
          <w:rFonts w:ascii="Arial" w:hAnsi="Arial" w:cs="Arial"/>
          <w:szCs w:val="24"/>
          <w:lang w:val="hr-HR"/>
        </w:rPr>
      </w:pPr>
      <w:r>
        <w:rPr>
          <w:noProof/>
        </w:rPr>
        <w:drawing>
          <wp:inline distT="0" distB="0" distL="0" distR="0" wp14:anchorId="7F154B61" wp14:editId="5D1DA983">
            <wp:extent cx="5925185" cy="1907540"/>
            <wp:effectExtent l="0" t="0" r="18415" b="1651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2E4F4F" w14:textId="77777777" w:rsidR="00ED768D" w:rsidRPr="00AF7CAC" w:rsidRDefault="00ED768D" w:rsidP="008A27E2">
      <w:pPr>
        <w:pStyle w:val="NoSpacing"/>
        <w:rPr>
          <w:rFonts w:ascii="Arial" w:hAnsi="Arial" w:cs="Arial"/>
          <w:szCs w:val="24"/>
          <w:lang w:val="hr-HR"/>
        </w:rPr>
      </w:pPr>
      <w:r w:rsidRPr="00AF7CAC">
        <w:rPr>
          <w:rFonts w:ascii="Arial" w:hAnsi="Arial" w:cs="Arial"/>
          <w:szCs w:val="24"/>
          <w:lang w:val="hr-HR"/>
        </w:rPr>
        <w:t xml:space="preserve">       </w:t>
      </w:r>
    </w:p>
    <w:p w14:paraId="60BFBDA9" w14:textId="77777777" w:rsidR="00315942" w:rsidRDefault="00315942" w:rsidP="00FB77C6">
      <w:pPr>
        <w:pStyle w:val="Heading2"/>
        <w:spacing w:before="0"/>
        <w:ind w:left="993" w:hanging="709"/>
        <w:rPr>
          <w:rFonts w:ascii="Arial" w:hAnsi="Arial" w:cs="Arial"/>
          <w:b w:val="0"/>
          <w:color w:val="auto"/>
          <w:sz w:val="24"/>
        </w:rPr>
      </w:pPr>
    </w:p>
    <w:p w14:paraId="630424D9" w14:textId="07B51134" w:rsidR="00F504B8" w:rsidRPr="006E2490" w:rsidRDefault="00ED768D" w:rsidP="00FB77C6">
      <w:pPr>
        <w:pStyle w:val="Heading2"/>
        <w:spacing w:before="0"/>
        <w:ind w:left="993" w:hanging="709"/>
        <w:rPr>
          <w:rFonts w:ascii="Arial" w:hAnsi="Arial" w:cs="Arial"/>
          <w:b w:val="0"/>
          <w:color w:val="auto"/>
          <w:sz w:val="24"/>
        </w:rPr>
      </w:pPr>
      <w:bookmarkStart w:id="113" w:name="_Toc100823752"/>
      <w:r w:rsidRPr="006E2490">
        <w:rPr>
          <w:rFonts w:ascii="Arial" w:hAnsi="Arial" w:cs="Arial"/>
          <w:b w:val="0"/>
          <w:color w:val="auto"/>
          <w:sz w:val="24"/>
        </w:rPr>
        <w:t>4.3</w:t>
      </w:r>
      <w:r w:rsidR="004457DE">
        <w:rPr>
          <w:rFonts w:ascii="Arial" w:hAnsi="Arial" w:cs="Arial"/>
          <w:b w:val="0"/>
          <w:color w:val="auto"/>
          <w:sz w:val="24"/>
        </w:rPr>
        <w:t>.</w:t>
      </w:r>
      <w:r w:rsidRPr="006E2490">
        <w:rPr>
          <w:rFonts w:ascii="Arial" w:hAnsi="Arial" w:cs="Arial"/>
          <w:b w:val="0"/>
          <w:color w:val="auto"/>
          <w:sz w:val="24"/>
        </w:rPr>
        <w:tab/>
        <w:t>Kamatni rizik</w:t>
      </w:r>
      <w:bookmarkEnd w:id="113"/>
    </w:p>
    <w:p w14:paraId="31068DA5" w14:textId="77777777" w:rsidR="00ED768D" w:rsidRPr="00AF7CAC" w:rsidRDefault="00ED768D" w:rsidP="00F504B8">
      <w:pPr>
        <w:pStyle w:val="NoSpacing"/>
        <w:tabs>
          <w:tab w:val="left" w:pos="2145"/>
        </w:tabs>
        <w:jc w:val="both"/>
        <w:rPr>
          <w:rFonts w:ascii="Arial" w:hAnsi="Arial" w:cs="Arial"/>
          <w:b/>
          <w:color w:val="E36C0A" w:themeColor="accent6" w:themeShade="BF"/>
          <w:sz w:val="16"/>
          <w:szCs w:val="16"/>
          <w:lang w:val="hr-HR"/>
        </w:rPr>
      </w:pPr>
    </w:p>
    <w:p w14:paraId="6374D399" w14:textId="77777777" w:rsidR="00894F63" w:rsidRPr="00AF7CAC" w:rsidRDefault="00894F63" w:rsidP="00F504B8">
      <w:pPr>
        <w:pStyle w:val="NoSpacing"/>
        <w:tabs>
          <w:tab w:val="left" w:pos="2145"/>
        </w:tabs>
        <w:jc w:val="both"/>
        <w:rPr>
          <w:rFonts w:ascii="Arial" w:hAnsi="Arial" w:cs="Arial"/>
          <w:b/>
          <w:color w:val="E36C0A" w:themeColor="accent6" w:themeShade="BF"/>
          <w:sz w:val="16"/>
          <w:szCs w:val="16"/>
          <w:lang w:val="hr-HR"/>
        </w:rPr>
      </w:pPr>
    </w:p>
    <w:p w14:paraId="13E67A90" w14:textId="400B1585" w:rsidR="00E15551" w:rsidRPr="004740A2" w:rsidRDefault="00DE1780" w:rsidP="008F6496">
      <w:pPr>
        <w:pStyle w:val="ParagraphNumbering"/>
        <w:numPr>
          <w:ilvl w:val="0"/>
          <w:numId w:val="0"/>
        </w:numPr>
        <w:spacing w:after="0" w:line="276" w:lineRule="auto"/>
        <w:ind w:firstLine="284"/>
        <w:jc w:val="both"/>
        <w:rPr>
          <w:rFonts w:ascii="Arial" w:hAnsi="Arial" w:cs="Arial"/>
          <w:bCs/>
          <w:sz w:val="22"/>
          <w:szCs w:val="22"/>
        </w:rPr>
      </w:pPr>
      <w:r w:rsidRPr="004740A2">
        <w:rPr>
          <w:rFonts w:ascii="Arial" w:hAnsi="Arial" w:cs="Arial"/>
          <w:bCs/>
          <w:sz w:val="22"/>
          <w:szCs w:val="22"/>
        </w:rPr>
        <w:t>Udio</w:t>
      </w:r>
      <w:r w:rsidR="00CD0545" w:rsidRPr="004740A2">
        <w:rPr>
          <w:rFonts w:ascii="Arial" w:hAnsi="Arial" w:cs="Arial"/>
          <w:bCs/>
          <w:sz w:val="22"/>
          <w:szCs w:val="22"/>
        </w:rPr>
        <w:t xml:space="preserve"> </w:t>
      </w:r>
      <w:r w:rsidR="009A78EF">
        <w:rPr>
          <w:rFonts w:ascii="Arial" w:hAnsi="Arial" w:cs="Arial"/>
          <w:bCs/>
          <w:sz w:val="22"/>
          <w:szCs w:val="22"/>
        </w:rPr>
        <w:t>portfelja</w:t>
      </w:r>
      <w:r w:rsidR="00E15551" w:rsidRPr="004740A2">
        <w:rPr>
          <w:rFonts w:ascii="Arial" w:hAnsi="Arial" w:cs="Arial"/>
          <w:bCs/>
          <w:sz w:val="22"/>
          <w:szCs w:val="22"/>
        </w:rPr>
        <w:t xml:space="preserve"> </w:t>
      </w:r>
      <w:r w:rsidR="009C575B" w:rsidRPr="004740A2">
        <w:rPr>
          <w:rFonts w:ascii="Arial" w:hAnsi="Arial" w:cs="Arial"/>
          <w:bCs/>
          <w:sz w:val="22"/>
          <w:szCs w:val="22"/>
        </w:rPr>
        <w:t>duga koji</w:t>
      </w:r>
      <w:r w:rsidR="00972565" w:rsidRPr="004740A2">
        <w:rPr>
          <w:rFonts w:ascii="Arial" w:hAnsi="Arial" w:cs="Arial"/>
          <w:bCs/>
          <w:sz w:val="22"/>
          <w:szCs w:val="22"/>
        </w:rPr>
        <w:t xml:space="preserve"> se</w:t>
      </w:r>
      <w:r w:rsidR="009C575B" w:rsidRPr="004740A2">
        <w:rPr>
          <w:rFonts w:ascii="Arial" w:hAnsi="Arial" w:cs="Arial"/>
          <w:bCs/>
          <w:sz w:val="22"/>
          <w:szCs w:val="22"/>
        </w:rPr>
        <w:t xml:space="preserve"> </w:t>
      </w:r>
      <w:r w:rsidR="00ED768D" w:rsidRPr="004740A2">
        <w:rPr>
          <w:rFonts w:ascii="Arial" w:hAnsi="Arial" w:cs="Arial"/>
          <w:bCs/>
          <w:sz w:val="22"/>
          <w:szCs w:val="22"/>
        </w:rPr>
        <w:t xml:space="preserve">refiksira unutar </w:t>
      </w:r>
      <w:r w:rsidR="0069636A" w:rsidRPr="004740A2">
        <w:rPr>
          <w:rFonts w:ascii="Arial" w:hAnsi="Arial" w:cs="Arial"/>
          <w:bCs/>
          <w:sz w:val="22"/>
          <w:szCs w:val="22"/>
        </w:rPr>
        <w:t>jedne</w:t>
      </w:r>
      <w:r w:rsidR="00ED768D" w:rsidRPr="004740A2">
        <w:rPr>
          <w:rFonts w:ascii="Arial" w:hAnsi="Arial" w:cs="Arial"/>
          <w:bCs/>
          <w:sz w:val="22"/>
          <w:szCs w:val="22"/>
        </w:rPr>
        <w:t xml:space="preserve"> godine</w:t>
      </w:r>
      <w:r w:rsidR="009C575B" w:rsidRPr="004740A2">
        <w:rPr>
          <w:rFonts w:ascii="Arial" w:hAnsi="Arial" w:cs="Arial"/>
          <w:bCs/>
          <w:sz w:val="22"/>
          <w:szCs w:val="22"/>
        </w:rPr>
        <w:t xml:space="preserve"> </w:t>
      </w:r>
      <w:r w:rsidR="009C575B" w:rsidRPr="00D912D1">
        <w:rPr>
          <w:rFonts w:ascii="Arial" w:hAnsi="Arial" w:cs="Arial"/>
          <w:bCs/>
          <w:sz w:val="22"/>
          <w:szCs w:val="22"/>
        </w:rPr>
        <w:t xml:space="preserve">iznosi </w:t>
      </w:r>
      <w:r w:rsidR="00345A44" w:rsidRPr="00D912D1">
        <w:rPr>
          <w:rFonts w:ascii="Arial" w:hAnsi="Arial" w:cs="Arial"/>
          <w:bCs/>
          <w:sz w:val="22"/>
          <w:szCs w:val="22"/>
        </w:rPr>
        <w:t>4</w:t>
      </w:r>
      <w:r w:rsidR="004740A2" w:rsidRPr="00F1630F">
        <w:rPr>
          <w:rFonts w:ascii="Arial" w:hAnsi="Arial" w:cs="Arial"/>
          <w:bCs/>
          <w:sz w:val="22"/>
          <w:szCs w:val="22"/>
        </w:rPr>
        <w:t>5,8</w:t>
      </w:r>
      <w:r w:rsidR="009C575B" w:rsidRPr="00F1630F">
        <w:rPr>
          <w:rFonts w:ascii="Arial" w:hAnsi="Arial" w:cs="Arial"/>
          <w:bCs/>
          <w:sz w:val="22"/>
          <w:szCs w:val="22"/>
        </w:rPr>
        <w:t>%</w:t>
      </w:r>
      <w:r w:rsidRPr="00F1630F">
        <w:rPr>
          <w:rFonts w:ascii="Arial" w:hAnsi="Arial" w:cs="Arial"/>
          <w:bCs/>
          <w:sz w:val="22"/>
          <w:szCs w:val="22"/>
        </w:rPr>
        <w:t xml:space="preserve"> </w:t>
      </w:r>
      <w:r w:rsidR="00972565" w:rsidRPr="00F1630F">
        <w:rPr>
          <w:rFonts w:ascii="Arial" w:hAnsi="Arial" w:cs="Arial"/>
          <w:bCs/>
          <w:sz w:val="22"/>
          <w:szCs w:val="22"/>
        </w:rPr>
        <w:t>i</w:t>
      </w:r>
      <w:r w:rsidR="00ED768D" w:rsidRPr="00F1630F">
        <w:rPr>
          <w:rFonts w:ascii="Arial" w:hAnsi="Arial" w:cs="Arial"/>
          <w:bCs/>
          <w:sz w:val="22"/>
          <w:szCs w:val="22"/>
        </w:rPr>
        <w:t xml:space="preserve"> </w:t>
      </w:r>
      <w:r w:rsidRPr="00F1630F">
        <w:rPr>
          <w:rFonts w:ascii="Arial" w:hAnsi="Arial" w:cs="Arial"/>
          <w:bCs/>
          <w:sz w:val="22"/>
          <w:szCs w:val="22"/>
        </w:rPr>
        <w:t xml:space="preserve">rezultat je </w:t>
      </w:r>
      <w:r w:rsidR="00626DB0" w:rsidRPr="00F1630F">
        <w:rPr>
          <w:rFonts w:ascii="Arial" w:hAnsi="Arial" w:cs="Arial"/>
          <w:bCs/>
          <w:sz w:val="22"/>
          <w:szCs w:val="22"/>
        </w:rPr>
        <w:t>činjenic</w:t>
      </w:r>
      <w:r w:rsidR="002317C5" w:rsidRPr="00F1630F">
        <w:rPr>
          <w:rFonts w:ascii="Arial" w:hAnsi="Arial" w:cs="Arial"/>
          <w:bCs/>
          <w:sz w:val="22"/>
          <w:szCs w:val="22"/>
        </w:rPr>
        <w:t>e</w:t>
      </w:r>
      <w:r w:rsidR="00626DB0" w:rsidRPr="00F1630F">
        <w:rPr>
          <w:rFonts w:ascii="Arial" w:hAnsi="Arial" w:cs="Arial"/>
          <w:bCs/>
          <w:sz w:val="22"/>
          <w:szCs w:val="22"/>
        </w:rPr>
        <w:t xml:space="preserve"> da</w:t>
      </w:r>
      <w:r w:rsidR="00ED768D" w:rsidRPr="00F1630F">
        <w:rPr>
          <w:rFonts w:ascii="Arial" w:hAnsi="Arial" w:cs="Arial"/>
          <w:bCs/>
          <w:sz w:val="22"/>
          <w:szCs w:val="22"/>
        </w:rPr>
        <w:t xml:space="preserve"> je gotovo pola </w:t>
      </w:r>
      <w:r w:rsidR="009A78EF">
        <w:rPr>
          <w:rFonts w:ascii="Arial" w:hAnsi="Arial" w:cs="Arial"/>
          <w:bCs/>
          <w:sz w:val="22"/>
          <w:szCs w:val="22"/>
        </w:rPr>
        <w:t>portfelja</w:t>
      </w:r>
      <w:r w:rsidR="00621347">
        <w:rPr>
          <w:rFonts w:ascii="Arial" w:hAnsi="Arial" w:cs="Arial"/>
          <w:bCs/>
          <w:sz w:val="22"/>
          <w:szCs w:val="22"/>
        </w:rPr>
        <w:t xml:space="preserve"> vanjskog duga ugovoreno s</w:t>
      </w:r>
      <w:r w:rsidR="00ED768D" w:rsidRPr="00F1630F">
        <w:rPr>
          <w:rFonts w:ascii="Arial" w:hAnsi="Arial" w:cs="Arial"/>
          <w:bCs/>
          <w:sz w:val="22"/>
          <w:szCs w:val="22"/>
        </w:rPr>
        <w:t xml:space="preserve"> varijabilnom kamatnom stopom</w:t>
      </w:r>
      <w:r w:rsidR="009C575B" w:rsidRPr="00F1630F">
        <w:rPr>
          <w:rFonts w:ascii="Arial" w:hAnsi="Arial" w:cs="Arial"/>
          <w:bCs/>
          <w:sz w:val="22"/>
          <w:szCs w:val="22"/>
        </w:rPr>
        <w:t xml:space="preserve"> kao i </w:t>
      </w:r>
      <w:r w:rsidR="00124ED1">
        <w:rPr>
          <w:rFonts w:ascii="Arial" w:hAnsi="Arial" w:cs="Arial"/>
          <w:bCs/>
          <w:sz w:val="22"/>
          <w:szCs w:val="22"/>
        </w:rPr>
        <w:t>kraćih rokova</w:t>
      </w:r>
      <w:r w:rsidR="009C575B" w:rsidRPr="00F1630F">
        <w:rPr>
          <w:rFonts w:ascii="Arial" w:hAnsi="Arial" w:cs="Arial"/>
          <w:bCs/>
          <w:sz w:val="22"/>
          <w:szCs w:val="22"/>
        </w:rPr>
        <w:t xml:space="preserve"> dosp</w:t>
      </w:r>
      <w:r w:rsidR="00D945EA" w:rsidRPr="00F1630F">
        <w:rPr>
          <w:rFonts w:ascii="Arial" w:hAnsi="Arial" w:cs="Arial"/>
          <w:bCs/>
          <w:sz w:val="22"/>
          <w:szCs w:val="22"/>
        </w:rPr>
        <w:t>i</w:t>
      </w:r>
      <w:r w:rsidR="009C575B" w:rsidRPr="00F1630F">
        <w:rPr>
          <w:rFonts w:ascii="Arial" w:hAnsi="Arial" w:cs="Arial"/>
          <w:bCs/>
          <w:sz w:val="22"/>
          <w:szCs w:val="22"/>
        </w:rPr>
        <w:t>jeća tržišnih vrijednosnih papira</w:t>
      </w:r>
      <w:r w:rsidRPr="00F1630F">
        <w:rPr>
          <w:rFonts w:ascii="Arial" w:hAnsi="Arial" w:cs="Arial"/>
          <w:bCs/>
          <w:sz w:val="22"/>
          <w:szCs w:val="22"/>
        </w:rPr>
        <w:t xml:space="preserve"> </w:t>
      </w:r>
      <w:r w:rsidR="00621347" w:rsidRPr="00F1630F">
        <w:rPr>
          <w:rFonts w:ascii="Arial" w:hAnsi="Arial" w:cs="Arial"/>
          <w:bCs/>
          <w:sz w:val="22"/>
          <w:szCs w:val="22"/>
        </w:rPr>
        <w:t>emitiranih</w:t>
      </w:r>
      <w:r w:rsidRPr="00F1630F">
        <w:rPr>
          <w:rFonts w:ascii="Arial" w:hAnsi="Arial" w:cs="Arial"/>
          <w:bCs/>
          <w:sz w:val="22"/>
          <w:szCs w:val="22"/>
        </w:rPr>
        <w:t xml:space="preserve"> na domaćem tržištu</w:t>
      </w:r>
      <w:r w:rsidR="00E15551" w:rsidRPr="004740A2">
        <w:rPr>
          <w:rFonts w:ascii="Arial" w:hAnsi="Arial" w:cs="Arial"/>
          <w:bCs/>
          <w:sz w:val="22"/>
          <w:szCs w:val="22"/>
        </w:rPr>
        <w:t xml:space="preserve">. </w:t>
      </w:r>
    </w:p>
    <w:p w14:paraId="0BF8A1F5" w14:textId="61B4FBCF" w:rsidR="00ED768D" w:rsidRPr="001D1542" w:rsidRDefault="00345A44" w:rsidP="008F6496">
      <w:pPr>
        <w:pStyle w:val="ParagraphNumbering"/>
        <w:numPr>
          <w:ilvl w:val="0"/>
          <w:numId w:val="0"/>
        </w:numPr>
        <w:spacing w:after="0" w:line="276" w:lineRule="auto"/>
        <w:ind w:firstLine="284"/>
        <w:jc w:val="both"/>
        <w:rPr>
          <w:rFonts w:ascii="Arial" w:hAnsi="Arial" w:cs="Arial"/>
          <w:bCs/>
          <w:sz w:val="22"/>
          <w:szCs w:val="22"/>
        </w:rPr>
      </w:pPr>
      <w:r w:rsidRPr="004740A2">
        <w:rPr>
          <w:rFonts w:ascii="Arial" w:hAnsi="Arial" w:cs="Arial"/>
          <w:bCs/>
          <w:sz w:val="22"/>
          <w:szCs w:val="22"/>
        </w:rPr>
        <w:t>Prosječno vrijeme refiksiranja portf</w:t>
      </w:r>
      <w:r w:rsidR="00621347">
        <w:rPr>
          <w:rFonts w:ascii="Arial" w:hAnsi="Arial" w:cs="Arial"/>
          <w:bCs/>
          <w:sz w:val="22"/>
          <w:szCs w:val="22"/>
        </w:rPr>
        <w:t>elja</w:t>
      </w:r>
      <w:r w:rsidRPr="004740A2">
        <w:rPr>
          <w:rFonts w:ascii="Arial" w:hAnsi="Arial" w:cs="Arial"/>
          <w:bCs/>
          <w:sz w:val="22"/>
          <w:szCs w:val="22"/>
        </w:rPr>
        <w:t xml:space="preserve"> duga Federacije BiH iznosi </w:t>
      </w:r>
      <w:r w:rsidR="004740A2" w:rsidRPr="00D912D1">
        <w:rPr>
          <w:rFonts w:ascii="Arial" w:hAnsi="Arial" w:cs="Arial"/>
          <w:bCs/>
          <w:sz w:val="22"/>
          <w:szCs w:val="22"/>
        </w:rPr>
        <w:t>4,15</w:t>
      </w:r>
      <w:r w:rsidRPr="00F1630F">
        <w:rPr>
          <w:rFonts w:ascii="Arial" w:hAnsi="Arial" w:cs="Arial"/>
          <w:bCs/>
          <w:sz w:val="22"/>
          <w:szCs w:val="22"/>
        </w:rPr>
        <w:t xml:space="preserve"> godina od čega je</w:t>
      </w:r>
      <w:r w:rsidR="00972565" w:rsidRPr="00F1630F">
        <w:rPr>
          <w:rFonts w:ascii="Arial" w:hAnsi="Arial" w:cs="Arial"/>
          <w:bCs/>
          <w:sz w:val="22"/>
          <w:szCs w:val="22"/>
        </w:rPr>
        <w:t xml:space="preserve"> </w:t>
      </w:r>
      <w:r w:rsidRPr="00F1630F">
        <w:rPr>
          <w:rFonts w:ascii="Arial" w:hAnsi="Arial" w:cs="Arial"/>
          <w:bCs/>
          <w:sz w:val="22"/>
          <w:szCs w:val="22"/>
        </w:rPr>
        <w:t xml:space="preserve">za </w:t>
      </w:r>
      <w:r w:rsidR="00972565" w:rsidRPr="00F1630F">
        <w:rPr>
          <w:rFonts w:ascii="Arial" w:hAnsi="Arial" w:cs="Arial"/>
          <w:bCs/>
          <w:sz w:val="22"/>
          <w:szCs w:val="22"/>
        </w:rPr>
        <w:t>refiksiranje vanjskog duga p</w:t>
      </w:r>
      <w:r w:rsidR="00ED768D" w:rsidRPr="00F1630F">
        <w:rPr>
          <w:rFonts w:ascii="Arial" w:hAnsi="Arial" w:cs="Arial"/>
          <w:bCs/>
          <w:sz w:val="22"/>
          <w:szCs w:val="22"/>
        </w:rPr>
        <w:t xml:space="preserve">rosječno potrebno </w:t>
      </w:r>
      <w:r w:rsidR="004740A2" w:rsidRPr="00F1630F">
        <w:rPr>
          <w:rFonts w:ascii="Arial" w:hAnsi="Arial" w:cs="Arial"/>
          <w:bCs/>
          <w:sz w:val="22"/>
          <w:szCs w:val="22"/>
        </w:rPr>
        <w:t>4,22</w:t>
      </w:r>
      <w:r w:rsidR="00ED768D" w:rsidRPr="00F1630F">
        <w:rPr>
          <w:rFonts w:ascii="Arial" w:hAnsi="Arial" w:cs="Arial"/>
          <w:bCs/>
          <w:sz w:val="22"/>
          <w:szCs w:val="22"/>
        </w:rPr>
        <w:t xml:space="preserve"> godina,</w:t>
      </w:r>
      <w:r w:rsidR="00B85DE7" w:rsidRPr="00F1630F">
        <w:rPr>
          <w:rFonts w:ascii="Arial" w:hAnsi="Arial" w:cs="Arial"/>
          <w:bCs/>
          <w:sz w:val="22"/>
          <w:szCs w:val="22"/>
        </w:rPr>
        <w:t xml:space="preserve"> </w:t>
      </w:r>
      <w:r w:rsidR="003F79ED" w:rsidRPr="00F1630F">
        <w:rPr>
          <w:rFonts w:ascii="Arial" w:hAnsi="Arial" w:cs="Arial"/>
          <w:bCs/>
          <w:sz w:val="22"/>
          <w:szCs w:val="22"/>
        </w:rPr>
        <w:t>a</w:t>
      </w:r>
      <w:r w:rsidR="009C575B" w:rsidRPr="00F1630F">
        <w:rPr>
          <w:rFonts w:ascii="Arial" w:hAnsi="Arial" w:cs="Arial"/>
          <w:bCs/>
          <w:sz w:val="22"/>
          <w:szCs w:val="22"/>
        </w:rPr>
        <w:t xml:space="preserve"> </w:t>
      </w:r>
      <w:r w:rsidRPr="00F1630F">
        <w:rPr>
          <w:rFonts w:ascii="Arial" w:hAnsi="Arial" w:cs="Arial"/>
          <w:bCs/>
          <w:sz w:val="22"/>
          <w:szCs w:val="22"/>
        </w:rPr>
        <w:t>3,</w:t>
      </w:r>
      <w:r w:rsidR="004740A2" w:rsidRPr="00F1630F">
        <w:rPr>
          <w:rFonts w:ascii="Arial" w:hAnsi="Arial" w:cs="Arial"/>
          <w:bCs/>
          <w:sz w:val="22"/>
          <w:szCs w:val="22"/>
        </w:rPr>
        <w:t>63</w:t>
      </w:r>
      <w:r w:rsidR="00ED768D" w:rsidRPr="00F1630F">
        <w:rPr>
          <w:rFonts w:ascii="Arial" w:hAnsi="Arial" w:cs="Arial"/>
          <w:bCs/>
          <w:sz w:val="22"/>
          <w:szCs w:val="22"/>
        </w:rPr>
        <w:t xml:space="preserve"> godina</w:t>
      </w:r>
      <w:r w:rsidR="00ED768D" w:rsidRPr="004740A2">
        <w:rPr>
          <w:rFonts w:ascii="Arial" w:hAnsi="Arial" w:cs="Arial"/>
          <w:bCs/>
          <w:sz w:val="22"/>
          <w:szCs w:val="22"/>
        </w:rPr>
        <w:t xml:space="preserve"> za </w:t>
      </w:r>
      <w:r w:rsidR="004B4150" w:rsidRPr="004740A2">
        <w:rPr>
          <w:rFonts w:ascii="Arial" w:hAnsi="Arial" w:cs="Arial"/>
          <w:bCs/>
          <w:sz w:val="22"/>
          <w:szCs w:val="22"/>
        </w:rPr>
        <w:t xml:space="preserve">refiksiranje </w:t>
      </w:r>
      <w:r w:rsidR="009A78EF">
        <w:rPr>
          <w:rFonts w:ascii="Arial" w:hAnsi="Arial" w:cs="Arial"/>
          <w:bCs/>
          <w:sz w:val="22"/>
          <w:szCs w:val="22"/>
        </w:rPr>
        <w:t>unutarnjeg</w:t>
      </w:r>
      <w:r w:rsidR="00ED768D" w:rsidRPr="004740A2">
        <w:rPr>
          <w:rFonts w:ascii="Arial" w:hAnsi="Arial" w:cs="Arial"/>
          <w:bCs/>
          <w:sz w:val="22"/>
          <w:szCs w:val="22"/>
        </w:rPr>
        <w:t>.</w:t>
      </w:r>
      <w:r w:rsidR="00ED768D" w:rsidRPr="001D1542">
        <w:rPr>
          <w:rFonts w:ascii="Arial" w:hAnsi="Arial" w:cs="Arial"/>
          <w:sz w:val="22"/>
          <w:szCs w:val="22"/>
        </w:rPr>
        <w:t xml:space="preserve"> </w:t>
      </w:r>
      <w:r w:rsidR="00ED768D" w:rsidRPr="001D1542">
        <w:rPr>
          <w:rFonts w:ascii="Arial" w:hAnsi="Arial" w:cs="Arial"/>
          <w:bCs/>
          <w:sz w:val="22"/>
          <w:szCs w:val="22"/>
        </w:rPr>
        <w:t xml:space="preserve"> </w:t>
      </w:r>
    </w:p>
    <w:p w14:paraId="5C69FDF5" w14:textId="77777777" w:rsidR="00894F63" w:rsidRPr="001D1542" w:rsidRDefault="00894F63" w:rsidP="00E15551">
      <w:pPr>
        <w:pStyle w:val="ParagraphNumbering"/>
        <w:numPr>
          <w:ilvl w:val="0"/>
          <w:numId w:val="0"/>
        </w:numPr>
        <w:spacing w:after="0" w:line="276" w:lineRule="auto"/>
        <w:ind w:firstLine="284"/>
        <w:jc w:val="both"/>
        <w:rPr>
          <w:rFonts w:ascii="Arial" w:hAnsi="Arial" w:cs="Arial"/>
          <w:bCs/>
          <w:sz w:val="22"/>
          <w:szCs w:val="22"/>
        </w:rPr>
      </w:pPr>
    </w:p>
    <w:p w14:paraId="6940848E" w14:textId="265A9F6E" w:rsidR="00ED768D" w:rsidRPr="001D1542" w:rsidRDefault="00ED768D" w:rsidP="00627D74">
      <w:pPr>
        <w:pStyle w:val="Heading2"/>
        <w:numPr>
          <w:ilvl w:val="1"/>
          <w:numId w:val="11"/>
        </w:numPr>
        <w:spacing w:before="40"/>
        <w:rPr>
          <w:rFonts w:ascii="Arial" w:hAnsi="Arial" w:cs="Arial"/>
          <w:b w:val="0"/>
          <w:color w:val="auto"/>
          <w:sz w:val="22"/>
          <w:szCs w:val="22"/>
        </w:rPr>
      </w:pPr>
      <w:bookmarkStart w:id="114" w:name="_Toc100823753"/>
      <w:r w:rsidRPr="001D1542">
        <w:rPr>
          <w:rFonts w:ascii="Arial" w:hAnsi="Arial" w:cs="Arial"/>
          <w:b w:val="0"/>
          <w:color w:val="auto"/>
          <w:sz w:val="22"/>
          <w:szCs w:val="22"/>
        </w:rPr>
        <w:t>Valutni rizik</w:t>
      </w:r>
      <w:r w:rsidR="006E2490" w:rsidRPr="001D1542">
        <w:rPr>
          <w:rFonts w:ascii="Arial" w:hAnsi="Arial" w:cs="Arial"/>
          <w:b w:val="0"/>
          <w:color w:val="auto"/>
          <w:sz w:val="22"/>
          <w:szCs w:val="22"/>
        </w:rPr>
        <w:t xml:space="preserve"> </w:t>
      </w:r>
      <w:r w:rsidR="009A78EF">
        <w:rPr>
          <w:rFonts w:ascii="Arial" w:hAnsi="Arial" w:cs="Arial"/>
          <w:b w:val="0"/>
          <w:color w:val="auto"/>
          <w:sz w:val="22"/>
          <w:szCs w:val="22"/>
        </w:rPr>
        <w:t>portfelja</w:t>
      </w:r>
      <w:r w:rsidR="006E2490" w:rsidRPr="001D1542">
        <w:rPr>
          <w:rFonts w:ascii="Arial" w:hAnsi="Arial" w:cs="Arial"/>
          <w:b w:val="0"/>
          <w:color w:val="auto"/>
          <w:sz w:val="22"/>
          <w:szCs w:val="22"/>
        </w:rPr>
        <w:t xml:space="preserve"> dug</w:t>
      </w:r>
      <w:r w:rsidR="00CB30D9">
        <w:rPr>
          <w:rFonts w:ascii="Arial" w:hAnsi="Arial" w:cs="Arial"/>
          <w:b w:val="0"/>
          <w:color w:val="auto"/>
          <w:sz w:val="22"/>
          <w:szCs w:val="22"/>
        </w:rPr>
        <w:t>a</w:t>
      </w:r>
      <w:r w:rsidR="006E2490" w:rsidRPr="001D1542">
        <w:rPr>
          <w:rFonts w:ascii="Arial" w:hAnsi="Arial" w:cs="Arial"/>
          <w:b w:val="0"/>
          <w:color w:val="auto"/>
          <w:sz w:val="22"/>
          <w:szCs w:val="22"/>
        </w:rPr>
        <w:t xml:space="preserve"> Federacije BiH</w:t>
      </w:r>
      <w:bookmarkEnd w:id="114"/>
    </w:p>
    <w:p w14:paraId="6B2A32A5" w14:textId="77777777" w:rsidR="00ED768D" w:rsidRPr="001D1542" w:rsidRDefault="00ED768D" w:rsidP="00ED768D">
      <w:pPr>
        <w:pStyle w:val="NoSpacing"/>
        <w:jc w:val="both"/>
        <w:rPr>
          <w:rFonts w:ascii="Arial" w:hAnsi="Arial" w:cs="Arial"/>
          <w:lang w:val="hr-HR"/>
        </w:rPr>
      </w:pPr>
    </w:p>
    <w:p w14:paraId="4CE5D5D5" w14:textId="665559F8" w:rsidR="00DA47B3" w:rsidRPr="001D1542" w:rsidRDefault="00306D23" w:rsidP="008F6496">
      <w:pPr>
        <w:pStyle w:val="ParagraphNumbering"/>
        <w:numPr>
          <w:ilvl w:val="0"/>
          <w:numId w:val="0"/>
        </w:numPr>
        <w:spacing w:after="0" w:line="276" w:lineRule="auto"/>
        <w:ind w:firstLine="284"/>
        <w:jc w:val="both"/>
        <w:rPr>
          <w:rFonts w:ascii="Arial" w:hAnsi="Arial" w:cs="Arial"/>
          <w:bCs/>
          <w:sz w:val="22"/>
          <w:szCs w:val="22"/>
        </w:rPr>
      </w:pPr>
      <w:r w:rsidRPr="00D912D1">
        <w:rPr>
          <w:rFonts w:ascii="Arial" w:hAnsi="Arial" w:cs="Arial"/>
          <w:bCs/>
          <w:sz w:val="22"/>
          <w:szCs w:val="22"/>
        </w:rPr>
        <w:t>Najzastupljenije</w:t>
      </w:r>
      <w:r w:rsidR="00ED768D" w:rsidRPr="00D912D1">
        <w:rPr>
          <w:rFonts w:ascii="Arial" w:hAnsi="Arial" w:cs="Arial"/>
          <w:bCs/>
          <w:sz w:val="22"/>
          <w:szCs w:val="22"/>
        </w:rPr>
        <w:t xml:space="preserve"> valute u </w:t>
      </w:r>
      <w:r w:rsidR="00DA7CD0">
        <w:rPr>
          <w:rFonts w:ascii="Arial" w:hAnsi="Arial" w:cs="Arial"/>
          <w:bCs/>
          <w:sz w:val="22"/>
          <w:szCs w:val="22"/>
        </w:rPr>
        <w:t>portfelju</w:t>
      </w:r>
      <w:r w:rsidR="00ED768D" w:rsidRPr="00F1630F">
        <w:rPr>
          <w:rFonts w:ascii="Arial" w:hAnsi="Arial" w:cs="Arial"/>
          <w:bCs/>
          <w:sz w:val="22"/>
          <w:szCs w:val="22"/>
        </w:rPr>
        <w:t xml:space="preserve"> duga F</w:t>
      </w:r>
      <w:r w:rsidR="00AF5DED" w:rsidRPr="00F1630F">
        <w:rPr>
          <w:rFonts w:ascii="Arial" w:hAnsi="Arial" w:cs="Arial"/>
          <w:bCs/>
          <w:sz w:val="22"/>
          <w:szCs w:val="22"/>
        </w:rPr>
        <w:t xml:space="preserve">ederacije </w:t>
      </w:r>
      <w:r w:rsidR="00ED768D" w:rsidRPr="00F1630F">
        <w:rPr>
          <w:rFonts w:ascii="Arial" w:hAnsi="Arial" w:cs="Arial"/>
          <w:bCs/>
          <w:sz w:val="22"/>
          <w:szCs w:val="22"/>
        </w:rPr>
        <w:t xml:space="preserve">BiH </w:t>
      </w:r>
      <w:r w:rsidR="00AF5DED" w:rsidRPr="00F1630F">
        <w:rPr>
          <w:rFonts w:ascii="Arial" w:hAnsi="Arial" w:cs="Arial"/>
          <w:bCs/>
          <w:sz w:val="22"/>
          <w:szCs w:val="22"/>
        </w:rPr>
        <w:t>su</w:t>
      </w:r>
      <w:r w:rsidR="00ED768D" w:rsidRPr="00F1630F">
        <w:rPr>
          <w:rFonts w:ascii="Arial" w:hAnsi="Arial" w:cs="Arial"/>
          <w:bCs/>
          <w:sz w:val="22"/>
          <w:szCs w:val="22"/>
        </w:rPr>
        <w:t xml:space="preserve"> EUR (</w:t>
      </w:r>
      <w:r w:rsidR="00944CC1" w:rsidRPr="00445180">
        <w:rPr>
          <w:rFonts w:ascii="Arial" w:hAnsi="Arial" w:cs="Arial"/>
          <w:bCs/>
          <w:sz w:val="22"/>
          <w:szCs w:val="22"/>
        </w:rPr>
        <w:t>52,92</w:t>
      </w:r>
      <w:r w:rsidR="00ED768D" w:rsidRPr="00D912D1">
        <w:rPr>
          <w:rFonts w:ascii="Arial" w:hAnsi="Arial" w:cs="Arial"/>
          <w:bCs/>
          <w:sz w:val="22"/>
          <w:szCs w:val="22"/>
        </w:rPr>
        <w:t>%), SDR (</w:t>
      </w:r>
      <w:r w:rsidR="00944CC1" w:rsidRPr="00445180">
        <w:rPr>
          <w:rFonts w:ascii="Arial" w:hAnsi="Arial" w:cs="Arial"/>
          <w:bCs/>
          <w:sz w:val="22"/>
          <w:szCs w:val="22"/>
        </w:rPr>
        <w:t>24,07</w:t>
      </w:r>
      <w:r w:rsidR="004C71E5" w:rsidRPr="00F1630F">
        <w:rPr>
          <w:rFonts w:ascii="Arial" w:hAnsi="Arial" w:cs="Arial"/>
          <w:bCs/>
          <w:sz w:val="22"/>
          <w:szCs w:val="22"/>
        </w:rPr>
        <w:t xml:space="preserve">%), </w:t>
      </w:r>
      <w:r w:rsidR="00ED768D" w:rsidRPr="00F1630F">
        <w:rPr>
          <w:rFonts w:ascii="Arial" w:hAnsi="Arial" w:cs="Arial"/>
          <w:bCs/>
          <w:sz w:val="22"/>
          <w:szCs w:val="22"/>
        </w:rPr>
        <w:t>USD (</w:t>
      </w:r>
      <w:r w:rsidR="004C2C15" w:rsidRPr="00F1630F">
        <w:rPr>
          <w:rFonts w:ascii="Arial" w:hAnsi="Arial" w:cs="Arial"/>
          <w:bCs/>
          <w:sz w:val="22"/>
          <w:szCs w:val="22"/>
        </w:rPr>
        <w:t>1</w:t>
      </w:r>
      <w:r w:rsidR="00944CC1" w:rsidRPr="00445180">
        <w:rPr>
          <w:rFonts w:ascii="Arial" w:hAnsi="Arial" w:cs="Arial"/>
          <w:bCs/>
          <w:sz w:val="22"/>
          <w:szCs w:val="22"/>
        </w:rPr>
        <w:t>0,29</w:t>
      </w:r>
      <w:r w:rsidR="00ED768D" w:rsidRPr="00D912D1">
        <w:rPr>
          <w:rFonts w:ascii="Arial" w:hAnsi="Arial" w:cs="Arial"/>
          <w:bCs/>
          <w:sz w:val="22"/>
          <w:szCs w:val="22"/>
        </w:rPr>
        <w:t>%)</w:t>
      </w:r>
      <w:r w:rsidR="00400A00" w:rsidRPr="00F1630F">
        <w:rPr>
          <w:rFonts w:ascii="Arial" w:hAnsi="Arial" w:cs="Arial"/>
          <w:bCs/>
          <w:sz w:val="22"/>
          <w:szCs w:val="22"/>
        </w:rPr>
        <w:t xml:space="preserve"> i KM (</w:t>
      </w:r>
      <w:r w:rsidR="00717D0A" w:rsidRPr="00F1630F">
        <w:rPr>
          <w:rFonts w:ascii="Arial" w:hAnsi="Arial" w:cs="Arial"/>
          <w:bCs/>
          <w:sz w:val="22"/>
          <w:szCs w:val="22"/>
        </w:rPr>
        <w:t>1</w:t>
      </w:r>
      <w:r w:rsidR="00944CC1" w:rsidRPr="00445180">
        <w:rPr>
          <w:rFonts w:ascii="Arial" w:hAnsi="Arial" w:cs="Arial"/>
          <w:bCs/>
          <w:sz w:val="22"/>
          <w:szCs w:val="22"/>
        </w:rPr>
        <w:t>2,25</w:t>
      </w:r>
      <w:r w:rsidR="00400A00" w:rsidRPr="00D912D1">
        <w:rPr>
          <w:rFonts w:ascii="Arial" w:hAnsi="Arial" w:cs="Arial"/>
          <w:bCs/>
          <w:sz w:val="22"/>
          <w:szCs w:val="22"/>
        </w:rPr>
        <w:t>%)</w:t>
      </w:r>
      <w:r w:rsidR="00ED768D" w:rsidRPr="00F1630F">
        <w:rPr>
          <w:rFonts w:ascii="Arial" w:hAnsi="Arial" w:cs="Arial"/>
          <w:bCs/>
          <w:sz w:val="22"/>
          <w:szCs w:val="22"/>
        </w:rPr>
        <w:t>. Dekompozicijom SDR-a</w:t>
      </w:r>
      <w:r w:rsidR="00E241FC" w:rsidRPr="00F1630F">
        <w:rPr>
          <w:rFonts w:ascii="Arial" w:hAnsi="Arial" w:cs="Arial"/>
          <w:bCs/>
          <w:sz w:val="22"/>
          <w:szCs w:val="22"/>
        </w:rPr>
        <w:t>,</w:t>
      </w:r>
      <w:r w:rsidR="0042278A" w:rsidRPr="00F1630F">
        <w:rPr>
          <w:rFonts w:ascii="Arial" w:hAnsi="Arial" w:cs="Arial"/>
          <w:bCs/>
          <w:sz w:val="22"/>
          <w:szCs w:val="22"/>
        </w:rPr>
        <w:t xml:space="preserve"> </w:t>
      </w:r>
      <w:r w:rsidR="00ED768D" w:rsidRPr="00F1630F">
        <w:rPr>
          <w:rFonts w:ascii="Arial" w:hAnsi="Arial" w:cs="Arial"/>
          <w:bCs/>
          <w:sz w:val="22"/>
          <w:szCs w:val="22"/>
        </w:rPr>
        <w:t xml:space="preserve">udio EUR valute raste na </w:t>
      </w:r>
      <w:r w:rsidR="0019081D" w:rsidRPr="00445180">
        <w:rPr>
          <w:rFonts w:ascii="Arial" w:hAnsi="Arial" w:cs="Arial"/>
          <w:bCs/>
          <w:sz w:val="22"/>
          <w:szCs w:val="22"/>
        </w:rPr>
        <w:t>68,80</w:t>
      </w:r>
      <w:r w:rsidR="00ED768D" w:rsidRPr="00F1630F">
        <w:rPr>
          <w:rFonts w:ascii="Arial" w:hAnsi="Arial" w:cs="Arial"/>
          <w:bCs/>
          <w:sz w:val="22"/>
          <w:szCs w:val="22"/>
        </w:rPr>
        <w:t>% ukupnog duga</w:t>
      </w:r>
      <w:r w:rsidR="00FB77C6" w:rsidRPr="00F1630F">
        <w:rPr>
          <w:rFonts w:ascii="Arial" w:hAnsi="Arial" w:cs="Arial"/>
          <w:bCs/>
          <w:sz w:val="22"/>
          <w:szCs w:val="22"/>
        </w:rPr>
        <w:t>,</w:t>
      </w:r>
      <w:r w:rsidR="00400A00" w:rsidRPr="00F1630F">
        <w:rPr>
          <w:rFonts w:ascii="Arial" w:hAnsi="Arial" w:cs="Arial"/>
          <w:bCs/>
          <w:sz w:val="22"/>
          <w:szCs w:val="22"/>
        </w:rPr>
        <w:t xml:space="preserve"> a</w:t>
      </w:r>
      <w:r w:rsidR="00B62997" w:rsidRPr="00F1630F">
        <w:rPr>
          <w:rFonts w:ascii="Arial" w:hAnsi="Arial" w:cs="Arial"/>
          <w:bCs/>
          <w:sz w:val="22"/>
          <w:szCs w:val="22"/>
        </w:rPr>
        <w:t xml:space="preserve"> </w:t>
      </w:r>
      <w:r w:rsidR="004C71E5" w:rsidRPr="00F1630F">
        <w:rPr>
          <w:rFonts w:ascii="Arial" w:hAnsi="Arial" w:cs="Arial"/>
          <w:bCs/>
          <w:sz w:val="22"/>
          <w:szCs w:val="22"/>
        </w:rPr>
        <w:t xml:space="preserve">udio </w:t>
      </w:r>
      <w:r w:rsidR="00ED768D" w:rsidRPr="00F1630F">
        <w:rPr>
          <w:rFonts w:ascii="Arial" w:hAnsi="Arial" w:cs="Arial"/>
          <w:bCs/>
          <w:sz w:val="22"/>
          <w:szCs w:val="22"/>
        </w:rPr>
        <w:t xml:space="preserve">USD </w:t>
      </w:r>
      <w:r w:rsidR="00400A00" w:rsidRPr="00F1630F">
        <w:rPr>
          <w:rFonts w:ascii="Arial" w:hAnsi="Arial" w:cs="Arial"/>
          <w:bCs/>
          <w:sz w:val="22"/>
          <w:szCs w:val="22"/>
        </w:rPr>
        <w:t>na</w:t>
      </w:r>
      <w:r w:rsidR="00ED768D" w:rsidRPr="00F1630F">
        <w:rPr>
          <w:rFonts w:ascii="Arial" w:hAnsi="Arial" w:cs="Arial"/>
          <w:bCs/>
          <w:sz w:val="22"/>
          <w:szCs w:val="22"/>
        </w:rPr>
        <w:t xml:space="preserve"> </w:t>
      </w:r>
      <w:r w:rsidR="0019081D" w:rsidRPr="00F1630F">
        <w:rPr>
          <w:rFonts w:ascii="Arial" w:hAnsi="Arial" w:cs="Arial"/>
          <w:bCs/>
          <w:sz w:val="22"/>
          <w:szCs w:val="22"/>
        </w:rPr>
        <w:t>23,17</w:t>
      </w:r>
      <w:r w:rsidR="00ED768D" w:rsidRPr="00F1630F">
        <w:rPr>
          <w:rFonts w:ascii="Arial" w:hAnsi="Arial" w:cs="Arial"/>
          <w:bCs/>
          <w:sz w:val="22"/>
          <w:szCs w:val="22"/>
        </w:rPr>
        <w:t>%</w:t>
      </w:r>
      <w:r w:rsidR="004D6A4D" w:rsidRPr="00F1630F">
        <w:rPr>
          <w:rFonts w:ascii="Arial" w:hAnsi="Arial" w:cs="Arial"/>
          <w:bCs/>
          <w:sz w:val="22"/>
          <w:szCs w:val="22"/>
        </w:rPr>
        <w:t xml:space="preserve"> (Slika 7.)</w:t>
      </w:r>
      <w:r w:rsidR="00ED768D" w:rsidRPr="00F1630F">
        <w:rPr>
          <w:rFonts w:ascii="Arial" w:hAnsi="Arial" w:cs="Arial"/>
          <w:bCs/>
          <w:sz w:val="22"/>
          <w:szCs w:val="22"/>
        </w:rPr>
        <w:t>.</w:t>
      </w:r>
      <w:r w:rsidR="00ED768D" w:rsidRPr="001D1542">
        <w:rPr>
          <w:rFonts w:ascii="Arial" w:hAnsi="Arial" w:cs="Arial"/>
          <w:bCs/>
          <w:sz w:val="22"/>
          <w:szCs w:val="22"/>
        </w:rPr>
        <w:t xml:space="preserve"> </w:t>
      </w:r>
    </w:p>
    <w:p w14:paraId="284929D1" w14:textId="77777777" w:rsidR="00A631B8" w:rsidRPr="001D1542" w:rsidRDefault="00A631B8" w:rsidP="008F6496">
      <w:pPr>
        <w:pStyle w:val="ParagraphNumbering"/>
        <w:numPr>
          <w:ilvl w:val="0"/>
          <w:numId w:val="0"/>
        </w:numPr>
        <w:spacing w:after="0" w:line="276" w:lineRule="auto"/>
        <w:ind w:firstLine="284"/>
        <w:jc w:val="both"/>
        <w:rPr>
          <w:rFonts w:ascii="Arial" w:hAnsi="Arial" w:cs="Arial"/>
          <w:bCs/>
          <w:sz w:val="22"/>
          <w:szCs w:val="22"/>
        </w:rPr>
      </w:pPr>
    </w:p>
    <w:p w14:paraId="4176C198" w14:textId="79C60519" w:rsidR="00CE3C2E" w:rsidRDefault="008A7690" w:rsidP="008F6496">
      <w:pPr>
        <w:pStyle w:val="NoSpacing"/>
        <w:spacing w:line="276" w:lineRule="auto"/>
        <w:jc w:val="both"/>
        <w:rPr>
          <w:rFonts w:ascii="Arial" w:hAnsi="Arial" w:cs="Arial"/>
          <w:lang w:val="hr-HR"/>
        </w:rPr>
      </w:pPr>
      <w:r w:rsidRPr="00D912D1">
        <w:rPr>
          <w:rFonts w:ascii="Arial" w:hAnsi="Arial" w:cs="Arial"/>
          <w:lang w:val="hr-HR"/>
        </w:rPr>
        <w:t>Slika 7</w:t>
      </w:r>
      <w:r w:rsidR="00284A87" w:rsidRPr="00D912D1">
        <w:rPr>
          <w:rFonts w:ascii="Arial" w:hAnsi="Arial" w:cs="Arial"/>
          <w:lang w:val="hr-HR"/>
        </w:rPr>
        <w:t xml:space="preserve">. </w:t>
      </w:r>
      <w:r w:rsidR="00284A87" w:rsidRPr="00F1630F">
        <w:rPr>
          <w:rFonts w:ascii="Arial" w:hAnsi="Arial" w:cs="Arial"/>
          <w:lang w:val="hr-HR"/>
        </w:rPr>
        <w:t xml:space="preserve">Valutna struktura </w:t>
      </w:r>
      <w:r w:rsidR="00DD7322" w:rsidRPr="00F1630F">
        <w:rPr>
          <w:rFonts w:ascii="Arial" w:hAnsi="Arial" w:cs="Arial"/>
          <w:lang w:val="hr-HR"/>
        </w:rPr>
        <w:t>ukupnog</w:t>
      </w:r>
      <w:r w:rsidR="00284A87" w:rsidRPr="00F1630F">
        <w:rPr>
          <w:rFonts w:ascii="Arial" w:hAnsi="Arial" w:cs="Arial"/>
          <w:lang w:val="hr-HR"/>
        </w:rPr>
        <w:t xml:space="preserve"> duga F</w:t>
      </w:r>
      <w:r w:rsidR="00D864A3" w:rsidRPr="00F1630F">
        <w:rPr>
          <w:rFonts w:ascii="Arial" w:hAnsi="Arial" w:cs="Arial"/>
          <w:lang w:val="hr-HR"/>
        </w:rPr>
        <w:t xml:space="preserve">ederacije </w:t>
      </w:r>
      <w:r w:rsidR="00284A87" w:rsidRPr="00F1630F">
        <w:rPr>
          <w:rFonts w:ascii="Arial" w:hAnsi="Arial" w:cs="Arial"/>
          <w:lang w:val="hr-HR"/>
        </w:rPr>
        <w:t xml:space="preserve">BiH prema stanju </w:t>
      </w:r>
      <w:r w:rsidR="00C820B5" w:rsidRPr="00F1630F">
        <w:rPr>
          <w:rFonts w:ascii="Arial" w:hAnsi="Arial" w:cs="Arial"/>
          <w:lang w:val="hr-HR"/>
        </w:rPr>
        <w:t>na dan 31.</w:t>
      </w:r>
      <w:r w:rsidR="00621347">
        <w:rPr>
          <w:rFonts w:ascii="Arial" w:hAnsi="Arial" w:cs="Arial"/>
          <w:lang w:val="hr-HR"/>
        </w:rPr>
        <w:t xml:space="preserve"> </w:t>
      </w:r>
      <w:r w:rsidR="00C820B5" w:rsidRPr="00F1630F">
        <w:rPr>
          <w:rFonts w:ascii="Arial" w:hAnsi="Arial" w:cs="Arial"/>
          <w:lang w:val="hr-HR"/>
        </w:rPr>
        <w:t>12.</w:t>
      </w:r>
      <w:r w:rsidR="00621347">
        <w:rPr>
          <w:rFonts w:ascii="Arial" w:hAnsi="Arial" w:cs="Arial"/>
          <w:lang w:val="hr-HR"/>
        </w:rPr>
        <w:t xml:space="preserve"> </w:t>
      </w:r>
      <w:r w:rsidR="00CD4194" w:rsidRPr="00F1630F">
        <w:rPr>
          <w:rFonts w:ascii="Arial" w:hAnsi="Arial" w:cs="Arial"/>
          <w:lang w:val="hr-HR"/>
        </w:rPr>
        <w:t>202</w:t>
      </w:r>
      <w:r w:rsidR="00CD4194">
        <w:rPr>
          <w:rFonts w:ascii="Arial" w:hAnsi="Arial" w:cs="Arial"/>
          <w:lang w:val="hr-HR"/>
        </w:rPr>
        <w:t>1</w:t>
      </w:r>
      <w:r w:rsidR="00284A87" w:rsidRPr="00F1630F">
        <w:rPr>
          <w:rFonts w:ascii="Arial" w:hAnsi="Arial" w:cs="Arial"/>
          <w:lang w:val="hr-HR"/>
        </w:rPr>
        <w:t>., prije i poslije dekompozicije</w:t>
      </w:r>
      <w:r w:rsidR="00CE3C2E" w:rsidRPr="00F1630F">
        <w:rPr>
          <w:rFonts w:ascii="Arial" w:hAnsi="Arial" w:cs="Arial"/>
          <w:lang w:val="hr-HR"/>
        </w:rPr>
        <w:t xml:space="preserve"> SDR-a</w:t>
      </w:r>
      <w:r w:rsidR="00307DFE">
        <w:rPr>
          <w:rFonts w:ascii="Arial" w:hAnsi="Arial" w:cs="Arial"/>
          <w:lang w:val="hr-HR"/>
        </w:rPr>
        <w:t>.</w:t>
      </w:r>
    </w:p>
    <w:p w14:paraId="31DFFECC" w14:textId="77777777" w:rsidR="00497247" w:rsidRDefault="00497247" w:rsidP="008F6496">
      <w:pPr>
        <w:pStyle w:val="NoSpacing"/>
        <w:spacing w:line="276" w:lineRule="auto"/>
        <w:jc w:val="both"/>
        <w:rPr>
          <w:rFonts w:ascii="Arial" w:hAnsi="Arial" w:cs="Arial"/>
          <w:lang w:val="hr-HR"/>
        </w:rPr>
      </w:pPr>
    </w:p>
    <w:p w14:paraId="4FB64E50" w14:textId="1D4483E2" w:rsidR="00497247" w:rsidRDefault="00497247" w:rsidP="00445180">
      <w:pPr>
        <w:pStyle w:val="NoSpacing"/>
        <w:spacing w:line="276" w:lineRule="auto"/>
        <w:jc w:val="center"/>
        <w:rPr>
          <w:rFonts w:ascii="Arial" w:hAnsi="Arial" w:cs="Arial"/>
          <w:szCs w:val="24"/>
          <w:lang w:val="hr-HR"/>
        </w:rPr>
      </w:pPr>
      <w:r>
        <w:rPr>
          <w:noProof/>
        </w:rPr>
        <w:drawing>
          <wp:inline distT="0" distB="0" distL="0" distR="0" wp14:anchorId="36808021" wp14:editId="3D1BA1D8">
            <wp:extent cx="2943225" cy="1787525"/>
            <wp:effectExtent l="0" t="0" r="9525" b="317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drawing>
          <wp:inline distT="0" distB="0" distL="0" distR="0" wp14:anchorId="68842CEC" wp14:editId="1DEDAABD">
            <wp:extent cx="2874047" cy="1787525"/>
            <wp:effectExtent l="0" t="0" r="2540" b="317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217277B" w14:textId="77777777" w:rsidR="00345A44" w:rsidRDefault="00345A44" w:rsidP="008F6496">
      <w:pPr>
        <w:pStyle w:val="NoSpacing"/>
        <w:spacing w:line="276" w:lineRule="auto"/>
        <w:jc w:val="both"/>
        <w:rPr>
          <w:rFonts w:ascii="Arial" w:hAnsi="Arial" w:cs="Arial"/>
          <w:sz w:val="24"/>
          <w:szCs w:val="24"/>
          <w:lang w:val="hr-HR"/>
        </w:rPr>
      </w:pPr>
    </w:p>
    <w:p w14:paraId="772FA39C" w14:textId="061F715A" w:rsidR="00124ED1" w:rsidRPr="001D1542" w:rsidRDefault="00124ED1" w:rsidP="00124ED1">
      <w:pPr>
        <w:pStyle w:val="ParagraphNumbering"/>
        <w:numPr>
          <w:ilvl w:val="0"/>
          <w:numId w:val="0"/>
        </w:numPr>
        <w:spacing w:after="0" w:line="276" w:lineRule="auto"/>
        <w:ind w:firstLine="284"/>
        <w:jc w:val="both"/>
        <w:rPr>
          <w:rFonts w:ascii="Arial" w:hAnsi="Arial" w:cs="Arial"/>
          <w:sz w:val="22"/>
          <w:szCs w:val="22"/>
        </w:rPr>
      </w:pPr>
      <w:r w:rsidRPr="00D912D1">
        <w:rPr>
          <w:rFonts w:ascii="Arial" w:hAnsi="Arial" w:cs="Arial"/>
          <w:bCs/>
          <w:sz w:val="22"/>
          <w:szCs w:val="22"/>
        </w:rPr>
        <w:t xml:space="preserve">Valutni rizik </w:t>
      </w:r>
      <w:r w:rsidR="009A78EF">
        <w:rPr>
          <w:rFonts w:ascii="Arial" w:hAnsi="Arial" w:cs="Arial"/>
          <w:bCs/>
          <w:sz w:val="22"/>
          <w:szCs w:val="22"/>
        </w:rPr>
        <w:t>portfelja</w:t>
      </w:r>
      <w:r w:rsidRPr="00D912D1">
        <w:rPr>
          <w:rFonts w:ascii="Arial" w:hAnsi="Arial" w:cs="Arial"/>
          <w:bCs/>
          <w:sz w:val="22"/>
          <w:szCs w:val="22"/>
        </w:rPr>
        <w:t xml:space="preserve"> </w:t>
      </w:r>
      <w:r w:rsidRPr="00F1630F">
        <w:rPr>
          <w:rFonts w:ascii="Arial" w:hAnsi="Arial" w:cs="Arial"/>
          <w:bCs/>
          <w:sz w:val="22"/>
          <w:szCs w:val="22"/>
        </w:rPr>
        <w:t xml:space="preserve">vanjskog duga Federacije BiH je relativno velik. Nešto preko 35% vanjskog duga je osjetljivo na promjene deviznih </w:t>
      </w:r>
      <w:r w:rsidR="00621347">
        <w:rPr>
          <w:rFonts w:ascii="Arial" w:hAnsi="Arial" w:cs="Arial"/>
          <w:bCs/>
          <w:sz w:val="22"/>
          <w:szCs w:val="22"/>
        </w:rPr>
        <w:t>tečajeva</w:t>
      </w:r>
      <w:r w:rsidRPr="00F1630F">
        <w:rPr>
          <w:rFonts w:ascii="Arial" w:hAnsi="Arial" w:cs="Arial"/>
          <w:bCs/>
          <w:sz w:val="22"/>
          <w:szCs w:val="22"/>
        </w:rPr>
        <w:t xml:space="preserve"> uzimajući u obzir njegovu valutnu strukturu (EUR – </w:t>
      </w:r>
      <w:r w:rsidRPr="00200905">
        <w:rPr>
          <w:rFonts w:ascii="Arial" w:hAnsi="Arial" w:cs="Arial"/>
          <w:bCs/>
          <w:sz w:val="22"/>
          <w:szCs w:val="22"/>
        </w:rPr>
        <w:t>60,31</w:t>
      </w:r>
      <w:r w:rsidRPr="00D912D1">
        <w:rPr>
          <w:rFonts w:ascii="Arial" w:hAnsi="Arial" w:cs="Arial"/>
          <w:bCs/>
          <w:sz w:val="22"/>
          <w:szCs w:val="22"/>
        </w:rPr>
        <w:t xml:space="preserve">%, SDR – </w:t>
      </w:r>
      <w:r w:rsidRPr="00200905">
        <w:rPr>
          <w:rFonts w:ascii="Arial" w:hAnsi="Arial" w:cs="Arial"/>
          <w:bCs/>
          <w:sz w:val="22"/>
          <w:szCs w:val="22"/>
        </w:rPr>
        <w:t>27,43</w:t>
      </w:r>
      <w:r w:rsidRPr="00D912D1">
        <w:rPr>
          <w:rFonts w:ascii="Arial" w:hAnsi="Arial" w:cs="Arial"/>
          <w:bCs/>
          <w:sz w:val="22"/>
          <w:szCs w:val="22"/>
        </w:rPr>
        <w:t xml:space="preserve">% i USD – </w:t>
      </w:r>
      <w:r w:rsidRPr="00200905">
        <w:rPr>
          <w:rFonts w:ascii="Arial" w:hAnsi="Arial" w:cs="Arial"/>
          <w:bCs/>
          <w:sz w:val="22"/>
          <w:szCs w:val="22"/>
        </w:rPr>
        <w:t>11,73</w:t>
      </w:r>
      <w:r w:rsidRPr="00D912D1">
        <w:rPr>
          <w:rFonts w:ascii="Arial" w:hAnsi="Arial" w:cs="Arial"/>
          <w:bCs/>
          <w:sz w:val="22"/>
          <w:szCs w:val="22"/>
        </w:rPr>
        <w:t xml:space="preserve">%), u kojoj, nakon dekompozicije SDR-a, udio EUR valute u ukupnom vanjskom dugu </w:t>
      </w:r>
      <w:r w:rsidRPr="00F1630F">
        <w:rPr>
          <w:rFonts w:ascii="Arial" w:hAnsi="Arial" w:cs="Arial"/>
          <w:bCs/>
          <w:sz w:val="22"/>
          <w:szCs w:val="22"/>
        </w:rPr>
        <w:t>iznosi 6</w:t>
      </w:r>
      <w:r w:rsidRPr="00200905">
        <w:rPr>
          <w:rFonts w:ascii="Arial" w:hAnsi="Arial" w:cs="Arial"/>
          <w:bCs/>
          <w:sz w:val="22"/>
          <w:szCs w:val="22"/>
        </w:rPr>
        <w:t>8,80</w:t>
      </w:r>
      <w:r w:rsidRPr="00D912D1">
        <w:rPr>
          <w:rFonts w:ascii="Arial" w:hAnsi="Arial" w:cs="Arial"/>
          <w:bCs/>
          <w:sz w:val="22"/>
          <w:szCs w:val="22"/>
        </w:rPr>
        <w:t>%</w:t>
      </w:r>
      <w:r w:rsidRPr="00F1630F">
        <w:rPr>
          <w:rFonts w:ascii="Arial" w:hAnsi="Arial" w:cs="Arial"/>
          <w:bCs/>
          <w:sz w:val="22"/>
          <w:szCs w:val="22"/>
        </w:rPr>
        <w:t>.</w:t>
      </w:r>
      <w:r w:rsidRPr="001D1542">
        <w:rPr>
          <w:rFonts w:ascii="Arial" w:hAnsi="Arial" w:cs="Arial"/>
          <w:sz w:val="22"/>
          <w:szCs w:val="22"/>
        </w:rPr>
        <w:t xml:space="preserve"> </w:t>
      </w:r>
    </w:p>
    <w:p w14:paraId="25318107" w14:textId="77777777" w:rsidR="00124ED1" w:rsidRPr="00AF7CAC" w:rsidRDefault="00124ED1" w:rsidP="008F6496">
      <w:pPr>
        <w:pStyle w:val="NoSpacing"/>
        <w:spacing w:line="276" w:lineRule="auto"/>
        <w:jc w:val="both"/>
        <w:rPr>
          <w:rFonts w:ascii="Arial" w:hAnsi="Arial" w:cs="Arial"/>
          <w:sz w:val="24"/>
          <w:szCs w:val="24"/>
          <w:lang w:val="hr-HR"/>
        </w:rPr>
      </w:pPr>
    </w:p>
    <w:p w14:paraId="03EDC46E" w14:textId="2D7464C7" w:rsidR="004E3974" w:rsidRPr="00AF7CAC" w:rsidRDefault="004E3974" w:rsidP="008F6496">
      <w:pPr>
        <w:pStyle w:val="NoSpacing"/>
        <w:spacing w:line="276" w:lineRule="auto"/>
        <w:jc w:val="both"/>
        <w:rPr>
          <w:rFonts w:ascii="Arial" w:hAnsi="Arial" w:cs="Arial"/>
          <w:sz w:val="24"/>
          <w:szCs w:val="24"/>
          <w:lang w:val="hr-HR"/>
        </w:rPr>
      </w:pPr>
    </w:p>
    <w:p w14:paraId="19014B22" w14:textId="06C16A9C" w:rsidR="00ED768D" w:rsidRPr="00AF7CAC" w:rsidRDefault="00284A87" w:rsidP="00337B91">
      <w:pPr>
        <w:pStyle w:val="Heading2"/>
        <w:spacing w:before="0" w:line="240" w:lineRule="auto"/>
        <w:rPr>
          <w:rFonts w:ascii="Arial" w:hAnsi="Arial" w:cs="Arial"/>
          <w:b w:val="0"/>
        </w:rPr>
      </w:pPr>
      <w:r w:rsidRPr="00AF7CAC">
        <w:rPr>
          <w:rFonts w:ascii="Arial" w:hAnsi="Arial" w:cs="Arial"/>
          <w:b w:val="0"/>
          <w:color w:val="auto"/>
          <w:sz w:val="28"/>
          <w:szCs w:val="24"/>
        </w:rPr>
        <w:lastRenderedPageBreak/>
        <w:t xml:space="preserve"> </w:t>
      </w:r>
      <w:bookmarkStart w:id="115" w:name="_Toc100823754"/>
      <w:r w:rsidR="00ED768D" w:rsidRPr="005B3433">
        <w:rPr>
          <w:rFonts w:ascii="Arial" w:hAnsi="Arial" w:cs="Arial"/>
          <w:b w:val="0"/>
          <w:color w:val="auto"/>
          <w:sz w:val="24"/>
        </w:rPr>
        <w:t>4.5</w:t>
      </w:r>
      <w:r w:rsidR="004457DE">
        <w:rPr>
          <w:rFonts w:ascii="Arial" w:hAnsi="Arial" w:cs="Arial"/>
          <w:b w:val="0"/>
          <w:color w:val="auto"/>
          <w:sz w:val="24"/>
        </w:rPr>
        <w:t>.</w:t>
      </w:r>
      <w:r w:rsidR="008373F4" w:rsidRPr="005B3433">
        <w:rPr>
          <w:rFonts w:ascii="Arial" w:hAnsi="Arial" w:cs="Arial"/>
          <w:b w:val="0"/>
          <w:color w:val="auto"/>
          <w:sz w:val="22"/>
        </w:rPr>
        <w:tab/>
        <w:t>Poten</w:t>
      </w:r>
      <w:r w:rsidR="00ED768D" w:rsidRPr="005B3433">
        <w:rPr>
          <w:rFonts w:ascii="Arial" w:hAnsi="Arial" w:cs="Arial"/>
          <w:b w:val="0"/>
          <w:color w:val="auto"/>
          <w:sz w:val="22"/>
        </w:rPr>
        <w:t>cijalne obveze</w:t>
      </w:r>
      <w:bookmarkEnd w:id="115"/>
    </w:p>
    <w:p w14:paraId="61AC044F" w14:textId="77777777" w:rsidR="00B74F90" w:rsidRPr="00E86486" w:rsidRDefault="00B74F90" w:rsidP="00ED768D">
      <w:pPr>
        <w:pStyle w:val="ParagraphNumbering"/>
        <w:numPr>
          <w:ilvl w:val="0"/>
          <w:numId w:val="0"/>
        </w:numPr>
        <w:spacing w:after="0" w:line="240" w:lineRule="auto"/>
        <w:jc w:val="both"/>
        <w:rPr>
          <w:rFonts w:ascii="Arial" w:hAnsi="Arial" w:cs="Arial"/>
          <w:sz w:val="22"/>
        </w:rPr>
      </w:pPr>
    </w:p>
    <w:p w14:paraId="6679CB6F" w14:textId="77777777" w:rsidR="003D793D" w:rsidRPr="00E86486" w:rsidRDefault="003D793D" w:rsidP="00ED768D">
      <w:pPr>
        <w:pStyle w:val="ParagraphNumbering"/>
        <w:numPr>
          <w:ilvl w:val="0"/>
          <w:numId w:val="0"/>
        </w:numPr>
        <w:spacing w:after="0" w:line="240" w:lineRule="auto"/>
        <w:jc w:val="both"/>
        <w:rPr>
          <w:rFonts w:ascii="Arial" w:hAnsi="Arial" w:cs="Arial"/>
          <w:sz w:val="22"/>
        </w:rPr>
      </w:pPr>
    </w:p>
    <w:p w14:paraId="1F2E23F1" w14:textId="2DC65AA5" w:rsidR="00ED768D" w:rsidRPr="008373F4" w:rsidRDefault="00621347" w:rsidP="00205074">
      <w:pPr>
        <w:pStyle w:val="NoSpacing"/>
        <w:spacing w:line="276" w:lineRule="auto"/>
        <w:ind w:firstLine="420"/>
        <w:jc w:val="both"/>
        <w:rPr>
          <w:rFonts w:ascii="Arial" w:hAnsi="Arial" w:cs="Arial"/>
          <w:szCs w:val="24"/>
          <w:lang w:val="hr-HR"/>
        </w:rPr>
      </w:pPr>
      <w:r>
        <w:rPr>
          <w:rFonts w:ascii="Arial" w:hAnsi="Arial" w:cs="Arial"/>
          <w:szCs w:val="24"/>
          <w:lang w:val="hr-HR"/>
        </w:rPr>
        <w:t>Potencijalne ob</w:t>
      </w:r>
      <w:r w:rsidR="00ED768D" w:rsidRPr="008373F4">
        <w:rPr>
          <w:rFonts w:ascii="Arial" w:hAnsi="Arial" w:cs="Arial"/>
          <w:szCs w:val="24"/>
          <w:lang w:val="hr-HR"/>
        </w:rPr>
        <w:t xml:space="preserve">veze </w:t>
      </w:r>
      <w:r w:rsidR="005B669A" w:rsidRPr="008373F4">
        <w:rPr>
          <w:rFonts w:ascii="Arial" w:hAnsi="Arial" w:cs="Arial"/>
          <w:szCs w:val="24"/>
          <w:lang w:val="hr-HR"/>
        </w:rPr>
        <w:t>F</w:t>
      </w:r>
      <w:r w:rsidR="002461C4" w:rsidRPr="008373F4">
        <w:rPr>
          <w:rFonts w:ascii="Arial" w:hAnsi="Arial" w:cs="Arial"/>
          <w:szCs w:val="24"/>
          <w:lang w:val="hr-HR"/>
        </w:rPr>
        <w:t xml:space="preserve">ederacije </w:t>
      </w:r>
      <w:r w:rsidR="005B669A" w:rsidRPr="008373F4">
        <w:rPr>
          <w:rFonts w:ascii="Arial" w:hAnsi="Arial" w:cs="Arial"/>
          <w:szCs w:val="24"/>
          <w:lang w:val="hr-HR"/>
        </w:rPr>
        <w:t xml:space="preserve">BiH </w:t>
      </w:r>
      <w:r w:rsidR="00ED768D" w:rsidRPr="008373F4">
        <w:rPr>
          <w:rFonts w:ascii="Arial" w:hAnsi="Arial" w:cs="Arial"/>
          <w:szCs w:val="24"/>
          <w:lang w:val="hr-HR"/>
        </w:rPr>
        <w:t xml:space="preserve">su </w:t>
      </w:r>
      <w:r w:rsidR="009A78EF">
        <w:rPr>
          <w:rFonts w:ascii="Arial" w:hAnsi="Arial" w:cs="Arial"/>
          <w:szCs w:val="24"/>
          <w:lang w:val="hr-HR"/>
        </w:rPr>
        <w:t>financ</w:t>
      </w:r>
      <w:r>
        <w:rPr>
          <w:rFonts w:ascii="Arial" w:hAnsi="Arial" w:cs="Arial"/>
          <w:szCs w:val="24"/>
          <w:lang w:val="hr-HR"/>
        </w:rPr>
        <w:t>ijske ob</w:t>
      </w:r>
      <w:r w:rsidR="00ED768D" w:rsidRPr="008373F4">
        <w:rPr>
          <w:rFonts w:ascii="Arial" w:hAnsi="Arial" w:cs="Arial"/>
          <w:szCs w:val="24"/>
          <w:lang w:val="hr-HR"/>
        </w:rPr>
        <w:t>veze po osnov</w:t>
      </w:r>
      <w:r>
        <w:rPr>
          <w:rFonts w:ascii="Arial" w:hAnsi="Arial" w:cs="Arial"/>
          <w:szCs w:val="24"/>
          <w:lang w:val="hr-HR"/>
        </w:rPr>
        <w:t>i</w:t>
      </w:r>
      <w:r w:rsidR="00ED768D" w:rsidRPr="008373F4">
        <w:rPr>
          <w:rFonts w:ascii="Arial" w:hAnsi="Arial" w:cs="Arial"/>
          <w:szCs w:val="24"/>
          <w:lang w:val="hr-HR"/>
        </w:rPr>
        <w:t xml:space="preserve"> izda</w:t>
      </w:r>
      <w:r>
        <w:rPr>
          <w:rFonts w:ascii="Arial" w:hAnsi="Arial" w:cs="Arial"/>
          <w:szCs w:val="24"/>
          <w:lang w:val="hr-HR"/>
        </w:rPr>
        <w:t>n</w:t>
      </w:r>
      <w:r w:rsidR="00ED768D" w:rsidRPr="008373F4">
        <w:rPr>
          <w:rFonts w:ascii="Arial" w:hAnsi="Arial" w:cs="Arial"/>
          <w:szCs w:val="24"/>
          <w:lang w:val="hr-HR"/>
        </w:rPr>
        <w:t>ih garancija ili odluka Parlament</w:t>
      </w:r>
      <w:r w:rsidR="00E579C0" w:rsidRPr="008373F4">
        <w:rPr>
          <w:rFonts w:ascii="Arial" w:hAnsi="Arial" w:cs="Arial"/>
          <w:szCs w:val="24"/>
          <w:lang w:val="hr-HR"/>
        </w:rPr>
        <w:t>a F</w:t>
      </w:r>
      <w:r w:rsidR="002461C4" w:rsidRPr="008373F4">
        <w:rPr>
          <w:rFonts w:ascii="Arial" w:hAnsi="Arial" w:cs="Arial"/>
          <w:szCs w:val="24"/>
          <w:lang w:val="hr-HR"/>
        </w:rPr>
        <w:t xml:space="preserve">ederacije </w:t>
      </w:r>
      <w:r w:rsidR="00E579C0" w:rsidRPr="008373F4">
        <w:rPr>
          <w:rFonts w:ascii="Arial" w:hAnsi="Arial" w:cs="Arial"/>
          <w:szCs w:val="24"/>
          <w:lang w:val="hr-HR"/>
        </w:rPr>
        <w:t>BiH o eventualnom preuzimanju</w:t>
      </w:r>
      <w:r w:rsidR="00124ED1">
        <w:rPr>
          <w:rFonts w:ascii="Arial" w:hAnsi="Arial" w:cs="Arial"/>
          <w:szCs w:val="24"/>
          <w:lang w:val="hr-HR"/>
        </w:rPr>
        <w:t xml:space="preserve"> </w:t>
      </w:r>
      <w:r w:rsidR="009A78EF">
        <w:rPr>
          <w:rFonts w:ascii="Arial" w:hAnsi="Arial" w:cs="Arial"/>
          <w:szCs w:val="24"/>
          <w:lang w:val="hr-HR"/>
        </w:rPr>
        <w:t>financ</w:t>
      </w:r>
      <w:r w:rsidR="00124ED1">
        <w:rPr>
          <w:rFonts w:ascii="Arial" w:hAnsi="Arial" w:cs="Arial"/>
          <w:szCs w:val="24"/>
          <w:lang w:val="hr-HR"/>
        </w:rPr>
        <w:t>ijskih</w:t>
      </w:r>
      <w:r>
        <w:rPr>
          <w:rFonts w:ascii="Arial" w:hAnsi="Arial" w:cs="Arial"/>
          <w:szCs w:val="24"/>
          <w:lang w:val="hr-HR"/>
        </w:rPr>
        <w:t xml:space="preserve"> ob</w:t>
      </w:r>
      <w:r w:rsidR="00ED768D" w:rsidRPr="008373F4">
        <w:rPr>
          <w:rFonts w:ascii="Arial" w:hAnsi="Arial" w:cs="Arial"/>
          <w:szCs w:val="24"/>
          <w:lang w:val="hr-HR"/>
        </w:rPr>
        <w:t xml:space="preserve">veza kantona, </w:t>
      </w:r>
      <w:r w:rsidR="00A6424F" w:rsidRPr="008373F4">
        <w:rPr>
          <w:rFonts w:ascii="Arial" w:hAnsi="Arial" w:cs="Arial"/>
          <w:szCs w:val="24"/>
          <w:lang w:val="hr-HR"/>
        </w:rPr>
        <w:t>gradova, općina</w:t>
      </w:r>
      <w:r w:rsidR="00ED768D" w:rsidRPr="008373F4">
        <w:rPr>
          <w:rFonts w:ascii="Arial" w:hAnsi="Arial" w:cs="Arial"/>
          <w:szCs w:val="24"/>
          <w:lang w:val="hr-HR"/>
        </w:rPr>
        <w:t xml:space="preserve"> ili javnih kompanija </w:t>
      </w:r>
      <w:r w:rsidR="00A6424F" w:rsidRPr="008373F4">
        <w:rPr>
          <w:rFonts w:ascii="Arial" w:hAnsi="Arial" w:cs="Arial"/>
          <w:szCs w:val="24"/>
          <w:lang w:val="hr-HR"/>
        </w:rPr>
        <w:t>i</w:t>
      </w:r>
      <w:r w:rsidR="005B669A" w:rsidRPr="008373F4">
        <w:rPr>
          <w:rFonts w:ascii="Arial" w:hAnsi="Arial" w:cs="Arial"/>
          <w:szCs w:val="24"/>
          <w:lang w:val="hr-HR"/>
        </w:rPr>
        <w:t xml:space="preserve"> </w:t>
      </w:r>
      <w:r w:rsidR="00E86486">
        <w:rPr>
          <w:rFonts w:ascii="Arial" w:hAnsi="Arial" w:cs="Arial"/>
          <w:szCs w:val="24"/>
          <w:lang w:val="hr-HR"/>
        </w:rPr>
        <w:t xml:space="preserve">koje bi </w:t>
      </w:r>
      <w:r>
        <w:rPr>
          <w:rFonts w:ascii="Arial" w:hAnsi="Arial" w:cs="Arial"/>
          <w:szCs w:val="24"/>
          <w:lang w:val="hr-HR"/>
        </w:rPr>
        <w:t>mogle postati ob</w:t>
      </w:r>
      <w:r w:rsidR="005B669A" w:rsidRPr="008373F4">
        <w:rPr>
          <w:rFonts w:ascii="Arial" w:hAnsi="Arial" w:cs="Arial"/>
          <w:szCs w:val="24"/>
          <w:lang w:val="hr-HR"/>
        </w:rPr>
        <w:t xml:space="preserve">veza </w:t>
      </w:r>
      <w:r w:rsidR="009A78EF">
        <w:rPr>
          <w:rFonts w:ascii="Arial" w:hAnsi="Arial" w:cs="Arial"/>
          <w:szCs w:val="24"/>
          <w:lang w:val="hr-HR"/>
        </w:rPr>
        <w:t>proračun</w:t>
      </w:r>
      <w:r w:rsidR="005B669A" w:rsidRPr="008373F4">
        <w:rPr>
          <w:rFonts w:ascii="Arial" w:hAnsi="Arial" w:cs="Arial"/>
          <w:szCs w:val="24"/>
          <w:lang w:val="hr-HR"/>
        </w:rPr>
        <w:t>a</w:t>
      </w:r>
      <w:r w:rsidR="002B10F6" w:rsidRPr="008373F4">
        <w:rPr>
          <w:rFonts w:ascii="Arial" w:hAnsi="Arial" w:cs="Arial"/>
          <w:szCs w:val="24"/>
          <w:lang w:val="hr-HR"/>
        </w:rPr>
        <w:t xml:space="preserve"> </w:t>
      </w:r>
      <w:r w:rsidR="005B669A" w:rsidRPr="008373F4">
        <w:rPr>
          <w:rFonts w:ascii="Arial" w:hAnsi="Arial" w:cs="Arial"/>
          <w:szCs w:val="24"/>
          <w:lang w:val="hr-HR"/>
        </w:rPr>
        <w:t>F</w:t>
      </w:r>
      <w:r w:rsidR="00A6424F" w:rsidRPr="008373F4">
        <w:rPr>
          <w:rFonts w:ascii="Arial" w:hAnsi="Arial" w:cs="Arial"/>
          <w:szCs w:val="24"/>
          <w:lang w:val="hr-HR"/>
        </w:rPr>
        <w:t xml:space="preserve">ederacije </w:t>
      </w:r>
      <w:r w:rsidR="005B669A" w:rsidRPr="008373F4">
        <w:rPr>
          <w:rFonts w:ascii="Arial" w:hAnsi="Arial" w:cs="Arial"/>
          <w:szCs w:val="24"/>
          <w:lang w:val="hr-HR"/>
        </w:rPr>
        <w:t>BiH.</w:t>
      </w:r>
    </w:p>
    <w:p w14:paraId="482594D7" w14:textId="77777777" w:rsidR="00B74F90" w:rsidRPr="00E86486" w:rsidRDefault="00B74F90" w:rsidP="00AB45F2">
      <w:pPr>
        <w:pStyle w:val="NoSpacing"/>
        <w:jc w:val="both"/>
        <w:rPr>
          <w:rFonts w:ascii="Arial" w:hAnsi="Arial" w:cs="Arial"/>
          <w:color w:val="E36C0A" w:themeColor="accent6" w:themeShade="BF"/>
          <w:szCs w:val="24"/>
          <w:lang w:val="hr-HR"/>
        </w:rPr>
      </w:pPr>
    </w:p>
    <w:p w14:paraId="6D5FA7D8" w14:textId="77777777" w:rsidR="00E86486" w:rsidRPr="00E86486" w:rsidRDefault="00E86486" w:rsidP="00AB45F2">
      <w:pPr>
        <w:pStyle w:val="NoSpacing"/>
        <w:jc w:val="both"/>
        <w:rPr>
          <w:rFonts w:ascii="Arial" w:hAnsi="Arial" w:cs="Arial"/>
          <w:color w:val="E36C0A" w:themeColor="accent6" w:themeShade="BF"/>
          <w:szCs w:val="24"/>
          <w:lang w:val="hr-HR"/>
        </w:rPr>
      </w:pPr>
    </w:p>
    <w:p w14:paraId="64CBD019" w14:textId="64D1DE34" w:rsidR="00ED768D" w:rsidRPr="00AF7CAC" w:rsidRDefault="00ED768D" w:rsidP="00AB45F2">
      <w:pPr>
        <w:pStyle w:val="Heading3"/>
        <w:spacing w:before="0"/>
        <w:ind w:firstLine="709"/>
        <w:rPr>
          <w:b w:val="0"/>
          <w:color w:val="auto"/>
          <w:sz w:val="24"/>
        </w:rPr>
      </w:pPr>
      <w:bookmarkStart w:id="116" w:name="_Toc100823755"/>
      <w:r w:rsidRPr="005B3433">
        <w:rPr>
          <w:rFonts w:ascii="Arial" w:hAnsi="Arial" w:cs="Arial"/>
          <w:b w:val="0"/>
          <w:color w:val="auto"/>
        </w:rPr>
        <w:t>4.5.1</w:t>
      </w:r>
      <w:r w:rsidR="004457DE">
        <w:rPr>
          <w:rFonts w:ascii="Arial" w:hAnsi="Arial" w:cs="Arial"/>
          <w:b w:val="0"/>
          <w:color w:val="auto"/>
        </w:rPr>
        <w:t>.</w:t>
      </w:r>
      <w:r w:rsidRPr="005B3433">
        <w:rPr>
          <w:b w:val="0"/>
          <w:color w:val="auto"/>
        </w:rPr>
        <w:tab/>
      </w:r>
      <w:r w:rsidRPr="005B3433">
        <w:rPr>
          <w:rFonts w:ascii="Arial" w:hAnsi="Arial" w:cs="Arial"/>
          <w:b w:val="0"/>
          <w:color w:val="auto"/>
        </w:rPr>
        <w:t>Garancije</w:t>
      </w:r>
      <w:bookmarkEnd w:id="116"/>
    </w:p>
    <w:p w14:paraId="79FB40AC" w14:textId="77777777" w:rsidR="00ED768D" w:rsidRPr="00E86486" w:rsidRDefault="00ED768D" w:rsidP="00ED768D">
      <w:pPr>
        <w:pStyle w:val="NoSpacing"/>
        <w:jc w:val="both"/>
        <w:rPr>
          <w:rFonts w:ascii="Arial" w:hAnsi="Arial" w:cs="Arial"/>
          <w:szCs w:val="24"/>
          <w:lang w:val="hr-HR"/>
        </w:rPr>
      </w:pPr>
    </w:p>
    <w:p w14:paraId="3A830996" w14:textId="6A67942E" w:rsidR="00DA47B3" w:rsidRPr="00F1630F" w:rsidRDefault="008A089D">
      <w:pPr>
        <w:pStyle w:val="NoSpacing"/>
        <w:spacing w:line="276" w:lineRule="auto"/>
        <w:ind w:firstLine="420"/>
        <w:jc w:val="both"/>
        <w:rPr>
          <w:rFonts w:ascii="Arial" w:hAnsi="Arial" w:cs="Arial"/>
          <w:szCs w:val="24"/>
          <w:lang w:val="hr-HR"/>
        </w:rPr>
      </w:pPr>
      <w:r w:rsidRPr="00D912D1">
        <w:rPr>
          <w:rFonts w:ascii="Arial" w:hAnsi="Arial" w:cs="Arial"/>
          <w:szCs w:val="24"/>
          <w:lang w:val="hr-HR"/>
        </w:rPr>
        <w:t>Federacija BiH je t</w:t>
      </w:r>
      <w:r w:rsidR="00621347">
        <w:rPr>
          <w:rFonts w:ascii="Arial" w:hAnsi="Arial" w:cs="Arial"/>
          <w:szCs w:val="24"/>
          <w:lang w:val="hr-HR"/>
        </w:rPr>
        <w:t>ije</w:t>
      </w:r>
      <w:r w:rsidRPr="00D912D1">
        <w:rPr>
          <w:rFonts w:ascii="Arial" w:hAnsi="Arial" w:cs="Arial"/>
          <w:szCs w:val="24"/>
          <w:lang w:val="hr-HR"/>
        </w:rPr>
        <w:t>kom 2019. godine</w:t>
      </w:r>
      <w:r w:rsidR="001D1542" w:rsidRPr="00D912D1">
        <w:rPr>
          <w:rFonts w:ascii="Arial" w:hAnsi="Arial" w:cs="Arial"/>
          <w:szCs w:val="24"/>
          <w:lang w:val="hr-HR"/>
        </w:rPr>
        <w:t xml:space="preserve">, na zahtjev </w:t>
      </w:r>
      <w:r w:rsidR="001D1542" w:rsidRPr="00F1630F">
        <w:rPr>
          <w:rFonts w:ascii="Arial" w:hAnsi="Arial" w:cs="Arial"/>
          <w:szCs w:val="24"/>
          <w:lang w:val="hr-HR"/>
        </w:rPr>
        <w:t xml:space="preserve">JP Elektroprivreda BiH </w:t>
      </w:r>
      <w:r w:rsidRPr="00F1630F">
        <w:rPr>
          <w:rFonts w:ascii="Arial" w:hAnsi="Arial" w:cs="Arial"/>
          <w:szCs w:val="24"/>
          <w:lang w:val="hr-HR"/>
        </w:rPr>
        <w:t xml:space="preserve">izdala </w:t>
      </w:r>
      <w:r w:rsidR="00476D44" w:rsidRPr="00F1630F">
        <w:rPr>
          <w:rFonts w:ascii="Arial" w:hAnsi="Arial" w:cs="Arial"/>
          <w:szCs w:val="24"/>
          <w:lang w:val="hr-HR"/>
        </w:rPr>
        <w:t xml:space="preserve">vanjsku garanciju </w:t>
      </w:r>
      <w:r w:rsidR="001D1542" w:rsidRPr="00F1630F">
        <w:rPr>
          <w:rFonts w:ascii="Arial" w:hAnsi="Arial" w:cs="Arial"/>
          <w:szCs w:val="24"/>
          <w:lang w:val="hr-HR"/>
        </w:rPr>
        <w:t xml:space="preserve">u korist Kineske izvozno-uvozne banke (Exim Bank of China) na iznos od </w:t>
      </w:r>
      <w:r w:rsidR="00EB3959" w:rsidRPr="00445180">
        <w:rPr>
          <w:rFonts w:ascii="Arial" w:hAnsi="Arial" w:cs="Arial"/>
          <w:szCs w:val="24"/>
          <w:lang w:val="hr-HR"/>
        </w:rPr>
        <w:t>613,99 mil</w:t>
      </w:r>
      <w:r w:rsidR="00CD4194">
        <w:rPr>
          <w:rFonts w:ascii="Arial" w:hAnsi="Arial" w:cs="Arial"/>
          <w:szCs w:val="24"/>
          <w:lang w:val="hr-HR"/>
        </w:rPr>
        <w:t>.</w:t>
      </w:r>
      <w:r w:rsidR="00EB3959" w:rsidRPr="00445180">
        <w:rPr>
          <w:rFonts w:ascii="Arial" w:hAnsi="Arial" w:cs="Arial"/>
          <w:szCs w:val="24"/>
          <w:lang w:val="hr-HR"/>
        </w:rPr>
        <w:t xml:space="preserve"> EUR (</w:t>
      </w:r>
      <w:r w:rsidR="001D1542" w:rsidRPr="00D912D1">
        <w:rPr>
          <w:rFonts w:ascii="Arial" w:hAnsi="Arial" w:cs="Arial"/>
          <w:szCs w:val="24"/>
          <w:lang w:val="hr-HR"/>
        </w:rPr>
        <w:t>1.200,86 mil. KM</w:t>
      </w:r>
      <w:r w:rsidR="00EB3959" w:rsidRPr="00445180">
        <w:rPr>
          <w:rFonts w:ascii="Arial" w:hAnsi="Arial" w:cs="Arial"/>
          <w:szCs w:val="24"/>
          <w:lang w:val="hr-HR"/>
        </w:rPr>
        <w:t>)</w:t>
      </w:r>
      <w:r w:rsidR="00621347">
        <w:rPr>
          <w:rFonts w:ascii="Arial" w:hAnsi="Arial" w:cs="Arial"/>
          <w:szCs w:val="24"/>
          <w:lang w:val="hr-HR"/>
        </w:rPr>
        <w:t>,</w:t>
      </w:r>
      <w:r w:rsidR="001D1542" w:rsidRPr="00D912D1">
        <w:rPr>
          <w:rFonts w:ascii="Arial" w:hAnsi="Arial" w:cs="Arial"/>
          <w:szCs w:val="24"/>
          <w:lang w:val="hr-HR"/>
        </w:rPr>
        <w:t xml:space="preserve"> </w:t>
      </w:r>
      <w:r w:rsidR="00476D44" w:rsidRPr="00D912D1">
        <w:rPr>
          <w:rFonts w:ascii="Arial" w:hAnsi="Arial" w:cs="Arial"/>
          <w:szCs w:val="24"/>
          <w:lang w:val="hr-HR"/>
        </w:rPr>
        <w:t xml:space="preserve">a u cilju izgradnje bloka 7 Termoelektrane Tuzla. </w:t>
      </w:r>
      <w:r w:rsidR="00AF3BB6" w:rsidRPr="00F1630F">
        <w:rPr>
          <w:rFonts w:ascii="Arial" w:hAnsi="Arial" w:cs="Arial"/>
          <w:szCs w:val="24"/>
          <w:lang w:val="hr-HR"/>
        </w:rPr>
        <w:t>Iako je kredit postao efektivan 5.</w:t>
      </w:r>
      <w:r w:rsidR="00621347">
        <w:rPr>
          <w:rFonts w:ascii="Arial" w:hAnsi="Arial" w:cs="Arial"/>
          <w:szCs w:val="24"/>
          <w:lang w:val="hr-HR"/>
        </w:rPr>
        <w:t xml:space="preserve"> </w:t>
      </w:r>
      <w:r w:rsidR="00AF3BB6" w:rsidRPr="00F1630F">
        <w:rPr>
          <w:rFonts w:ascii="Arial" w:hAnsi="Arial" w:cs="Arial"/>
          <w:szCs w:val="24"/>
          <w:lang w:val="hr-HR"/>
        </w:rPr>
        <w:t>12.</w:t>
      </w:r>
      <w:r w:rsidR="00621347">
        <w:rPr>
          <w:rFonts w:ascii="Arial" w:hAnsi="Arial" w:cs="Arial"/>
          <w:szCs w:val="24"/>
          <w:lang w:val="hr-HR"/>
        </w:rPr>
        <w:t xml:space="preserve"> 2019., </w:t>
      </w:r>
      <w:r w:rsidR="001D1542" w:rsidRPr="00D912D1">
        <w:rPr>
          <w:rFonts w:ascii="Arial" w:hAnsi="Arial" w:cs="Arial"/>
          <w:szCs w:val="24"/>
          <w:lang w:val="hr-HR"/>
        </w:rPr>
        <w:t>do 31.</w:t>
      </w:r>
      <w:r w:rsidR="00621347">
        <w:rPr>
          <w:rFonts w:ascii="Arial" w:hAnsi="Arial" w:cs="Arial"/>
          <w:szCs w:val="24"/>
          <w:lang w:val="hr-HR"/>
        </w:rPr>
        <w:t xml:space="preserve"> </w:t>
      </w:r>
      <w:r w:rsidR="001D1542" w:rsidRPr="00D912D1">
        <w:rPr>
          <w:rFonts w:ascii="Arial" w:hAnsi="Arial" w:cs="Arial"/>
          <w:szCs w:val="24"/>
          <w:lang w:val="hr-HR"/>
        </w:rPr>
        <w:t>12.</w:t>
      </w:r>
      <w:r w:rsidR="00621347">
        <w:rPr>
          <w:rFonts w:ascii="Arial" w:hAnsi="Arial" w:cs="Arial"/>
          <w:szCs w:val="24"/>
          <w:lang w:val="hr-HR"/>
        </w:rPr>
        <w:t xml:space="preserve"> </w:t>
      </w:r>
      <w:r w:rsidR="00EB3959" w:rsidRPr="00F1630F">
        <w:rPr>
          <w:rFonts w:ascii="Arial" w:hAnsi="Arial" w:cs="Arial"/>
          <w:szCs w:val="24"/>
          <w:lang w:val="hr-HR"/>
        </w:rPr>
        <w:t>2021</w:t>
      </w:r>
      <w:r w:rsidR="001D1542" w:rsidRPr="00F1630F">
        <w:rPr>
          <w:rFonts w:ascii="Arial" w:hAnsi="Arial" w:cs="Arial"/>
          <w:szCs w:val="24"/>
          <w:lang w:val="hr-HR"/>
        </w:rPr>
        <w:t xml:space="preserve">. nije bilo </w:t>
      </w:r>
      <w:r w:rsidR="00621347" w:rsidRPr="00F1630F">
        <w:rPr>
          <w:rFonts w:ascii="Arial" w:hAnsi="Arial" w:cs="Arial"/>
          <w:szCs w:val="24"/>
          <w:lang w:val="hr-HR"/>
        </w:rPr>
        <w:t>angažiranja</w:t>
      </w:r>
      <w:r w:rsidR="001D1542" w:rsidRPr="00F1630F">
        <w:rPr>
          <w:rFonts w:ascii="Arial" w:hAnsi="Arial" w:cs="Arial"/>
          <w:szCs w:val="24"/>
          <w:lang w:val="hr-HR"/>
        </w:rPr>
        <w:t xml:space="preserve"> sredstva</w:t>
      </w:r>
      <w:r w:rsidR="00AF3BB6" w:rsidRPr="00F1630F">
        <w:rPr>
          <w:rFonts w:ascii="Arial" w:hAnsi="Arial" w:cs="Arial"/>
          <w:szCs w:val="24"/>
          <w:lang w:val="hr-HR"/>
        </w:rPr>
        <w:t xml:space="preserve">, </w:t>
      </w:r>
      <w:r w:rsidR="00621347">
        <w:rPr>
          <w:rFonts w:ascii="Arial" w:hAnsi="Arial" w:cs="Arial"/>
          <w:szCs w:val="24"/>
          <w:lang w:val="hr-HR"/>
        </w:rPr>
        <w:t>tako da</w:t>
      </w:r>
      <w:r w:rsidR="00E43420" w:rsidRPr="00F1630F">
        <w:rPr>
          <w:rFonts w:ascii="Arial" w:hAnsi="Arial" w:cs="Arial"/>
          <w:szCs w:val="24"/>
          <w:lang w:val="hr-HR"/>
        </w:rPr>
        <w:t xml:space="preserve"> </w:t>
      </w:r>
      <w:r w:rsidRPr="00F1630F">
        <w:rPr>
          <w:rFonts w:ascii="Arial" w:hAnsi="Arial" w:cs="Arial"/>
          <w:szCs w:val="24"/>
          <w:lang w:val="hr-HR"/>
        </w:rPr>
        <w:t xml:space="preserve">stanje duga po ovoj garanciji </w:t>
      </w:r>
      <w:r w:rsidR="001D1542" w:rsidRPr="00F1630F">
        <w:rPr>
          <w:rFonts w:ascii="Arial" w:hAnsi="Arial" w:cs="Arial"/>
          <w:szCs w:val="24"/>
          <w:lang w:val="hr-HR"/>
        </w:rPr>
        <w:t>iznosi nula (</w:t>
      </w:r>
      <w:r w:rsidRPr="00F1630F">
        <w:rPr>
          <w:rFonts w:ascii="Arial" w:hAnsi="Arial" w:cs="Arial"/>
          <w:szCs w:val="24"/>
          <w:lang w:val="hr-HR"/>
        </w:rPr>
        <w:t>0</w:t>
      </w:r>
      <w:r w:rsidR="001D1542" w:rsidRPr="00F1630F">
        <w:rPr>
          <w:rFonts w:ascii="Arial" w:hAnsi="Arial" w:cs="Arial"/>
          <w:szCs w:val="24"/>
          <w:lang w:val="hr-HR"/>
        </w:rPr>
        <w:t>)</w:t>
      </w:r>
      <w:r w:rsidRPr="00F1630F">
        <w:rPr>
          <w:rFonts w:ascii="Arial" w:hAnsi="Arial" w:cs="Arial"/>
          <w:szCs w:val="24"/>
          <w:lang w:val="hr-HR"/>
        </w:rPr>
        <w:t xml:space="preserve"> KM.</w:t>
      </w:r>
    </w:p>
    <w:p w14:paraId="4CE3C5C7" w14:textId="317C3A4A" w:rsidR="001D1542" w:rsidRPr="00445180" w:rsidRDefault="001D1542" w:rsidP="00621347">
      <w:pPr>
        <w:pStyle w:val="NoSpacing"/>
        <w:spacing w:line="276" w:lineRule="auto"/>
        <w:ind w:firstLine="420"/>
        <w:jc w:val="both"/>
        <w:rPr>
          <w:rFonts w:ascii="Arial" w:hAnsi="Arial" w:cs="Arial"/>
          <w:szCs w:val="24"/>
          <w:lang w:val="hr-HR"/>
        </w:rPr>
      </w:pPr>
      <w:r w:rsidRPr="00F1630F">
        <w:rPr>
          <w:rFonts w:ascii="Arial" w:hAnsi="Arial" w:cs="Arial"/>
          <w:szCs w:val="24"/>
          <w:lang w:val="hr-HR"/>
        </w:rPr>
        <w:t>U kontekstu mjera na prevenciji posljedica izazvanih pandemijom</w:t>
      </w:r>
      <w:r w:rsidR="00EB3959" w:rsidRPr="00445180">
        <w:rPr>
          <w:rFonts w:ascii="Arial" w:hAnsi="Arial" w:cs="Arial"/>
          <w:szCs w:val="24"/>
          <w:lang w:val="hr-HR"/>
        </w:rPr>
        <w:t xml:space="preserve"> COVID-19</w:t>
      </w:r>
      <w:r w:rsidRPr="00D912D1">
        <w:rPr>
          <w:rFonts w:ascii="Arial" w:hAnsi="Arial" w:cs="Arial"/>
          <w:szCs w:val="24"/>
          <w:lang w:val="hr-HR"/>
        </w:rPr>
        <w:t>, Vlada Federacije</w:t>
      </w:r>
      <w:r w:rsidR="00EA5371" w:rsidRPr="00445180">
        <w:rPr>
          <w:rFonts w:ascii="Arial" w:hAnsi="Arial" w:cs="Arial"/>
          <w:szCs w:val="24"/>
          <w:lang w:val="hr-HR"/>
        </w:rPr>
        <w:t xml:space="preserve"> BiH</w:t>
      </w:r>
      <w:r w:rsidRPr="00D912D1">
        <w:rPr>
          <w:rFonts w:ascii="Arial" w:hAnsi="Arial" w:cs="Arial"/>
          <w:szCs w:val="24"/>
          <w:lang w:val="hr-HR"/>
        </w:rPr>
        <w:t xml:space="preserve"> osnovala je Garan</w:t>
      </w:r>
      <w:r w:rsidR="00621347">
        <w:rPr>
          <w:rFonts w:ascii="Arial" w:hAnsi="Arial" w:cs="Arial"/>
          <w:szCs w:val="24"/>
          <w:lang w:val="hr-HR"/>
        </w:rPr>
        <w:t>cijski</w:t>
      </w:r>
      <w:r w:rsidRPr="00D912D1">
        <w:rPr>
          <w:rFonts w:ascii="Arial" w:hAnsi="Arial" w:cs="Arial"/>
          <w:szCs w:val="24"/>
          <w:lang w:val="hr-HR"/>
        </w:rPr>
        <w:t xml:space="preserve"> fond pri Razvojnoj banci</w:t>
      </w:r>
      <w:r w:rsidR="00EB3959" w:rsidRPr="00445180">
        <w:rPr>
          <w:rFonts w:ascii="Arial" w:hAnsi="Arial" w:cs="Arial"/>
          <w:szCs w:val="24"/>
          <w:lang w:val="hr-HR"/>
        </w:rPr>
        <w:t xml:space="preserve"> Federacije B</w:t>
      </w:r>
      <w:r w:rsidR="00EA5371" w:rsidRPr="00445180">
        <w:rPr>
          <w:rFonts w:ascii="Arial" w:hAnsi="Arial" w:cs="Arial"/>
          <w:szCs w:val="24"/>
          <w:lang w:val="hr-HR"/>
        </w:rPr>
        <w:t>iH</w:t>
      </w:r>
      <w:r w:rsidR="00621347">
        <w:rPr>
          <w:rFonts w:ascii="Arial" w:hAnsi="Arial" w:cs="Arial"/>
          <w:szCs w:val="24"/>
          <w:lang w:val="hr-HR"/>
        </w:rPr>
        <w:t>, s</w:t>
      </w:r>
      <w:r w:rsidRPr="00D912D1">
        <w:rPr>
          <w:rFonts w:ascii="Arial" w:hAnsi="Arial" w:cs="Arial"/>
          <w:szCs w:val="24"/>
          <w:lang w:val="hr-HR"/>
        </w:rPr>
        <w:t xml:space="preserve"> ukupnim garan</w:t>
      </w:r>
      <w:r w:rsidR="00621347">
        <w:rPr>
          <w:rFonts w:ascii="Arial" w:hAnsi="Arial" w:cs="Arial"/>
          <w:szCs w:val="24"/>
          <w:lang w:val="hr-HR"/>
        </w:rPr>
        <w:t>cijskim</w:t>
      </w:r>
      <w:r w:rsidRPr="00D912D1">
        <w:rPr>
          <w:rFonts w:ascii="Arial" w:hAnsi="Arial" w:cs="Arial"/>
          <w:szCs w:val="24"/>
          <w:lang w:val="hr-HR"/>
        </w:rPr>
        <w:t xml:space="preserve"> potencijalom od 500 mil. KM. </w:t>
      </w:r>
      <w:r w:rsidR="00EB3959" w:rsidRPr="00445180">
        <w:rPr>
          <w:rFonts w:ascii="Arial" w:hAnsi="Arial" w:cs="Arial"/>
          <w:szCs w:val="24"/>
          <w:lang w:val="hr-HR"/>
        </w:rPr>
        <w:t>Ukupna sredstva fon</w:t>
      </w:r>
      <w:r w:rsidR="00610D14" w:rsidRPr="00445180">
        <w:rPr>
          <w:rFonts w:ascii="Arial" w:hAnsi="Arial" w:cs="Arial"/>
          <w:szCs w:val="24"/>
          <w:lang w:val="hr-HR"/>
        </w:rPr>
        <w:t>da na 31.</w:t>
      </w:r>
      <w:r w:rsidR="00621347">
        <w:rPr>
          <w:rFonts w:ascii="Arial" w:hAnsi="Arial" w:cs="Arial"/>
          <w:szCs w:val="24"/>
          <w:lang w:val="hr-HR"/>
        </w:rPr>
        <w:t xml:space="preserve"> </w:t>
      </w:r>
      <w:r w:rsidR="00610D14" w:rsidRPr="00445180">
        <w:rPr>
          <w:rFonts w:ascii="Arial" w:hAnsi="Arial" w:cs="Arial"/>
          <w:szCs w:val="24"/>
          <w:lang w:val="hr-HR"/>
        </w:rPr>
        <w:t>12.</w:t>
      </w:r>
      <w:r w:rsidR="00621347">
        <w:rPr>
          <w:rFonts w:ascii="Arial" w:hAnsi="Arial" w:cs="Arial"/>
          <w:szCs w:val="24"/>
          <w:lang w:val="hr-HR"/>
        </w:rPr>
        <w:t xml:space="preserve"> </w:t>
      </w:r>
      <w:r w:rsidR="00610D14" w:rsidRPr="00445180">
        <w:rPr>
          <w:rFonts w:ascii="Arial" w:hAnsi="Arial" w:cs="Arial"/>
          <w:szCs w:val="24"/>
          <w:lang w:val="hr-HR"/>
        </w:rPr>
        <w:t xml:space="preserve">2021. su iznosila </w:t>
      </w:r>
      <w:r w:rsidR="00EB3959" w:rsidRPr="00445180">
        <w:rPr>
          <w:rFonts w:ascii="Arial" w:hAnsi="Arial" w:cs="Arial"/>
          <w:szCs w:val="24"/>
          <w:lang w:val="hr-HR"/>
        </w:rPr>
        <w:t>100,09</w:t>
      </w:r>
      <w:r w:rsidR="00610D14" w:rsidRPr="00445180">
        <w:rPr>
          <w:rFonts w:ascii="Arial" w:hAnsi="Arial" w:cs="Arial"/>
          <w:szCs w:val="24"/>
          <w:lang w:val="hr-HR"/>
        </w:rPr>
        <w:t xml:space="preserve"> </w:t>
      </w:r>
      <w:r w:rsidR="00EB3959" w:rsidRPr="00445180">
        <w:rPr>
          <w:rFonts w:ascii="Arial" w:hAnsi="Arial" w:cs="Arial"/>
          <w:szCs w:val="24"/>
          <w:lang w:val="hr-HR"/>
        </w:rPr>
        <w:t xml:space="preserve">mil. </w:t>
      </w:r>
      <w:r w:rsidR="00EA5371" w:rsidRPr="00445180">
        <w:rPr>
          <w:rFonts w:ascii="Arial" w:hAnsi="Arial" w:cs="Arial"/>
          <w:szCs w:val="24"/>
          <w:lang w:val="hr-HR"/>
        </w:rPr>
        <w:t>KM,</w:t>
      </w:r>
      <w:r w:rsidR="00610D14" w:rsidRPr="00445180">
        <w:rPr>
          <w:rFonts w:ascii="Arial" w:hAnsi="Arial" w:cs="Arial"/>
          <w:szCs w:val="24"/>
          <w:lang w:val="hr-HR"/>
        </w:rPr>
        <w:t xml:space="preserve"> </w:t>
      </w:r>
      <w:r w:rsidR="00EA5371" w:rsidRPr="00445180">
        <w:rPr>
          <w:rFonts w:ascii="Arial" w:hAnsi="Arial" w:cs="Arial"/>
          <w:szCs w:val="24"/>
          <w:lang w:val="hr-HR"/>
        </w:rPr>
        <w:t xml:space="preserve">dok stanje izloženosti fonda prema stanju izdatih garancija iznosi </w:t>
      </w:r>
      <w:r w:rsidR="00EA5371" w:rsidRPr="00445180">
        <w:rPr>
          <w:rFonts w:ascii="Arial" w:hAnsi="Arial" w:cs="Arial"/>
          <w:szCs w:val="24"/>
          <w:lang w:val="hr-HR"/>
        </w:rPr>
        <w:br/>
        <w:t>83,76 mil KM</w:t>
      </w:r>
      <w:r w:rsidR="00610D14" w:rsidRPr="00445180">
        <w:rPr>
          <w:rFonts w:ascii="Arial" w:hAnsi="Arial" w:cs="Arial"/>
          <w:szCs w:val="24"/>
          <w:lang w:val="hr-HR"/>
        </w:rPr>
        <w:t xml:space="preserve">. </w:t>
      </w:r>
      <w:r w:rsidR="00EB3959" w:rsidRPr="00445180">
        <w:rPr>
          <w:rFonts w:ascii="Arial" w:hAnsi="Arial" w:cs="Arial"/>
          <w:szCs w:val="24"/>
          <w:lang w:val="hr-HR"/>
        </w:rPr>
        <w:t>Imajući u vidu da sredstva Gara</w:t>
      </w:r>
      <w:r w:rsidR="00EA5371" w:rsidRPr="00445180">
        <w:rPr>
          <w:rFonts w:ascii="Arial" w:hAnsi="Arial" w:cs="Arial"/>
          <w:szCs w:val="24"/>
          <w:lang w:val="hr-HR"/>
        </w:rPr>
        <w:t>n</w:t>
      </w:r>
      <w:r w:rsidR="00621347">
        <w:rPr>
          <w:rFonts w:ascii="Arial" w:hAnsi="Arial" w:cs="Arial"/>
          <w:szCs w:val="24"/>
          <w:lang w:val="hr-HR"/>
        </w:rPr>
        <w:t>cijskom</w:t>
      </w:r>
      <w:r w:rsidR="00EB3959" w:rsidRPr="00445180">
        <w:rPr>
          <w:rFonts w:ascii="Arial" w:hAnsi="Arial" w:cs="Arial"/>
          <w:szCs w:val="24"/>
          <w:lang w:val="hr-HR"/>
        </w:rPr>
        <w:t xml:space="preserve"> fonda</w:t>
      </w:r>
      <w:r w:rsidR="00CF521A" w:rsidRPr="00F1630F">
        <w:rPr>
          <w:rFonts w:ascii="Arial" w:hAnsi="Arial" w:cs="Arial"/>
          <w:szCs w:val="24"/>
          <w:lang w:val="hr-HR"/>
        </w:rPr>
        <w:t xml:space="preserve"> prelaze iznos garant</w:t>
      </w:r>
      <w:r w:rsidR="00621347">
        <w:rPr>
          <w:rFonts w:ascii="Arial" w:hAnsi="Arial" w:cs="Arial"/>
          <w:szCs w:val="24"/>
          <w:lang w:val="hr-HR"/>
        </w:rPr>
        <w:t>iranih obveza, ob</w:t>
      </w:r>
      <w:r w:rsidR="00CF521A" w:rsidRPr="00F1630F">
        <w:rPr>
          <w:rFonts w:ascii="Arial" w:hAnsi="Arial" w:cs="Arial"/>
          <w:szCs w:val="24"/>
          <w:lang w:val="hr-HR"/>
        </w:rPr>
        <w:t>veze po osnov</w:t>
      </w:r>
      <w:r w:rsidR="00621347">
        <w:rPr>
          <w:rFonts w:ascii="Arial" w:hAnsi="Arial" w:cs="Arial"/>
          <w:szCs w:val="24"/>
          <w:lang w:val="hr-HR"/>
        </w:rPr>
        <w:t>i</w:t>
      </w:r>
      <w:r w:rsidR="00CF521A" w:rsidRPr="00F1630F">
        <w:rPr>
          <w:rFonts w:ascii="Arial" w:hAnsi="Arial" w:cs="Arial"/>
          <w:szCs w:val="24"/>
          <w:lang w:val="hr-HR"/>
        </w:rPr>
        <w:t xml:space="preserve"> garancija</w:t>
      </w:r>
      <w:r w:rsidR="00621347">
        <w:rPr>
          <w:rFonts w:ascii="Arial" w:hAnsi="Arial" w:cs="Arial"/>
          <w:szCs w:val="24"/>
          <w:lang w:val="hr-HR"/>
        </w:rPr>
        <w:t xml:space="preserve"> nemaju nikakvog utje</w:t>
      </w:r>
      <w:r w:rsidR="00971028" w:rsidRPr="00F1630F">
        <w:rPr>
          <w:rFonts w:ascii="Arial" w:hAnsi="Arial" w:cs="Arial"/>
          <w:szCs w:val="24"/>
          <w:lang w:val="hr-HR"/>
        </w:rPr>
        <w:t xml:space="preserve">caja na </w:t>
      </w:r>
      <w:r w:rsidR="009A78EF">
        <w:rPr>
          <w:rFonts w:ascii="Arial" w:hAnsi="Arial" w:cs="Arial"/>
          <w:szCs w:val="24"/>
          <w:lang w:val="hr-HR"/>
        </w:rPr>
        <w:t>proračun</w:t>
      </w:r>
      <w:r w:rsidR="00971028" w:rsidRPr="00F1630F">
        <w:rPr>
          <w:rFonts w:ascii="Arial" w:hAnsi="Arial" w:cs="Arial"/>
          <w:szCs w:val="24"/>
          <w:lang w:val="hr-HR"/>
        </w:rPr>
        <w:t xml:space="preserve"> Federacije BiH</w:t>
      </w:r>
      <w:r w:rsidR="00CF521A" w:rsidRPr="00F1630F">
        <w:rPr>
          <w:rFonts w:ascii="Arial" w:hAnsi="Arial" w:cs="Arial"/>
          <w:szCs w:val="24"/>
          <w:lang w:val="hr-HR"/>
        </w:rPr>
        <w:t xml:space="preserve"> u </w:t>
      </w:r>
      <w:r w:rsidR="00A31C4D">
        <w:rPr>
          <w:rFonts w:ascii="Arial" w:hAnsi="Arial" w:cs="Arial"/>
          <w:szCs w:val="24"/>
          <w:lang w:val="hr-HR"/>
        </w:rPr>
        <w:t>razdoblju</w:t>
      </w:r>
      <w:r w:rsidR="00CF521A" w:rsidRPr="00F1630F">
        <w:rPr>
          <w:rFonts w:ascii="Arial" w:hAnsi="Arial" w:cs="Arial"/>
          <w:szCs w:val="24"/>
          <w:lang w:val="hr-HR"/>
        </w:rPr>
        <w:t xml:space="preserve"> na koji se odnosi strategija</w:t>
      </w:r>
      <w:r w:rsidR="00971028" w:rsidRPr="00F1630F">
        <w:rPr>
          <w:rFonts w:ascii="Arial" w:hAnsi="Arial" w:cs="Arial"/>
          <w:szCs w:val="24"/>
          <w:lang w:val="hr-HR"/>
        </w:rPr>
        <w:t>.</w:t>
      </w:r>
      <w:r w:rsidR="009F7274" w:rsidRPr="00445180">
        <w:rPr>
          <w:rFonts w:ascii="Arial" w:hAnsi="Arial" w:cs="Arial"/>
          <w:szCs w:val="24"/>
          <w:lang w:val="hr-HR"/>
        </w:rPr>
        <w:t xml:space="preserve"> </w:t>
      </w:r>
    </w:p>
    <w:p w14:paraId="5013985B" w14:textId="7C7CE337" w:rsidR="00ED768D" w:rsidRPr="00445180" w:rsidRDefault="00ED768D" w:rsidP="00445180">
      <w:pPr>
        <w:pStyle w:val="NoSpacing"/>
        <w:spacing w:line="276" w:lineRule="auto"/>
        <w:ind w:firstLine="420"/>
        <w:jc w:val="both"/>
        <w:rPr>
          <w:rFonts w:ascii="Arial" w:hAnsi="Arial" w:cs="Arial"/>
          <w:szCs w:val="24"/>
          <w:lang w:val="hr-HR"/>
        </w:rPr>
      </w:pPr>
      <w:r w:rsidRPr="00D912D1">
        <w:rPr>
          <w:rFonts w:ascii="Arial" w:hAnsi="Arial" w:cs="Arial"/>
          <w:szCs w:val="24"/>
          <w:lang w:val="hr-HR"/>
        </w:rPr>
        <w:t xml:space="preserve">U </w:t>
      </w:r>
      <w:r w:rsidR="00A31C4D">
        <w:rPr>
          <w:rFonts w:ascii="Arial" w:hAnsi="Arial" w:cs="Arial"/>
          <w:szCs w:val="24"/>
          <w:lang w:val="hr-HR"/>
        </w:rPr>
        <w:t>razdoblju</w:t>
      </w:r>
      <w:r w:rsidRPr="00D912D1">
        <w:rPr>
          <w:rFonts w:ascii="Arial" w:hAnsi="Arial" w:cs="Arial"/>
          <w:szCs w:val="24"/>
          <w:lang w:val="hr-HR"/>
        </w:rPr>
        <w:t xml:space="preserve"> </w:t>
      </w:r>
      <w:r w:rsidR="00C54B5C" w:rsidRPr="00F1630F">
        <w:rPr>
          <w:rFonts w:ascii="Arial" w:hAnsi="Arial" w:cs="Arial"/>
          <w:szCs w:val="24"/>
          <w:lang w:val="hr-HR"/>
        </w:rPr>
        <w:t xml:space="preserve">na </w:t>
      </w:r>
      <w:r w:rsidR="00626DB0" w:rsidRPr="00F1630F">
        <w:rPr>
          <w:rFonts w:ascii="Arial" w:hAnsi="Arial" w:cs="Arial"/>
          <w:szCs w:val="24"/>
          <w:lang w:val="hr-HR"/>
        </w:rPr>
        <w:t xml:space="preserve">koji </w:t>
      </w:r>
      <w:r w:rsidR="00C54B5C" w:rsidRPr="00F1630F">
        <w:rPr>
          <w:rFonts w:ascii="Arial" w:hAnsi="Arial" w:cs="Arial"/>
          <w:szCs w:val="24"/>
          <w:lang w:val="hr-HR"/>
        </w:rPr>
        <w:t>se odnosi</w:t>
      </w:r>
      <w:r w:rsidRPr="00F1630F">
        <w:rPr>
          <w:rFonts w:ascii="Arial" w:hAnsi="Arial" w:cs="Arial"/>
          <w:szCs w:val="24"/>
          <w:lang w:val="hr-HR"/>
        </w:rPr>
        <w:t xml:space="preserve"> ova Strategija ne </w:t>
      </w:r>
      <w:r w:rsidR="003A71C9" w:rsidRPr="00F1630F">
        <w:rPr>
          <w:rFonts w:ascii="Arial" w:hAnsi="Arial" w:cs="Arial"/>
          <w:szCs w:val="24"/>
          <w:lang w:val="hr-HR"/>
        </w:rPr>
        <w:t>očekuje se akt</w:t>
      </w:r>
      <w:r w:rsidR="007B1E0F" w:rsidRPr="00F1630F">
        <w:rPr>
          <w:rFonts w:ascii="Arial" w:hAnsi="Arial" w:cs="Arial"/>
          <w:szCs w:val="24"/>
          <w:lang w:val="hr-HR"/>
        </w:rPr>
        <w:t>iviranje garancij</w:t>
      </w:r>
      <w:r w:rsidR="00971028" w:rsidRPr="00F1630F">
        <w:rPr>
          <w:rFonts w:ascii="Arial" w:hAnsi="Arial" w:cs="Arial"/>
          <w:szCs w:val="24"/>
          <w:lang w:val="hr-HR"/>
        </w:rPr>
        <w:t>a</w:t>
      </w:r>
      <w:r w:rsidR="00EA5371" w:rsidRPr="00445180">
        <w:rPr>
          <w:rFonts w:ascii="Arial" w:hAnsi="Arial" w:cs="Arial"/>
          <w:szCs w:val="24"/>
          <w:lang w:val="hr-HR"/>
        </w:rPr>
        <w:t xml:space="preserve"> u mjeri u kojoj bi bilo potrebno osigurat</w:t>
      </w:r>
      <w:r w:rsidR="00610D14" w:rsidRPr="00445180">
        <w:rPr>
          <w:rFonts w:ascii="Arial" w:hAnsi="Arial" w:cs="Arial"/>
          <w:szCs w:val="24"/>
          <w:lang w:val="hr-HR"/>
        </w:rPr>
        <w:t>i</w:t>
      </w:r>
      <w:r w:rsidR="00EA5371" w:rsidRPr="00445180">
        <w:rPr>
          <w:rFonts w:ascii="Arial" w:hAnsi="Arial" w:cs="Arial"/>
          <w:szCs w:val="24"/>
          <w:lang w:val="hr-HR"/>
        </w:rPr>
        <w:t xml:space="preserve"> dodatna </w:t>
      </w:r>
      <w:r w:rsidR="009A78EF">
        <w:rPr>
          <w:rFonts w:ascii="Arial" w:hAnsi="Arial" w:cs="Arial"/>
          <w:szCs w:val="24"/>
          <w:lang w:val="hr-HR"/>
        </w:rPr>
        <w:t>proračun</w:t>
      </w:r>
      <w:r w:rsidR="00EA5371" w:rsidRPr="00445180">
        <w:rPr>
          <w:rFonts w:ascii="Arial" w:hAnsi="Arial" w:cs="Arial"/>
          <w:szCs w:val="24"/>
          <w:lang w:val="hr-HR"/>
        </w:rPr>
        <w:t>ska sredstva</w:t>
      </w:r>
      <w:r w:rsidR="007B1E0F" w:rsidRPr="00D912D1">
        <w:rPr>
          <w:rFonts w:ascii="Arial" w:hAnsi="Arial" w:cs="Arial"/>
          <w:szCs w:val="24"/>
          <w:lang w:val="hr-HR"/>
        </w:rPr>
        <w:t>, te stoga ni</w:t>
      </w:r>
      <w:r w:rsidR="00971028" w:rsidRPr="00D912D1">
        <w:rPr>
          <w:rFonts w:ascii="Arial" w:hAnsi="Arial" w:cs="Arial"/>
          <w:szCs w:val="24"/>
          <w:lang w:val="hr-HR"/>
        </w:rPr>
        <w:t>su</w:t>
      </w:r>
      <w:r w:rsidR="007B1E0F" w:rsidRPr="00F1630F">
        <w:rPr>
          <w:rFonts w:ascii="Arial" w:hAnsi="Arial" w:cs="Arial"/>
          <w:szCs w:val="24"/>
          <w:lang w:val="hr-HR"/>
        </w:rPr>
        <w:t xml:space="preserve"> uključen</w:t>
      </w:r>
      <w:r w:rsidR="00971028" w:rsidRPr="00F1630F">
        <w:rPr>
          <w:rFonts w:ascii="Arial" w:hAnsi="Arial" w:cs="Arial"/>
          <w:szCs w:val="24"/>
          <w:lang w:val="hr-HR"/>
        </w:rPr>
        <w:t>e</w:t>
      </w:r>
      <w:r w:rsidRPr="00F1630F">
        <w:rPr>
          <w:rFonts w:ascii="Arial" w:hAnsi="Arial" w:cs="Arial"/>
          <w:szCs w:val="24"/>
          <w:lang w:val="hr-HR"/>
        </w:rPr>
        <w:t xml:space="preserve"> u njen </w:t>
      </w:r>
      <w:r w:rsidR="00B96CF8" w:rsidRPr="00F1630F">
        <w:rPr>
          <w:rFonts w:ascii="Arial" w:hAnsi="Arial" w:cs="Arial"/>
          <w:szCs w:val="24"/>
          <w:lang w:val="hr-HR"/>
        </w:rPr>
        <w:t>obuhvat</w:t>
      </w:r>
      <w:r w:rsidRPr="00F1630F">
        <w:rPr>
          <w:rFonts w:ascii="Arial" w:hAnsi="Arial" w:cs="Arial"/>
          <w:szCs w:val="24"/>
          <w:lang w:val="hr-HR"/>
        </w:rPr>
        <w:t>.</w:t>
      </w:r>
      <w:r w:rsidRPr="00445180">
        <w:rPr>
          <w:rFonts w:ascii="Arial" w:hAnsi="Arial" w:cs="Arial"/>
          <w:szCs w:val="24"/>
          <w:lang w:val="hr-HR"/>
        </w:rPr>
        <w:t xml:space="preserve"> </w:t>
      </w:r>
    </w:p>
    <w:p w14:paraId="1AC8C53C" w14:textId="77777777" w:rsidR="00680559" w:rsidRPr="00AF7CAC" w:rsidRDefault="00680559" w:rsidP="00E86486">
      <w:pPr>
        <w:pStyle w:val="NoSpacing"/>
        <w:spacing w:line="276" w:lineRule="auto"/>
        <w:ind w:firstLine="284"/>
        <w:jc w:val="both"/>
        <w:rPr>
          <w:rFonts w:ascii="Arial" w:hAnsi="Arial" w:cs="Arial"/>
          <w:lang w:val="hr-HR"/>
        </w:rPr>
      </w:pPr>
    </w:p>
    <w:p w14:paraId="23435109" w14:textId="31453E21" w:rsidR="00ED768D" w:rsidRPr="00AF7CAC" w:rsidRDefault="00ED768D" w:rsidP="00E86486">
      <w:pPr>
        <w:pStyle w:val="Heading3"/>
        <w:spacing w:before="0"/>
        <w:ind w:firstLine="709"/>
        <w:rPr>
          <w:b w:val="0"/>
          <w:color w:val="auto"/>
          <w:sz w:val="24"/>
        </w:rPr>
      </w:pPr>
      <w:bookmarkStart w:id="117" w:name="_Toc100823756"/>
      <w:r w:rsidRPr="005B3433">
        <w:rPr>
          <w:rFonts w:ascii="Arial" w:hAnsi="Arial" w:cs="Arial"/>
          <w:b w:val="0"/>
          <w:color w:val="auto"/>
        </w:rPr>
        <w:t>4.5.2</w:t>
      </w:r>
      <w:r w:rsidR="004457DE">
        <w:rPr>
          <w:rFonts w:ascii="Arial" w:hAnsi="Arial" w:cs="Arial"/>
          <w:b w:val="0"/>
          <w:color w:val="auto"/>
        </w:rPr>
        <w:t>.</w:t>
      </w:r>
      <w:r w:rsidRPr="005B3433">
        <w:rPr>
          <w:b w:val="0"/>
          <w:color w:val="auto"/>
        </w:rPr>
        <w:tab/>
      </w:r>
      <w:r w:rsidR="00621347">
        <w:rPr>
          <w:rFonts w:ascii="Arial" w:hAnsi="Arial" w:cs="Arial"/>
          <w:b w:val="0"/>
          <w:color w:val="auto"/>
        </w:rPr>
        <w:t>Preuzimanje ob</w:t>
      </w:r>
      <w:r w:rsidRPr="005B3433">
        <w:rPr>
          <w:rFonts w:ascii="Arial" w:hAnsi="Arial" w:cs="Arial"/>
          <w:b w:val="0"/>
          <w:color w:val="auto"/>
        </w:rPr>
        <w:t>veza krajnjih korisnika</w:t>
      </w:r>
      <w:bookmarkEnd w:id="117"/>
      <w:r w:rsidR="00A24BB0" w:rsidRPr="005B3433">
        <w:rPr>
          <w:rFonts w:ascii="Arial" w:hAnsi="Arial" w:cs="Arial"/>
          <w:b w:val="0"/>
          <w:color w:val="auto"/>
        </w:rPr>
        <w:t xml:space="preserve"> </w:t>
      </w:r>
    </w:p>
    <w:p w14:paraId="68888F9F" w14:textId="77777777" w:rsidR="00B60AE7" w:rsidRPr="00AF7CAC" w:rsidRDefault="00B60AE7" w:rsidP="00E86486">
      <w:pPr>
        <w:pStyle w:val="NoSpacing"/>
        <w:rPr>
          <w:rFonts w:ascii="Arial" w:hAnsi="Arial" w:cs="Arial"/>
          <w:sz w:val="24"/>
          <w:szCs w:val="24"/>
          <w:lang w:val="hr-HR"/>
        </w:rPr>
      </w:pPr>
    </w:p>
    <w:p w14:paraId="7681D1EF" w14:textId="348853F8" w:rsidR="00E86486" w:rsidRDefault="00CC0A22" w:rsidP="00E01E9C">
      <w:pPr>
        <w:pStyle w:val="NoSpacing"/>
        <w:spacing w:line="276" w:lineRule="auto"/>
        <w:ind w:firstLine="420"/>
        <w:jc w:val="both"/>
        <w:rPr>
          <w:rFonts w:ascii="Arial" w:hAnsi="Arial" w:cs="Arial"/>
          <w:sz w:val="24"/>
          <w:szCs w:val="24"/>
          <w:lang w:val="hr-HR"/>
        </w:rPr>
      </w:pPr>
      <w:r w:rsidRPr="005B3433">
        <w:rPr>
          <w:rFonts w:ascii="Arial" w:hAnsi="Arial" w:cs="Arial"/>
          <w:szCs w:val="24"/>
          <w:lang w:val="hr-HR"/>
        </w:rPr>
        <w:t xml:space="preserve">Iako </w:t>
      </w:r>
      <w:r w:rsidR="00ED768D" w:rsidRPr="005B3433">
        <w:rPr>
          <w:rFonts w:ascii="Arial" w:hAnsi="Arial" w:cs="Arial"/>
          <w:szCs w:val="24"/>
          <w:lang w:val="hr-HR"/>
        </w:rPr>
        <w:t>Zakon o dugu u FB</w:t>
      </w:r>
      <w:r w:rsidR="00621347">
        <w:rPr>
          <w:rFonts w:ascii="Arial" w:hAnsi="Arial" w:cs="Arial"/>
          <w:szCs w:val="24"/>
          <w:lang w:val="hr-HR"/>
        </w:rPr>
        <w:t>i</w:t>
      </w:r>
      <w:r w:rsidR="00ED768D" w:rsidRPr="005B3433">
        <w:rPr>
          <w:rFonts w:ascii="Arial" w:hAnsi="Arial" w:cs="Arial"/>
          <w:szCs w:val="24"/>
          <w:lang w:val="hr-HR"/>
        </w:rPr>
        <w:t xml:space="preserve">H propisuje da dug kantona, gradova, općina i javnih </w:t>
      </w:r>
      <w:r w:rsidR="00764674" w:rsidRPr="005B3433">
        <w:rPr>
          <w:rFonts w:ascii="Arial" w:hAnsi="Arial" w:cs="Arial"/>
          <w:szCs w:val="24"/>
          <w:lang w:val="hr-HR"/>
        </w:rPr>
        <w:t>p</w:t>
      </w:r>
      <w:r w:rsidR="00621347">
        <w:rPr>
          <w:rFonts w:ascii="Arial" w:hAnsi="Arial" w:cs="Arial"/>
          <w:szCs w:val="24"/>
          <w:lang w:val="hr-HR"/>
        </w:rPr>
        <w:t>o</w:t>
      </w:r>
      <w:r w:rsidR="00764674" w:rsidRPr="005B3433">
        <w:rPr>
          <w:rFonts w:ascii="Arial" w:hAnsi="Arial" w:cs="Arial"/>
          <w:szCs w:val="24"/>
          <w:lang w:val="hr-HR"/>
        </w:rPr>
        <w:t xml:space="preserve">duzeća </w:t>
      </w:r>
      <w:r w:rsidR="00ED768D" w:rsidRPr="005B3433">
        <w:rPr>
          <w:rFonts w:ascii="Arial" w:hAnsi="Arial" w:cs="Arial"/>
          <w:szCs w:val="24"/>
          <w:lang w:val="hr-HR"/>
        </w:rPr>
        <w:t xml:space="preserve">predstavlja </w:t>
      </w:r>
      <w:r w:rsidR="00AC2BD3" w:rsidRPr="005B3433">
        <w:rPr>
          <w:rFonts w:ascii="Arial" w:hAnsi="Arial" w:cs="Arial"/>
          <w:szCs w:val="24"/>
          <w:lang w:val="hr-HR"/>
        </w:rPr>
        <w:t>nj</w:t>
      </w:r>
      <w:r w:rsidR="00621347">
        <w:rPr>
          <w:rFonts w:ascii="Arial" w:hAnsi="Arial" w:cs="Arial"/>
          <w:szCs w:val="24"/>
          <w:lang w:val="hr-HR"/>
        </w:rPr>
        <w:t>ihovu apsolutnu i bezuvjetnu ob</w:t>
      </w:r>
      <w:r w:rsidR="00AC2BD3" w:rsidRPr="005B3433">
        <w:rPr>
          <w:rFonts w:ascii="Arial" w:hAnsi="Arial" w:cs="Arial"/>
          <w:szCs w:val="24"/>
          <w:lang w:val="hr-HR"/>
        </w:rPr>
        <w:t>vezu i ne predstavl</w:t>
      </w:r>
      <w:r w:rsidR="00621347">
        <w:rPr>
          <w:rFonts w:ascii="Arial" w:hAnsi="Arial" w:cs="Arial"/>
          <w:szCs w:val="24"/>
          <w:lang w:val="hr-HR"/>
        </w:rPr>
        <w:t>ja ni direktnu ni indirektnu ob</w:t>
      </w:r>
      <w:r w:rsidR="00AC2BD3" w:rsidRPr="005B3433">
        <w:rPr>
          <w:rFonts w:ascii="Arial" w:hAnsi="Arial" w:cs="Arial"/>
          <w:szCs w:val="24"/>
          <w:lang w:val="hr-HR"/>
        </w:rPr>
        <w:t>vezu F</w:t>
      </w:r>
      <w:r w:rsidR="0070171F" w:rsidRPr="005B3433">
        <w:rPr>
          <w:rFonts w:ascii="Arial" w:hAnsi="Arial" w:cs="Arial"/>
          <w:szCs w:val="24"/>
          <w:lang w:val="hr-HR"/>
        </w:rPr>
        <w:t xml:space="preserve">ederacije </w:t>
      </w:r>
      <w:r w:rsidR="00AC2BD3" w:rsidRPr="005B3433">
        <w:rPr>
          <w:rFonts w:ascii="Arial" w:hAnsi="Arial" w:cs="Arial"/>
          <w:szCs w:val="24"/>
          <w:lang w:val="hr-HR"/>
        </w:rPr>
        <w:t>BiH,</w:t>
      </w:r>
      <w:r w:rsidR="00ED768D" w:rsidRPr="005B3433">
        <w:rPr>
          <w:rFonts w:ascii="Arial" w:hAnsi="Arial" w:cs="Arial"/>
          <w:szCs w:val="24"/>
          <w:lang w:val="hr-HR"/>
        </w:rPr>
        <w:t xml:space="preserve"> trenutna </w:t>
      </w:r>
      <w:r w:rsidR="009A78EF">
        <w:rPr>
          <w:rFonts w:ascii="Arial" w:hAnsi="Arial" w:cs="Arial"/>
          <w:szCs w:val="24"/>
          <w:lang w:val="hr-HR"/>
        </w:rPr>
        <w:t>financ</w:t>
      </w:r>
      <w:r w:rsidR="00ED768D" w:rsidRPr="005B3433">
        <w:rPr>
          <w:rFonts w:ascii="Arial" w:hAnsi="Arial" w:cs="Arial"/>
          <w:szCs w:val="24"/>
          <w:lang w:val="hr-HR"/>
        </w:rPr>
        <w:t xml:space="preserve">ijska pozicija nekoliko kantona, općina i javnih </w:t>
      </w:r>
      <w:r w:rsidR="0070171F" w:rsidRPr="005B3433">
        <w:rPr>
          <w:rFonts w:ascii="Arial" w:hAnsi="Arial" w:cs="Arial"/>
          <w:szCs w:val="24"/>
          <w:lang w:val="hr-HR"/>
        </w:rPr>
        <w:t>p</w:t>
      </w:r>
      <w:r w:rsidR="00621347">
        <w:rPr>
          <w:rFonts w:ascii="Arial" w:hAnsi="Arial" w:cs="Arial"/>
          <w:szCs w:val="24"/>
          <w:lang w:val="hr-HR"/>
        </w:rPr>
        <w:t>o</w:t>
      </w:r>
      <w:r w:rsidR="0070171F" w:rsidRPr="005B3433">
        <w:rPr>
          <w:rFonts w:ascii="Arial" w:hAnsi="Arial" w:cs="Arial"/>
          <w:szCs w:val="24"/>
          <w:lang w:val="hr-HR"/>
        </w:rPr>
        <w:t>duzeća</w:t>
      </w:r>
      <w:r w:rsidR="00ED768D" w:rsidRPr="005B3433">
        <w:rPr>
          <w:rFonts w:ascii="Arial" w:hAnsi="Arial" w:cs="Arial"/>
          <w:szCs w:val="24"/>
          <w:lang w:val="hr-HR"/>
        </w:rPr>
        <w:t xml:space="preserve"> kojima je F</w:t>
      </w:r>
      <w:r w:rsidR="0070171F" w:rsidRPr="005B3433">
        <w:rPr>
          <w:rFonts w:ascii="Arial" w:hAnsi="Arial" w:cs="Arial"/>
          <w:szCs w:val="24"/>
          <w:lang w:val="hr-HR"/>
        </w:rPr>
        <w:t xml:space="preserve">ederacija </w:t>
      </w:r>
      <w:r w:rsidR="00ED768D" w:rsidRPr="005B3433">
        <w:rPr>
          <w:rFonts w:ascii="Arial" w:hAnsi="Arial" w:cs="Arial"/>
          <w:szCs w:val="24"/>
          <w:lang w:val="hr-HR"/>
        </w:rPr>
        <w:t>BiH proslijedila kredite</w:t>
      </w:r>
      <w:r w:rsidR="00AC2BD3" w:rsidRPr="005B3433">
        <w:rPr>
          <w:rFonts w:ascii="Arial" w:hAnsi="Arial" w:cs="Arial"/>
          <w:szCs w:val="24"/>
          <w:lang w:val="hr-HR"/>
        </w:rPr>
        <w:t>,</w:t>
      </w:r>
      <w:r w:rsidR="00ED768D" w:rsidRPr="005B3433">
        <w:rPr>
          <w:rFonts w:ascii="Arial" w:hAnsi="Arial" w:cs="Arial"/>
          <w:szCs w:val="24"/>
          <w:lang w:val="hr-HR"/>
        </w:rPr>
        <w:t xml:space="preserve"> ukazuje na moguće teškoće u servisiranju njihovih </w:t>
      </w:r>
      <w:r w:rsidR="00621347">
        <w:rPr>
          <w:rFonts w:ascii="Arial" w:hAnsi="Arial" w:cs="Arial"/>
          <w:szCs w:val="24"/>
          <w:lang w:val="hr-HR"/>
        </w:rPr>
        <w:t>ob</w:t>
      </w:r>
      <w:r w:rsidR="00ED768D" w:rsidRPr="00E86486">
        <w:rPr>
          <w:rFonts w:ascii="Arial" w:hAnsi="Arial" w:cs="Arial"/>
          <w:szCs w:val="24"/>
          <w:lang w:val="hr-HR"/>
        </w:rPr>
        <w:t>veza.</w:t>
      </w:r>
    </w:p>
    <w:p w14:paraId="506F74CF" w14:textId="77777777" w:rsidR="005B3433" w:rsidRPr="00AF7CAC" w:rsidRDefault="005B3433" w:rsidP="00E01E9C">
      <w:pPr>
        <w:pStyle w:val="NoSpacing"/>
        <w:spacing w:line="276" w:lineRule="auto"/>
        <w:ind w:firstLine="420"/>
        <w:jc w:val="both"/>
        <w:rPr>
          <w:rFonts w:ascii="Arial" w:hAnsi="Arial" w:cs="Arial"/>
          <w:sz w:val="24"/>
          <w:szCs w:val="24"/>
          <w:lang w:val="hr-HR"/>
        </w:rPr>
      </w:pPr>
    </w:p>
    <w:p w14:paraId="03AFEEEB" w14:textId="3ABDF3B2" w:rsidR="00ED768D" w:rsidRPr="00AF7CAC" w:rsidRDefault="00ED768D" w:rsidP="00ED768D">
      <w:pPr>
        <w:pStyle w:val="Heading1"/>
        <w:numPr>
          <w:ilvl w:val="0"/>
          <w:numId w:val="10"/>
        </w:numPr>
        <w:spacing w:before="0" w:line="240" w:lineRule="auto"/>
        <w:rPr>
          <w:rFonts w:ascii="Arial" w:hAnsi="Arial" w:cs="Arial"/>
          <w:b w:val="0"/>
          <w:color w:val="auto"/>
        </w:rPr>
      </w:pPr>
      <w:bookmarkStart w:id="118" w:name="_Toc100823757"/>
      <w:r w:rsidRPr="00E86486">
        <w:rPr>
          <w:rFonts w:ascii="Arial" w:hAnsi="Arial" w:cs="Arial"/>
          <w:b w:val="0"/>
          <w:color w:val="auto"/>
          <w:sz w:val="24"/>
        </w:rPr>
        <w:t>MAKROEKONOMSKI OKVIR</w:t>
      </w:r>
      <w:bookmarkEnd w:id="118"/>
    </w:p>
    <w:p w14:paraId="0F6D4F8B" w14:textId="77777777" w:rsidR="000151BF" w:rsidRPr="00AF7CAC" w:rsidRDefault="000151BF" w:rsidP="00ED768D">
      <w:pPr>
        <w:pStyle w:val="NoSpacing"/>
        <w:rPr>
          <w:rFonts w:ascii="Arial" w:hAnsi="Arial" w:cs="Arial"/>
          <w:color w:val="E36C0A" w:themeColor="accent6" w:themeShade="BF"/>
          <w:lang w:val="hr-HR"/>
        </w:rPr>
      </w:pPr>
    </w:p>
    <w:p w14:paraId="6F913460" w14:textId="77777777" w:rsidR="00104779" w:rsidRDefault="00104779" w:rsidP="00ED768D">
      <w:pPr>
        <w:pStyle w:val="NoSpacing"/>
        <w:rPr>
          <w:rFonts w:ascii="Arial" w:hAnsi="Arial" w:cs="Arial"/>
          <w:color w:val="E36C0A" w:themeColor="accent6" w:themeShade="BF"/>
          <w:lang w:val="hr-HR"/>
        </w:rPr>
      </w:pPr>
    </w:p>
    <w:p w14:paraId="68B50550" w14:textId="45FDF054" w:rsidR="005B244F" w:rsidRPr="00445180" w:rsidRDefault="005B244F" w:rsidP="00445180">
      <w:pPr>
        <w:ind w:firstLine="420"/>
        <w:jc w:val="both"/>
        <w:rPr>
          <w:rFonts w:ascii="Arial" w:hAnsi="Arial" w:cs="Arial"/>
        </w:rPr>
      </w:pPr>
      <w:r w:rsidRPr="00445180">
        <w:rPr>
          <w:rFonts w:ascii="Arial" w:hAnsi="Arial" w:cs="Arial"/>
        </w:rPr>
        <w:t>U 2021. godi</w:t>
      </w:r>
      <w:r w:rsidR="00621347">
        <w:rPr>
          <w:rFonts w:ascii="Arial" w:hAnsi="Arial" w:cs="Arial"/>
        </w:rPr>
        <w:t>ni se projicira oporavak i rast</w:t>
      </w:r>
      <w:r w:rsidRPr="00445180">
        <w:rPr>
          <w:rFonts w:ascii="Arial" w:hAnsi="Arial" w:cs="Arial"/>
        </w:rPr>
        <w:t xml:space="preserve"> globalne ekonomije, ekonomije EU pa tako i BH ekonomije. </w:t>
      </w:r>
    </w:p>
    <w:p w14:paraId="51795D91" w14:textId="69C9B6C1" w:rsidR="00347DA9" w:rsidRDefault="005B244F" w:rsidP="00621347">
      <w:pPr>
        <w:ind w:firstLine="420"/>
        <w:jc w:val="both"/>
        <w:rPr>
          <w:rFonts w:ascii="Arial" w:hAnsi="Arial" w:cs="Arial"/>
        </w:rPr>
      </w:pPr>
      <w:r w:rsidRPr="00445180">
        <w:rPr>
          <w:rFonts w:ascii="Arial" w:hAnsi="Arial" w:cs="Arial"/>
        </w:rPr>
        <w:t>U jesen 2021. godine Direkcija za ekonomsko planiranje (DEP)</w:t>
      </w:r>
      <w:r w:rsidRPr="00445180">
        <w:rPr>
          <w:rStyle w:val="FootnoteReference"/>
          <w:rFonts w:ascii="Arial" w:hAnsi="Arial" w:cs="Arial"/>
        </w:rPr>
        <w:footnoteReference w:id="7"/>
      </w:r>
      <w:r w:rsidRPr="00445180">
        <w:rPr>
          <w:rFonts w:ascii="Arial" w:hAnsi="Arial" w:cs="Arial"/>
        </w:rPr>
        <w:t xml:space="preserve"> pri Vijeću ministara BiH je projicirala oporavak</w:t>
      </w:r>
      <w:r w:rsidR="00621347">
        <w:rPr>
          <w:rFonts w:ascii="Arial" w:hAnsi="Arial" w:cs="Arial"/>
        </w:rPr>
        <w:t xml:space="preserve"> ekonomije BiH u 2021. godini s</w:t>
      </w:r>
      <w:r w:rsidRPr="00445180">
        <w:rPr>
          <w:rFonts w:ascii="Arial" w:hAnsi="Arial" w:cs="Arial"/>
        </w:rPr>
        <w:t xml:space="preserve"> rastom BDP</w:t>
      </w:r>
      <w:r w:rsidR="001C0FDB">
        <w:rPr>
          <w:rFonts w:ascii="Arial" w:hAnsi="Arial" w:cs="Arial"/>
        </w:rPr>
        <w:t>-</w:t>
      </w:r>
      <w:r w:rsidRPr="00445180">
        <w:rPr>
          <w:rFonts w:ascii="Arial" w:hAnsi="Arial" w:cs="Arial"/>
        </w:rPr>
        <w:t xml:space="preserve">a od 3,1%, a u </w:t>
      </w:r>
      <w:r w:rsidR="00A31C4D">
        <w:rPr>
          <w:rFonts w:ascii="Arial" w:hAnsi="Arial" w:cs="Arial"/>
        </w:rPr>
        <w:t>razdoblju</w:t>
      </w:r>
      <w:r w:rsidRPr="00445180">
        <w:rPr>
          <w:rFonts w:ascii="Arial" w:hAnsi="Arial" w:cs="Arial"/>
        </w:rPr>
        <w:t xml:space="preserve"> 2022 - 2024. prosječan rast BDP</w:t>
      </w:r>
      <w:r w:rsidR="001C0FDB">
        <w:rPr>
          <w:rFonts w:ascii="Arial" w:hAnsi="Arial" w:cs="Arial"/>
        </w:rPr>
        <w:t>-a</w:t>
      </w:r>
      <w:r w:rsidRPr="00445180">
        <w:rPr>
          <w:rFonts w:ascii="Arial" w:hAnsi="Arial" w:cs="Arial"/>
        </w:rPr>
        <w:t xml:space="preserve"> bi trebao rasti od 3,5%. Prognozira se da će na ovakav rast ekonomije najveći utjecaj imati poboljšanje ekonomskih kretanja u okruženju, koje predstavljaju najvažniju odrednicu ekonomskog rasta, i za koje se očekuje da će pozitivno utjecati na rast domaće proizvodnje, potrošnje, zaposlenosti </w:t>
      </w:r>
      <w:r w:rsidR="00621347">
        <w:rPr>
          <w:rFonts w:ascii="Arial" w:hAnsi="Arial" w:cs="Arial"/>
        </w:rPr>
        <w:t>i investicija.</w:t>
      </w:r>
    </w:p>
    <w:p w14:paraId="3A9CC5A4" w14:textId="5BE11C97" w:rsidR="005B244F" w:rsidRPr="00445180" w:rsidRDefault="005B244F" w:rsidP="00445180">
      <w:pPr>
        <w:ind w:firstLine="420"/>
        <w:jc w:val="both"/>
        <w:rPr>
          <w:rFonts w:ascii="Arial" w:hAnsi="Arial" w:cs="Arial"/>
        </w:rPr>
      </w:pPr>
      <w:r w:rsidRPr="00445180">
        <w:rPr>
          <w:rFonts w:ascii="Arial" w:hAnsi="Arial" w:cs="Arial"/>
        </w:rPr>
        <w:t xml:space="preserve">Prema </w:t>
      </w:r>
      <w:r w:rsidR="00621347">
        <w:rPr>
          <w:rFonts w:ascii="Arial" w:hAnsi="Arial" w:cs="Arial"/>
        </w:rPr>
        <w:t>službeno</w:t>
      </w:r>
      <w:r w:rsidRPr="00445180">
        <w:rPr>
          <w:rFonts w:ascii="Arial" w:hAnsi="Arial" w:cs="Arial"/>
        </w:rPr>
        <w:t xml:space="preserve"> objavljenim rezultatima, u prvom kvartalu 2021. godine u odnosu na isti kvartal prethodne godine, u BiH je ostvaren realan rast od 2,5%, dok je u drugom kvartalu došlo do rasta od 11,6%</w:t>
      </w:r>
      <w:r w:rsidRPr="00445180">
        <w:rPr>
          <w:rStyle w:val="FootnoteReference"/>
          <w:rFonts w:ascii="Arial" w:hAnsi="Arial" w:cs="Arial"/>
        </w:rPr>
        <w:footnoteReference w:id="8"/>
      </w:r>
      <w:r w:rsidRPr="00445180">
        <w:rPr>
          <w:rFonts w:ascii="Arial" w:hAnsi="Arial" w:cs="Arial"/>
        </w:rPr>
        <w:t xml:space="preserve">. Ovakav rast u drugom kvartalu je nastao uslijed rasta svih djelatnosti od kojih </w:t>
      </w:r>
      <w:r w:rsidRPr="00445180">
        <w:rPr>
          <w:rFonts w:ascii="Arial" w:hAnsi="Arial" w:cs="Arial"/>
        </w:rPr>
        <w:lastRenderedPageBreak/>
        <w:t xml:space="preserve">su najveći rast ostvaren kod izvoza roba i usluga od 51,3%, uvoza 38,8%, bruto investicija od 14,9%, te potrošnje domaćinstava od 13,2%. </w:t>
      </w:r>
    </w:p>
    <w:p w14:paraId="486AF4D2" w14:textId="2927AA0B" w:rsidR="00347DA9" w:rsidRDefault="005B244F" w:rsidP="00621347">
      <w:pPr>
        <w:ind w:firstLine="420"/>
        <w:jc w:val="both"/>
        <w:rPr>
          <w:rFonts w:ascii="Arial" w:hAnsi="Arial" w:cs="Arial"/>
        </w:rPr>
      </w:pPr>
      <w:r w:rsidRPr="00445180">
        <w:rPr>
          <w:rFonts w:ascii="Arial" w:hAnsi="Arial" w:cs="Arial"/>
        </w:rPr>
        <w:t xml:space="preserve">Za </w:t>
      </w:r>
      <w:r w:rsidR="00621347">
        <w:rPr>
          <w:rFonts w:ascii="Arial" w:hAnsi="Arial" w:cs="Arial"/>
        </w:rPr>
        <w:t>razdoblje</w:t>
      </w:r>
      <w:r w:rsidRPr="00445180">
        <w:rPr>
          <w:rFonts w:ascii="Arial" w:hAnsi="Arial" w:cs="Arial"/>
        </w:rPr>
        <w:t xml:space="preserve"> 2021</w:t>
      </w:r>
      <w:r w:rsidR="00CD4194">
        <w:rPr>
          <w:rFonts w:ascii="Arial" w:hAnsi="Arial" w:cs="Arial"/>
        </w:rPr>
        <w:t xml:space="preserve"> </w:t>
      </w:r>
      <w:r w:rsidRPr="00445180">
        <w:rPr>
          <w:rFonts w:ascii="Arial" w:hAnsi="Arial" w:cs="Arial"/>
        </w:rPr>
        <w:t>-</w:t>
      </w:r>
      <w:r w:rsidR="00CD4194">
        <w:rPr>
          <w:rFonts w:ascii="Arial" w:hAnsi="Arial" w:cs="Arial"/>
        </w:rPr>
        <w:t xml:space="preserve"> </w:t>
      </w:r>
      <w:r w:rsidRPr="00445180">
        <w:rPr>
          <w:rFonts w:ascii="Arial" w:hAnsi="Arial" w:cs="Arial"/>
        </w:rPr>
        <w:t>2023. godin</w:t>
      </w:r>
      <w:r w:rsidR="00621347">
        <w:rPr>
          <w:rFonts w:ascii="Arial" w:hAnsi="Arial" w:cs="Arial"/>
        </w:rPr>
        <w:t>a</w:t>
      </w:r>
      <w:r w:rsidRPr="00445180">
        <w:rPr>
          <w:rFonts w:ascii="Arial" w:hAnsi="Arial" w:cs="Arial"/>
        </w:rPr>
        <w:t xml:space="preserve"> DEP je projicirao oporavak BiH od 3,4%, 3,5% i 3,7% respektivno uz pretp</w:t>
      </w:r>
      <w:r w:rsidR="00621347">
        <w:rPr>
          <w:rFonts w:ascii="Arial" w:hAnsi="Arial" w:cs="Arial"/>
        </w:rPr>
        <w:t>ostavku poboljšanja situacije s</w:t>
      </w:r>
      <w:r w:rsidRPr="00445180">
        <w:rPr>
          <w:rFonts w:ascii="Arial" w:hAnsi="Arial" w:cs="Arial"/>
        </w:rPr>
        <w:t xml:space="preserve"> pandemijom, unapređenje ekonomskih kretanja u okruženju koje će dovesti do povoljnijeg poslovnog ambijenta u BiH.  </w:t>
      </w:r>
    </w:p>
    <w:p w14:paraId="4109BBF6" w14:textId="77777777" w:rsidR="005B244F" w:rsidRPr="00445180" w:rsidRDefault="005B244F" w:rsidP="005B244F">
      <w:pPr>
        <w:jc w:val="center"/>
        <w:rPr>
          <w:rFonts w:ascii="Arial" w:hAnsi="Arial" w:cs="Arial"/>
        </w:rPr>
      </w:pPr>
      <w:r w:rsidRPr="00445180">
        <w:rPr>
          <w:rFonts w:ascii="Arial" w:hAnsi="Arial" w:cs="Arial"/>
        </w:rPr>
        <w:t>Pregled rasta BDP-a u zemljama Zapadnog Balkana</w:t>
      </w:r>
    </w:p>
    <w:tbl>
      <w:tblPr>
        <w:tblW w:w="5000" w:type="pct"/>
        <w:jc w:val="center"/>
        <w:tblLook w:val="04A0" w:firstRow="1" w:lastRow="0" w:firstColumn="1" w:lastColumn="0" w:noHBand="0" w:noVBand="1"/>
      </w:tblPr>
      <w:tblGrid>
        <w:gridCol w:w="4102"/>
        <w:gridCol w:w="1317"/>
        <w:gridCol w:w="1298"/>
        <w:gridCol w:w="1298"/>
        <w:gridCol w:w="1298"/>
      </w:tblGrid>
      <w:tr w:rsidR="00347DA9" w:rsidRPr="00124ED1" w14:paraId="2E158ED3" w14:textId="77777777" w:rsidTr="00445180">
        <w:trPr>
          <w:trHeight w:val="339"/>
          <w:jc w:val="center"/>
        </w:trPr>
        <w:tc>
          <w:tcPr>
            <w:tcW w:w="2202" w:type="pct"/>
            <w:tcBorders>
              <w:top w:val="single" w:sz="8" w:space="0" w:color="95B3D7"/>
              <w:left w:val="single" w:sz="8" w:space="0" w:color="95B3D7"/>
              <w:bottom w:val="single" w:sz="8" w:space="0" w:color="95B3D7"/>
              <w:right w:val="single" w:sz="8" w:space="0" w:color="95B3D7"/>
            </w:tcBorders>
            <w:shd w:val="clear" w:color="auto" w:fill="auto"/>
            <w:noWrap/>
            <w:vAlign w:val="center"/>
            <w:hideMark/>
          </w:tcPr>
          <w:p w14:paraId="1B192EC4" w14:textId="77777777" w:rsidR="00124ED1" w:rsidRPr="00445180" w:rsidRDefault="00124ED1" w:rsidP="00124ED1">
            <w:pPr>
              <w:spacing w:after="0" w:line="240" w:lineRule="auto"/>
              <w:jc w:val="center"/>
              <w:rPr>
                <w:rFonts w:ascii="Arial Narrow" w:eastAsia="Times New Roman" w:hAnsi="Arial Narrow" w:cs="Calibri"/>
                <w:color w:val="000000"/>
                <w:lang w:val="en-US"/>
              </w:rPr>
            </w:pPr>
            <w:r w:rsidRPr="00445180">
              <w:rPr>
                <w:rFonts w:ascii="Arial Narrow" w:eastAsia="Times New Roman" w:hAnsi="Arial Narrow" w:cs="Calibri"/>
                <w:color w:val="000000"/>
              </w:rPr>
              <w:t>Projekcije</w:t>
            </w:r>
          </w:p>
        </w:tc>
        <w:tc>
          <w:tcPr>
            <w:tcW w:w="707" w:type="pct"/>
            <w:tcBorders>
              <w:top w:val="single" w:sz="8" w:space="0" w:color="95B3D7"/>
              <w:left w:val="nil"/>
              <w:bottom w:val="single" w:sz="8" w:space="0" w:color="95B3D7"/>
              <w:right w:val="single" w:sz="8" w:space="0" w:color="95B3D7"/>
            </w:tcBorders>
            <w:shd w:val="clear" w:color="auto" w:fill="auto"/>
            <w:noWrap/>
            <w:vAlign w:val="center"/>
            <w:hideMark/>
          </w:tcPr>
          <w:p w14:paraId="3023DA84" w14:textId="77777777" w:rsidR="00124ED1" w:rsidRPr="00445180" w:rsidRDefault="00124ED1" w:rsidP="00124ED1">
            <w:pPr>
              <w:spacing w:after="0" w:line="240" w:lineRule="auto"/>
              <w:jc w:val="center"/>
              <w:rPr>
                <w:rFonts w:ascii="Arial Narrow" w:eastAsia="Times New Roman" w:hAnsi="Arial Narrow" w:cs="Calibri"/>
                <w:color w:val="000000"/>
                <w:lang w:val="en-US"/>
              </w:rPr>
            </w:pPr>
            <w:r w:rsidRPr="00445180">
              <w:rPr>
                <w:rFonts w:ascii="Arial Narrow" w:eastAsia="Times New Roman" w:hAnsi="Arial Narrow" w:cs="Calibri"/>
                <w:color w:val="000000"/>
              </w:rPr>
              <w:t>2020</w:t>
            </w:r>
          </w:p>
        </w:tc>
        <w:tc>
          <w:tcPr>
            <w:tcW w:w="697" w:type="pct"/>
            <w:tcBorders>
              <w:top w:val="single" w:sz="8" w:space="0" w:color="95B3D7"/>
              <w:left w:val="nil"/>
              <w:bottom w:val="single" w:sz="8" w:space="0" w:color="95B3D7"/>
              <w:right w:val="single" w:sz="8" w:space="0" w:color="95B3D7"/>
            </w:tcBorders>
            <w:shd w:val="clear" w:color="auto" w:fill="auto"/>
            <w:noWrap/>
            <w:vAlign w:val="center"/>
            <w:hideMark/>
          </w:tcPr>
          <w:p w14:paraId="6A82C51B" w14:textId="77777777" w:rsidR="00124ED1" w:rsidRPr="00445180" w:rsidRDefault="00124ED1" w:rsidP="00124ED1">
            <w:pPr>
              <w:spacing w:after="0" w:line="240" w:lineRule="auto"/>
              <w:jc w:val="center"/>
              <w:rPr>
                <w:rFonts w:ascii="Arial Narrow" w:eastAsia="Times New Roman" w:hAnsi="Arial Narrow" w:cs="Calibri"/>
                <w:color w:val="000000"/>
                <w:lang w:val="en-US"/>
              </w:rPr>
            </w:pPr>
            <w:r w:rsidRPr="00445180">
              <w:rPr>
                <w:rFonts w:ascii="Arial Narrow" w:eastAsia="Times New Roman" w:hAnsi="Arial Narrow" w:cs="Calibri"/>
                <w:color w:val="000000"/>
              </w:rPr>
              <w:t>2021</w:t>
            </w:r>
          </w:p>
        </w:tc>
        <w:tc>
          <w:tcPr>
            <w:tcW w:w="697" w:type="pct"/>
            <w:tcBorders>
              <w:top w:val="single" w:sz="8" w:space="0" w:color="95B3D7"/>
              <w:left w:val="nil"/>
              <w:bottom w:val="single" w:sz="8" w:space="0" w:color="95B3D7"/>
              <w:right w:val="single" w:sz="8" w:space="0" w:color="95B3D7"/>
            </w:tcBorders>
            <w:shd w:val="clear" w:color="auto" w:fill="auto"/>
            <w:noWrap/>
            <w:vAlign w:val="center"/>
            <w:hideMark/>
          </w:tcPr>
          <w:p w14:paraId="35D07DC4" w14:textId="77777777" w:rsidR="00124ED1" w:rsidRPr="00445180" w:rsidRDefault="00124ED1" w:rsidP="00124ED1">
            <w:pPr>
              <w:spacing w:after="0" w:line="240" w:lineRule="auto"/>
              <w:jc w:val="center"/>
              <w:rPr>
                <w:rFonts w:ascii="Arial Narrow" w:eastAsia="Times New Roman" w:hAnsi="Arial Narrow" w:cs="Calibri"/>
                <w:color w:val="000000"/>
                <w:lang w:val="en-US"/>
              </w:rPr>
            </w:pPr>
            <w:r w:rsidRPr="00445180">
              <w:rPr>
                <w:rFonts w:ascii="Arial Narrow" w:eastAsia="Times New Roman" w:hAnsi="Arial Narrow" w:cs="Calibri"/>
                <w:color w:val="000000"/>
                <w:lang w:val="en-US"/>
              </w:rPr>
              <w:t>2022</w:t>
            </w:r>
          </w:p>
        </w:tc>
        <w:tc>
          <w:tcPr>
            <w:tcW w:w="697" w:type="pct"/>
            <w:tcBorders>
              <w:top w:val="single" w:sz="8" w:space="0" w:color="95B3D7"/>
              <w:left w:val="nil"/>
              <w:bottom w:val="single" w:sz="8" w:space="0" w:color="95B3D7"/>
              <w:right w:val="single" w:sz="8" w:space="0" w:color="95B3D7"/>
            </w:tcBorders>
            <w:shd w:val="clear" w:color="auto" w:fill="auto"/>
            <w:noWrap/>
            <w:vAlign w:val="center"/>
            <w:hideMark/>
          </w:tcPr>
          <w:p w14:paraId="1A75A3B1" w14:textId="77777777" w:rsidR="00124ED1" w:rsidRPr="00445180" w:rsidRDefault="00124ED1" w:rsidP="00124ED1">
            <w:pPr>
              <w:spacing w:after="0" w:line="240" w:lineRule="auto"/>
              <w:jc w:val="center"/>
              <w:rPr>
                <w:rFonts w:ascii="Arial Narrow" w:eastAsia="Times New Roman" w:hAnsi="Arial Narrow" w:cs="Calibri"/>
                <w:color w:val="000000"/>
                <w:lang w:val="en-US"/>
              </w:rPr>
            </w:pPr>
            <w:r w:rsidRPr="00445180">
              <w:rPr>
                <w:rFonts w:ascii="Arial Narrow" w:eastAsia="Times New Roman" w:hAnsi="Arial Narrow" w:cs="Calibri"/>
                <w:color w:val="000000"/>
                <w:lang w:val="en-US"/>
              </w:rPr>
              <w:t>2023</w:t>
            </w:r>
          </w:p>
        </w:tc>
      </w:tr>
      <w:tr w:rsidR="00347DA9" w:rsidRPr="00124ED1" w14:paraId="0E70B99F" w14:textId="77777777" w:rsidTr="00445180">
        <w:trPr>
          <w:trHeight w:val="339"/>
          <w:jc w:val="center"/>
        </w:trPr>
        <w:tc>
          <w:tcPr>
            <w:tcW w:w="2202" w:type="pct"/>
            <w:tcBorders>
              <w:top w:val="nil"/>
              <w:left w:val="single" w:sz="8" w:space="0" w:color="95B3D7"/>
              <w:bottom w:val="single" w:sz="8" w:space="0" w:color="95B3D7"/>
              <w:right w:val="single" w:sz="8" w:space="0" w:color="95B3D7"/>
            </w:tcBorders>
            <w:shd w:val="clear" w:color="000000" w:fill="DBE5F1"/>
            <w:noWrap/>
            <w:vAlign w:val="center"/>
            <w:hideMark/>
          </w:tcPr>
          <w:p w14:paraId="0C15001C" w14:textId="77777777" w:rsidR="00124ED1" w:rsidRPr="00445180" w:rsidRDefault="00124ED1" w:rsidP="00124ED1">
            <w:pPr>
              <w:spacing w:after="0" w:line="240" w:lineRule="auto"/>
              <w:rPr>
                <w:rFonts w:ascii="Arial Narrow" w:eastAsia="Times New Roman" w:hAnsi="Arial Narrow" w:cs="Calibri"/>
                <w:color w:val="000000"/>
                <w:lang w:val="en-US"/>
              </w:rPr>
            </w:pPr>
            <w:r w:rsidRPr="00445180">
              <w:rPr>
                <w:rFonts w:ascii="Arial Narrow" w:eastAsia="Times New Roman" w:hAnsi="Arial Narrow" w:cs="Calibri"/>
                <w:color w:val="000000"/>
                <w:lang w:val="en-US"/>
              </w:rPr>
              <w:t>Albanija</w:t>
            </w:r>
          </w:p>
        </w:tc>
        <w:tc>
          <w:tcPr>
            <w:tcW w:w="707" w:type="pct"/>
            <w:tcBorders>
              <w:top w:val="nil"/>
              <w:left w:val="nil"/>
              <w:bottom w:val="single" w:sz="8" w:space="0" w:color="95B3D7"/>
              <w:right w:val="single" w:sz="8" w:space="0" w:color="95B3D7"/>
            </w:tcBorders>
            <w:shd w:val="clear" w:color="000000" w:fill="DBE5F1"/>
            <w:noWrap/>
            <w:vAlign w:val="center"/>
            <w:hideMark/>
          </w:tcPr>
          <w:p w14:paraId="1CB1E247"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-4,0</w:t>
            </w:r>
          </w:p>
        </w:tc>
        <w:tc>
          <w:tcPr>
            <w:tcW w:w="697" w:type="pct"/>
            <w:tcBorders>
              <w:top w:val="nil"/>
              <w:left w:val="nil"/>
              <w:bottom w:val="single" w:sz="8" w:space="0" w:color="95B3D7"/>
              <w:right w:val="single" w:sz="8" w:space="0" w:color="95B3D7"/>
            </w:tcBorders>
            <w:shd w:val="clear" w:color="000000" w:fill="DBE5F1"/>
            <w:noWrap/>
            <w:vAlign w:val="center"/>
            <w:hideMark/>
          </w:tcPr>
          <w:p w14:paraId="6F4288CB"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7,2</w:t>
            </w:r>
          </w:p>
        </w:tc>
        <w:tc>
          <w:tcPr>
            <w:tcW w:w="697" w:type="pct"/>
            <w:tcBorders>
              <w:top w:val="nil"/>
              <w:left w:val="nil"/>
              <w:bottom w:val="single" w:sz="8" w:space="0" w:color="95B3D7"/>
              <w:right w:val="single" w:sz="8" w:space="0" w:color="95B3D7"/>
            </w:tcBorders>
            <w:shd w:val="clear" w:color="000000" w:fill="DBE5F1"/>
            <w:noWrap/>
            <w:vAlign w:val="center"/>
            <w:hideMark/>
          </w:tcPr>
          <w:p w14:paraId="6686CD21"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3,8</w:t>
            </w:r>
          </w:p>
        </w:tc>
        <w:tc>
          <w:tcPr>
            <w:tcW w:w="697" w:type="pct"/>
            <w:tcBorders>
              <w:top w:val="nil"/>
              <w:left w:val="nil"/>
              <w:bottom w:val="single" w:sz="8" w:space="0" w:color="95B3D7"/>
              <w:right w:val="single" w:sz="8" w:space="0" w:color="95B3D7"/>
            </w:tcBorders>
            <w:shd w:val="clear" w:color="000000" w:fill="DBE5F1"/>
            <w:noWrap/>
            <w:vAlign w:val="center"/>
            <w:hideMark/>
          </w:tcPr>
          <w:p w14:paraId="5C784EB7"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3,7</w:t>
            </w:r>
          </w:p>
        </w:tc>
      </w:tr>
      <w:tr w:rsidR="00347DA9" w:rsidRPr="00124ED1" w14:paraId="0D66D28A" w14:textId="77777777" w:rsidTr="00445180">
        <w:trPr>
          <w:trHeight w:val="339"/>
          <w:jc w:val="center"/>
        </w:trPr>
        <w:tc>
          <w:tcPr>
            <w:tcW w:w="2202" w:type="pct"/>
            <w:tcBorders>
              <w:top w:val="nil"/>
              <w:left w:val="single" w:sz="8" w:space="0" w:color="95B3D7"/>
              <w:bottom w:val="single" w:sz="8" w:space="0" w:color="95B3D7"/>
              <w:right w:val="single" w:sz="8" w:space="0" w:color="95B3D7"/>
            </w:tcBorders>
            <w:shd w:val="clear" w:color="auto" w:fill="auto"/>
            <w:noWrap/>
            <w:vAlign w:val="center"/>
            <w:hideMark/>
          </w:tcPr>
          <w:p w14:paraId="158DB4E6" w14:textId="77777777" w:rsidR="00124ED1" w:rsidRPr="00445180" w:rsidRDefault="00124ED1" w:rsidP="00124ED1">
            <w:pPr>
              <w:spacing w:after="0" w:line="240" w:lineRule="auto"/>
              <w:rPr>
                <w:rFonts w:ascii="Arial Narrow" w:eastAsia="Times New Roman" w:hAnsi="Arial Narrow" w:cs="Calibri"/>
                <w:color w:val="000000"/>
                <w:lang w:val="en-US"/>
              </w:rPr>
            </w:pPr>
            <w:r w:rsidRPr="00445180">
              <w:rPr>
                <w:rFonts w:ascii="Arial Narrow" w:eastAsia="Times New Roman" w:hAnsi="Arial Narrow" w:cs="Calibri"/>
                <w:color w:val="000000"/>
                <w:lang w:val="en-US"/>
              </w:rPr>
              <w:t>BiH</w:t>
            </w:r>
          </w:p>
        </w:tc>
        <w:tc>
          <w:tcPr>
            <w:tcW w:w="707" w:type="pct"/>
            <w:tcBorders>
              <w:top w:val="nil"/>
              <w:left w:val="nil"/>
              <w:bottom w:val="single" w:sz="8" w:space="0" w:color="95B3D7"/>
              <w:right w:val="single" w:sz="8" w:space="0" w:color="95B3D7"/>
            </w:tcBorders>
            <w:shd w:val="clear" w:color="auto" w:fill="auto"/>
            <w:noWrap/>
            <w:vAlign w:val="center"/>
            <w:hideMark/>
          </w:tcPr>
          <w:p w14:paraId="78618E81"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-3,2</w:t>
            </w:r>
          </w:p>
        </w:tc>
        <w:tc>
          <w:tcPr>
            <w:tcW w:w="697" w:type="pct"/>
            <w:tcBorders>
              <w:top w:val="nil"/>
              <w:left w:val="nil"/>
              <w:bottom w:val="single" w:sz="8" w:space="0" w:color="95B3D7"/>
              <w:right w:val="single" w:sz="8" w:space="0" w:color="95B3D7"/>
            </w:tcBorders>
            <w:shd w:val="clear" w:color="auto" w:fill="auto"/>
            <w:noWrap/>
            <w:vAlign w:val="center"/>
            <w:hideMark/>
          </w:tcPr>
          <w:p w14:paraId="51A4D87C"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4,0</w:t>
            </w:r>
          </w:p>
        </w:tc>
        <w:tc>
          <w:tcPr>
            <w:tcW w:w="697" w:type="pct"/>
            <w:tcBorders>
              <w:top w:val="nil"/>
              <w:left w:val="nil"/>
              <w:bottom w:val="single" w:sz="8" w:space="0" w:color="95B3D7"/>
              <w:right w:val="single" w:sz="8" w:space="0" w:color="95B3D7"/>
            </w:tcBorders>
            <w:shd w:val="clear" w:color="auto" w:fill="auto"/>
            <w:noWrap/>
            <w:vAlign w:val="center"/>
            <w:hideMark/>
          </w:tcPr>
          <w:p w14:paraId="3C11DCFF"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3,0</w:t>
            </w:r>
          </w:p>
        </w:tc>
        <w:tc>
          <w:tcPr>
            <w:tcW w:w="697" w:type="pct"/>
            <w:tcBorders>
              <w:top w:val="nil"/>
              <w:left w:val="nil"/>
              <w:bottom w:val="single" w:sz="8" w:space="0" w:color="95B3D7"/>
              <w:right w:val="single" w:sz="8" w:space="0" w:color="95B3D7"/>
            </w:tcBorders>
            <w:shd w:val="clear" w:color="auto" w:fill="auto"/>
            <w:noWrap/>
            <w:vAlign w:val="center"/>
            <w:hideMark/>
          </w:tcPr>
          <w:p w14:paraId="1457F536"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3,2</w:t>
            </w:r>
          </w:p>
        </w:tc>
      </w:tr>
      <w:tr w:rsidR="00347DA9" w:rsidRPr="00124ED1" w14:paraId="022103E0" w14:textId="77777777" w:rsidTr="00445180">
        <w:trPr>
          <w:trHeight w:val="339"/>
          <w:jc w:val="center"/>
        </w:trPr>
        <w:tc>
          <w:tcPr>
            <w:tcW w:w="2202" w:type="pct"/>
            <w:tcBorders>
              <w:top w:val="nil"/>
              <w:left w:val="single" w:sz="8" w:space="0" w:color="95B3D7"/>
              <w:bottom w:val="single" w:sz="8" w:space="0" w:color="95B3D7"/>
              <w:right w:val="single" w:sz="8" w:space="0" w:color="95B3D7"/>
            </w:tcBorders>
            <w:shd w:val="clear" w:color="000000" w:fill="DBE5F1"/>
            <w:noWrap/>
            <w:vAlign w:val="center"/>
            <w:hideMark/>
          </w:tcPr>
          <w:p w14:paraId="3CA7BB45" w14:textId="77777777" w:rsidR="00124ED1" w:rsidRPr="00445180" w:rsidRDefault="00124ED1" w:rsidP="00124ED1">
            <w:pPr>
              <w:spacing w:after="0" w:line="240" w:lineRule="auto"/>
              <w:rPr>
                <w:rFonts w:ascii="Arial Narrow" w:eastAsia="Times New Roman" w:hAnsi="Arial Narrow" w:cs="Calibri"/>
                <w:color w:val="000000"/>
                <w:lang w:val="en-US"/>
              </w:rPr>
            </w:pPr>
            <w:r w:rsidRPr="00445180">
              <w:rPr>
                <w:rFonts w:ascii="Arial Narrow" w:eastAsia="Times New Roman" w:hAnsi="Arial Narrow" w:cs="Calibri"/>
                <w:color w:val="000000"/>
                <w:lang w:val="en-US"/>
              </w:rPr>
              <w:t>Kosovo</w:t>
            </w:r>
          </w:p>
        </w:tc>
        <w:tc>
          <w:tcPr>
            <w:tcW w:w="707" w:type="pct"/>
            <w:tcBorders>
              <w:top w:val="nil"/>
              <w:left w:val="nil"/>
              <w:bottom w:val="single" w:sz="8" w:space="0" w:color="95B3D7"/>
              <w:right w:val="single" w:sz="8" w:space="0" w:color="95B3D7"/>
            </w:tcBorders>
            <w:shd w:val="clear" w:color="000000" w:fill="DBE5F1"/>
            <w:noWrap/>
            <w:vAlign w:val="center"/>
            <w:hideMark/>
          </w:tcPr>
          <w:p w14:paraId="09C81651"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-5,3</w:t>
            </w:r>
          </w:p>
        </w:tc>
        <w:tc>
          <w:tcPr>
            <w:tcW w:w="697" w:type="pct"/>
            <w:tcBorders>
              <w:top w:val="nil"/>
              <w:left w:val="nil"/>
              <w:bottom w:val="single" w:sz="8" w:space="0" w:color="95B3D7"/>
              <w:right w:val="single" w:sz="8" w:space="0" w:color="95B3D7"/>
            </w:tcBorders>
            <w:shd w:val="clear" w:color="000000" w:fill="DBE5F1"/>
            <w:noWrap/>
            <w:vAlign w:val="center"/>
            <w:hideMark/>
          </w:tcPr>
          <w:p w14:paraId="5C0CE981"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7,1</w:t>
            </w:r>
          </w:p>
        </w:tc>
        <w:tc>
          <w:tcPr>
            <w:tcW w:w="697" w:type="pct"/>
            <w:tcBorders>
              <w:top w:val="nil"/>
              <w:left w:val="nil"/>
              <w:bottom w:val="single" w:sz="8" w:space="0" w:color="95B3D7"/>
              <w:right w:val="single" w:sz="8" w:space="0" w:color="95B3D7"/>
            </w:tcBorders>
            <w:shd w:val="clear" w:color="000000" w:fill="DBE5F1"/>
            <w:noWrap/>
            <w:vAlign w:val="center"/>
            <w:hideMark/>
          </w:tcPr>
          <w:p w14:paraId="7666F006"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4,1</w:t>
            </w:r>
          </w:p>
        </w:tc>
        <w:tc>
          <w:tcPr>
            <w:tcW w:w="697" w:type="pct"/>
            <w:tcBorders>
              <w:top w:val="nil"/>
              <w:left w:val="nil"/>
              <w:bottom w:val="single" w:sz="8" w:space="0" w:color="95B3D7"/>
              <w:right w:val="single" w:sz="8" w:space="0" w:color="95B3D7"/>
            </w:tcBorders>
            <w:shd w:val="clear" w:color="000000" w:fill="DBE5F1"/>
            <w:noWrap/>
            <w:vAlign w:val="center"/>
            <w:hideMark/>
          </w:tcPr>
          <w:p w14:paraId="6613012D"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4,4</w:t>
            </w:r>
          </w:p>
        </w:tc>
      </w:tr>
      <w:tr w:rsidR="00347DA9" w:rsidRPr="00124ED1" w14:paraId="7A9F0645" w14:textId="77777777" w:rsidTr="00445180">
        <w:trPr>
          <w:trHeight w:val="339"/>
          <w:jc w:val="center"/>
        </w:trPr>
        <w:tc>
          <w:tcPr>
            <w:tcW w:w="2202" w:type="pct"/>
            <w:tcBorders>
              <w:top w:val="nil"/>
              <w:left w:val="single" w:sz="8" w:space="0" w:color="95B3D7"/>
              <w:bottom w:val="single" w:sz="8" w:space="0" w:color="95B3D7"/>
              <w:right w:val="single" w:sz="8" w:space="0" w:color="95B3D7"/>
            </w:tcBorders>
            <w:shd w:val="clear" w:color="auto" w:fill="auto"/>
            <w:noWrap/>
            <w:vAlign w:val="center"/>
            <w:hideMark/>
          </w:tcPr>
          <w:p w14:paraId="479E6AC3" w14:textId="77777777" w:rsidR="00124ED1" w:rsidRPr="00445180" w:rsidRDefault="00124ED1" w:rsidP="00124ED1">
            <w:pPr>
              <w:spacing w:after="0" w:line="240" w:lineRule="auto"/>
              <w:rPr>
                <w:rFonts w:ascii="Arial Narrow" w:eastAsia="Times New Roman" w:hAnsi="Arial Narrow" w:cs="Calibri"/>
                <w:color w:val="000000"/>
                <w:lang w:val="en-US"/>
              </w:rPr>
            </w:pPr>
            <w:r w:rsidRPr="00445180">
              <w:rPr>
                <w:rFonts w:ascii="Arial Narrow" w:eastAsia="Times New Roman" w:hAnsi="Arial Narrow" w:cs="Calibri"/>
                <w:color w:val="000000"/>
                <w:lang w:val="en-US"/>
              </w:rPr>
              <w:t>Crna Gora</w:t>
            </w:r>
          </w:p>
        </w:tc>
        <w:tc>
          <w:tcPr>
            <w:tcW w:w="707" w:type="pct"/>
            <w:tcBorders>
              <w:top w:val="nil"/>
              <w:left w:val="nil"/>
              <w:bottom w:val="single" w:sz="8" w:space="0" w:color="95B3D7"/>
              <w:right w:val="single" w:sz="8" w:space="0" w:color="95B3D7"/>
            </w:tcBorders>
            <w:shd w:val="clear" w:color="auto" w:fill="auto"/>
            <w:noWrap/>
            <w:vAlign w:val="center"/>
            <w:hideMark/>
          </w:tcPr>
          <w:p w14:paraId="23729223"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-15,3</w:t>
            </w:r>
          </w:p>
        </w:tc>
        <w:tc>
          <w:tcPr>
            <w:tcW w:w="697" w:type="pct"/>
            <w:tcBorders>
              <w:top w:val="nil"/>
              <w:left w:val="nil"/>
              <w:bottom w:val="single" w:sz="8" w:space="0" w:color="95B3D7"/>
              <w:right w:val="single" w:sz="8" w:space="0" w:color="95B3D7"/>
            </w:tcBorders>
            <w:shd w:val="clear" w:color="auto" w:fill="auto"/>
            <w:noWrap/>
            <w:vAlign w:val="center"/>
            <w:hideMark/>
          </w:tcPr>
          <w:p w14:paraId="7D5D0448"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10,8</w:t>
            </w:r>
          </w:p>
        </w:tc>
        <w:tc>
          <w:tcPr>
            <w:tcW w:w="697" w:type="pct"/>
            <w:tcBorders>
              <w:top w:val="nil"/>
              <w:left w:val="nil"/>
              <w:bottom w:val="single" w:sz="8" w:space="0" w:color="95B3D7"/>
              <w:right w:val="single" w:sz="8" w:space="0" w:color="95B3D7"/>
            </w:tcBorders>
            <w:shd w:val="clear" w:color="auto" w:fill="auto"/>
            <w:noWrap/>
            <w:vAlign w:val="center"/>
            <w:hideMark/>
          </w:tcPr>
          <w:p w14:paraId="747A2781"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5,6</w:t>
            </w:r>
          </w:p>
        </w:tc>
        <w:tc>
          <w:tcPr>
            <w:tcW w:w="697" w:type="pct"/>
            <w:tcBorders>
              <w:top w:val="nil"/>
              <w:left w:val="nil"/>
              <w:bottom w:val="single" w:sz="8" w:space="0" w:color="95B3D7"/>
              <w:right w:val="single" w:sz="8" w:space="0" w:color="95B3D7"/>
            </w:tcBorders>
            <w:shd w:val="clear" w:color="auto" w:fill="auto"/>
            <w:noWrap/>
            <w:vAlign w:val="center"/>
            <w:hideMark/>
          </w:tcPr>
          <w:p w14:paraId="0D4A68B1"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4,8</w:t>
            </w:r>
          </w:p>
        </w:tc>
      </w:tr>
      <w:tr w:rsidR="00347DA9" w:rsidRPr="00124ED1" w14:paraId="3D4D9CAF" w14:textId="77777777" w:rsidTr="00445180">
        <w:trPr>
          <w:trHeight w:val="339"/>
          <w:jc w:val="center"/>
        </w:trPr>
        <w:tc>
          <w:tcPr>
            <w:tcW w:w="2202" w:type="pct"/>
            <w:tcBorders>
              <w:top w:val="nil"/>
              <w:left w:val="single" w:sz="8" w:space="0" w:color="95B3D7"/>
              <w:bottom w:val="single" w:sz="8" w:space="0" w:color="95B3D7"/>
              <w:right w:val="single" w:sz="8" w:space="0" w:color="95B3D7"/>
            </w:tcBorders>
            <w:shd w:val="clear" w:color="000000" w:fill="DBE5F1"/>
            <w:noWrap/>
            <w:vAlign w:val="center"/>
            <w:hideMark/>
          </w:tcPr>
          <w:p w14:paraId="41C07935" w14:textId="77777777" w:rsidR="00124ED1" w:rsidRPr="00445180" w:rsidRDefault="00124ED1" w:rsidP="00124ED1">
            <w:pPr>
              <w:spacing w:after="0" w:line="240" w:lineRule="auto"/>
              <w:rPr>
                <w:rFonts w:ascii="Arial Narrow" w:eastAsia="Times New Roman" w:hAnsi="Arial Narrow" w:cs="Calibri"/>
                <w:color w:val="000000"/>
                <w:lang w:val="en-US"/>
              </w:rPr>
            </w:pPr>
            <w:r w:rsidRPr="00445180">
              <w:rPr>
                <w:rFonts w:ascii="Arial Narrow" w:eastAsia="Times New Roman" w:hAnsi="Arial Narrow" w:cs="Calibri"/>
                <w:color w:val="000000"/>
                <w:lang w:val="en-US"/>
              </w:rPr>
              <w:t>Sjeverna Makedonija</w:t>
            </w:r>
          </w:p>
        </w:tc>
        <w:tc>
          <w:tcPr>
            <w:tcW w:w="707" w:type="pct"/>
            <w:tcBorders>
              <w:top w:val="nil"/>
              <w:left w:val="nil"/>
              <w:bottom w:val="single" w:sz="8" w:space="0" w:color="95B3D7"/>
              <w:right w:val="single" w:sz="8" w:space="0" w:color="95B3D7"/>
            </w:tcBorders>
            <w:shd w:val="clear" w:color="000000" w:fill="DBE5F1"/>
            <w:noWrap/>
            <w:vAlign w:val="center"/>
            <w:hideMark/>
          </w:tcPr>
          <w:p w14:paraId="0FF6AEB6"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-4,5</w:t>
            </w:r>
          </w:p>
        </w:tc>
        <w:tc>
          <w:tcPr>
            <w:tcW w:w="697" w:type="pct"/>
            <w:tcBorders>
              <w:top w:val="nil"/>
              <w:left w:val="nil"/>
              <w:bottom w:val="single" w:sz="8" w:space="0" w:color="95B3D7"/>
              <w:right w:val="single" w:sz="8" w:space="0" w:color="95B3D7"/>
            </w:tcBorders>
            <w:shd w:val="clear" w:color="000000" w:fill="DBE5F1"/>
            <w:noWrap/>
            <w:vAlign w:val="center"/>
            <w:hideMark/>
          </w:tcPr>
          <w:p w14:paraId="05994866"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4,6</w:t>
            </w:r>
          </w:p>
        </w:tc>
        <w:tc>
          <w:tcPr>
            <w:tcW w:w="697" w:type="pct"/>
            <w:tcBorders>
              <w:top w:val="nil"/>
              <w:left w:val="nil"/>
              <w:bottom w:val="single" w:sz="8" w:space="0" w:color="95B3D7"/>
              <w:right w:val="single" w:sz="8" w:space="0" w:color="95B3D7"/>
            </w:tcBorders>
            <w:shd w:val="clear" w:color="000000" w:fill="DBE5F1"/>
            <w:noWrap/>
            <w:vAlign w:val="center"/>
            <w:hideMark/>
          </w:tcPr>
          <w:p w14:paraId="647B2115"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3,7</w:t>
            </w:r>
          </w:p>
        </w:tc>
        <w:tc>
          <w:tcPr>
            <w:tcW w:w="697" w:type="pct"/>
            <w:tcBorders>
              <w:top w:val="nil"/>
              <w:left w:val="nil"/>
              <w:bottom w:val="single" w:sz="8" w:space="0" w:color="95B3D7"/>
              <w:right w:val="single" w:sz="8" w:space="0" w:color="95B3D7"/>
            </w:tcBorders>
            <w:shd w:val="clear" w:color="000000" w:fill="DBE5F1"/>
            <w:noWrap/>
            <w:vAlign w:val="center"/>
            <w:hideMark/>
          </w:tcPr>
          <w:p w14:paraId="62B10D06"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3,4</w:t>
            </w:r>
          </w:p>
        </w:tc>
      </w:tr>
      <w:tr w:rsidR="00347DA9" w:rsidRPr="00124ED1" w14:paraId="50E63341" w14:textId="77777777" w:rsidTr="00445180">
        <w:trPr>
          <w:trHeight w:val="339"/>
          <w:jc w:val="center"/>
        </w:trPr>
        <w:tc>
          <w:tcPr>
            <w:tcW w:w="2202" w:type="pct"/>
            <w:tcBorders>
              <w:top w:val="nil"/>
              <w:left w:val="single" w:sz="8" w:space="0" w:color="95B3D7"/>
              <w:bottom w:val="single" w:sz="8" w:space="0" w:color="95B3D7"/>
              <w:right w:val="single" w:sz="8" w:space="0" w:color="95B3D7"/>
            </w:tcBorders>
            <w:shd w:val="clear" w:color="auto" w:fill="auto"/>
            <w:noWrap/>
            <w:vAlign w:val="center"/>
            <w:hideMark/>
          </w:tcPr>
          <w:p w14:paraId="6580C8ED" w14:textId="77777777" w:rsidR="00124ED1" w:rsidRPr="00445180" w:rsidRDefault="00124ED1" w:rsidP="00124ED1">
            <w:pPr>
              <w:spacing w:after="0" w:line="240" w:lineRule="auto"/>
              <w:rPr>
                <w:rFonts w:ascii="Arial Narrow" w:eastAsia="Times New Roman" w:hAnsi="Arial Narrow" w:cs="Calibri"/>
                <w:color w:val="000000"/>
                <w:lang w:val="en-US"/>
              </w:rPr>
            </w:pPr>
            <w:r w:rsidRPr="00445180">
              <w:rPr>
                <w:rFonts w:ascii="Arial Narrow" w:eastAsia="Times New Roman" w:hAnsi="Arial Narrow" w:cs="Calibri"/>
                <w:color w:val="000000"/>
                <w:lang w:val="en-US"/>
              </w:rPr>
              <w:t>Srbija</w:t>
            </w:r>
          </w:p>
        </w:tc>
        <w:tc>
          <w:tcPr>
            <w:tcW w:w="707" w:type="pct"/>
            <w:tcBorders>
              <w:top w:val="nil"/>
              <w:left w:val="nil"/>
              <w:bottom w:val="single" w:sz="8" w:space="0" w:color="95B3D7"/>
              <w:right w:val="single" w:sz="8" w:space="0" w:color="95B3D7"/>
            </w:tcBorders>
            <w:shd w:val="clear" w:color="auto" w:fill="auto"/>
            <w:noWrap/>
            <w:vAlign w:val="center"/>
            <w:hideMark/>
          </w:tcPr>
          <w:p w14:paraId="18A926C2"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-0,9</w:t>
            </w:r>
          </w:p>
        </w:tc>
        <w:tc>
          <w:tcPr>
            <w:tcW w:w="697" w:type="pct"/>
            <w:tcBorders>
              <w:top w:val="nil"/>
              <w:left w:val="nil"/>
              <w:bottom w:val="single" w:sz="8" w:space="0" w:color="95B3D7"/>
              <w:right w:val="single" w:sz="8" w:space="0" w:color="95B3D7"/>
            </w:tcBorders>
            <w:shd w:val="clear" w:color="auto" w:fill="auto"/>
            <w:noWrap/>
            <w:vAlign w:val="center"/>
            <w:hideMark/>
          </w:tcPr>
          <w:p w14:paraId="2C40A137"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6,0</w:t>
            </w:r>
          </w:p>
        </w:tc>
        <w:tc>
          <w:tcPr>
            <w:tcW w:w="697" w:type="pct"/>
            <w:tcBorders>
              <w:top w:val="nil"/>
              <w:left w:val="nil"/>
              <w:bottom w:val="single" w:sz="8" w:space="0" w:color="95B3D7"/>
              <w:right w:val="single" w:sz="8" w:space="0" w:color="95B3D7"/>
            </w:tcBorders>
            <w:shd w:val="clear" w:color="auto" w:fill="auto"/>
            <w:noWrap/>
            <w:vAlign w:val="center"/>
            <w:hideMark/>
          </w:tcPr>
          <w:p w14:paraId="4675926C"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4,5</w:t>
            </w:r>
          </w:p>
        </w:tc>
        <w:tc>
          <w:tcPr>
            <w:tcW w:w="697" w:type="pct"/>
            <w:tcBorders>
              <w:top w:val="nil"/>
              <w:left w:val="nil"/>
              <w:bottom w:val="single" w:sz="8" w:space="0" w:color="95B3D7"/>
              <w:right w:val="single" w:sz="8" w:space="0" w:color="95B3D7"/>
            </w:tcBorders>
            <w:shd w:val="clear" w:color="auto" w:fill="auto"/>
            <w:noWrap/>
            <w:vAlign w:val="center"/>
            <w:hideMark/>
          </w:tcPr>
          <w:p w14:paraId="277F121A"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4,0</w:t>
            </w:r>
          </w:p>
        </w:tc>
      </w:tr>
      <w:tr w:rsidR="00347DA9" w:rsidRPr="00124ED1" w14:paraId="12F3D2F8" w14:textId="77777777" w:rsidTr="00445180">
        <w:trPr>
          <w:trHeight w:val="339"/>
          <w:jc w:val="center"/>
        </w:trPr>
        <w:tc>
          <w:tcPr>
            <w:tcW w:w="2202" w:type="pct"/>
            <w:tcBorders>
              <w:top w:val="nil"/>
              <w:left w:val="single" w:sz="8" w:space="0" w:color="95B3D7"/>
              <w:bottom w:val="single" w:sz="8" w:space="0" w:color="95B3D7"/>
              <w:right w:val="single" w:sz="8" w:space="0" w:color="95B3D7"/>
            </w:tcBorders>
            <w:shd w:val="clear" w:color="000000" w:fill="DBE5F1"/>
            <w:noWrap/>
            <w:vAlign w:val="center"/>
            <w:hideMark/>
          </w:tcPr>
          <w:p w14:paraId="2A492D37" w14:textId="77777777" w:rsidR="00124ED1" w:rsidRPr="00445180" w:rsidRDefault="00124ED1" w:rsidP="00124ED1">
            <w:pPr>
              <w:spacing w:after="0" w:line="240" w:lineRule="auto"/>
              <w:rPr>
                <w:rFonts w:ascii="Arial Narrow" w:eastAsia="Times New Roman" w:hAnsi="Arial Narrow" w:cs="Calibri"/>
                <w:color w:val="000000"/>
                <w:lang w:val="en-US"/>
              </w:rPr>
            </w:pPr>
            <w:r w:rsidRPr="00445180">
              <w:rPr>
                <w:rFonts w:ascii="Arial Narrow" w:eastAsia="Times New Roman" w:hAnsi="Arial Narrow" w:cs="Calibri"/>
                <w:color w:val="000000"/>
                <w:lang w:val="en-US"/>
              </w:rPr>
              <w:t>Zapadni Balkan</w:t>
            </w:r>
          </w:p>
        </w:tc>
        <w:tc>
          <w:tcPr>
            <w:tcW w:w="707" w:type="pct"/>
            <w:tcBorders>
              <w:top w:val="nil"/>
              <w:left w:val="nil"/>
              <w:bottom w:val="single" w:sz="8" w:space="0" w:color="95B3D7"/>
              <w:right w:val="single" w:sz="8" w:space="0" w:color="95B3D7"/>
            </w:tcBorders>
            <w:shd w:val="clear" w:color="000000" w:fill="DBE5F1"/>
            <w:noWrap/>
            <w:vAlign w:val="center"/>
            <w:hideMark/>
          </w:tcPr>
          <w:p w14:paraId="54586056"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-3,1</w:t>
            </w:r>
          </w:p>
        </w:tc>
        <w:tc>
          <w:tcPr>
            <w:tcW w:w="697" w:type="pct"/>
            <w:tcBorders>
              <w:top w:val="nil"/>
              <w:left w:val="nil"/>
              <w:bottom w:val="single" w:sz="8" w:space="0" w:color="95B3D7"/>
              <w:right w:val="single" w:sz="8" w:space="0" w:color="95B3D7"/>
            </w:tcBorders>
            <w:shd w:val="clear" w:color="000000" w:fill="DBE5F1"/>
            <w:noWrap/>
            <w:vAlign w:val="center"/>
            <w:hideMark/>
          </w:tcPr>
          <w:p w14:paraId="5D749669"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5,9</w:t>
            </w:r>
          </w:p>
        </w:tc>
        <w:tc>
          <w:tcPr>
            <w:tcW w:w="697" w:type="pct"/>
            <w:tcBorders>
              <w:top w:val="nil"/>
              <w:left w:val="nil"/>
              <w:bottom w:val="single" w:sz="8" w:space="0" w:color="95B3D7"/>
              <w:right w:val="single" w:sz="8" w:space="0" w:color="95B3D7"/>
            </w:tcBorders>
            <w:shd w:val="clear" w:color="000000" w:fill="DBE5F1"/>
            <w:noWrap/>
            <w:vAlign w:val="center"/>
            <w:hideMark/>
          </w:tcPr>
          <w:p w14:paraId="5CBB2BCF"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4,1</w:t>
            </w:r>
          </w:p>
        </w:tc>
        <w:tc>
          <w:tcPr>
            <w:tcW w:w="697" w:type="pct"/>
            <w:tcBorders>
              <w:top w:val="nil"/>
              <w:left w:val="nil"/>
              <w:bottom w:val="single" w:sz="8" w:space="0" w:color="95B3D7"/>
              <w:right w:val="single" w:sz="8" w:space="0" w:color="95B3D7"/>
            </w:tcBorders>
            <w:shd w:val="clear" w:color="000000" w:fill="DBE5F1"/>
            <w:noWrap/>
            <w:vAlign w:val="center"/>
            <w:hideMark/>
          </w:tcPr>
          <w:p w14:paraId="138C9319"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3,8</w:t>
            </w:r>
          </w:p>
        </w:tc>
      </w:tr>
      <w:tr w:rsidR="00347DA9" w:rsidRPr="00124ED1" w14:paraId="5290699E" w14:textId="77777777" w:rsidTr="00445180">
        <w:trPr>
          <w:trHeight w:val="339"/>
          <w:jc w:val="center"/>
        </w:trPr>
        <w:tc>
          <w:tcPr>
            <w:tcW w:w="2202" w:type="pct"/>
            <w:tcBorders>
              <w:top w:val="nil"/>
              <w:left w:val="single" w:sz="8" w:space="0" w:color="95B3D7"/>
              <w:bottom w:val="single" w:sz="8" w:space="0" w:color="95B3D7"/>
              <w:right w:val="single" w:sz="8" w:space="0" w:color="95B3D7"/>
            </w:tcBorders>
            <w:shd w:val="clear" w:color="auto" w:fill="auto"/>
            <w:noWrap/>
            <w:vAlign w:val="center"/>
            <w:hideMark/>
          </w:tcPr>
          <w:p w14:paraId="2EF12001" w14:textId="77777777" w:rsidR="00124ED1" w:rsidRPr="00445180" w:rsidRDefault="00124ED1" w:rsidP="00124ED1">
            <w:pPr>
              <w:spacing w:after="0" w:line="240" w:lineRule="auto"/>
              <w:rPr>
                <w:rFonts w:ascii="Arial Narrow" w:eastAsia="Times New Roman" w:hAnsi="Arial Narrow" w:cs="Calibri"/>
                <w:color w:val="000000"/>
                <w:lang w:val="en-US"/>
              </w:rPr>
            </w:pPr>
            <w:r w:rsidRPr="00445180">
              <w:rPr>
                <w:rFonts w:ascii="Arial Narrow" w:eastAsia="Times New Roman" w:hAnsi="Arial Narrow" w:cs="Calibri"/>
                <w:color w:val="000000"/>
                <w:lang w:val="en-US"/>
              </w:rPr>
              <w:t>EU 27</w:t>
            </w:r>
          </w:p>
        </w:tc>
        <w:tc>
          <w:tcPr>
            <w:tcW w:w="707" w:type="pct"/>
            <w:tcBorders>
              <w:top w:val="nil"/>
              <w:left w:val="nil"/>
              <w:bottom w:val="single" w:sz="8" w:space="0" w:color="95B3D7"/>
              <w:right w:val="single" w:sz="8" w:space="0" w:color="95B3D7"/>
            </w:tcBorders>
            <w:shd w:val="clear" w:color="auto" w:fill="auto"/>
            <w:noWrap/>
            <w:vAlign w:val="center"/>
            <w:hideMark/>
          </w:tcPr>
          <w:p w14:paraId="73658AC5"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-7,0</w:t>
            </w:r>
          </w:p>
        </w:tc>
        <w:tc>
          <w:tcPr>
            <w:tcW w:w="697" w:type="pct"/>
            <w:tcBorders>
              <w:top w:val="nil"/>
              <w:left w:val="nil"/>
              <w:bottom w:val="single" w:sz="8" w:space="0" w:color="95B3D7"/>
              <w:right w:val="single" w:sz="8" w:space="0" w:color="95B3D7"/>
            </w:tcBorders>
            <w:shd w:val="clear" w:color="auto" w:fill="auto"/>
            <w:noWrap/>
            <w:vAlign w:val="center"/>
            <w:hideMark/>
          </w:tcPr>
          <w:p w14:paraId="1989A18D"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3,7</w:t>
            </w:r>
          </w:p>
        </w:tc>
        <w:tc>
          <w:tcPr>
            <w:tcW w:w="697" w:type="pct"/>
            <w:tcBorders>
              <w:top w:val="nil"/>
              <w:left w:val="nil"/>
              <w:bottom w:val="single" w:sz="8" w:space="0" w:color="95B3D7"/>
              <w:right w:val="single" w:sz="8" w:space="0" w:color="95B3D7"/>
            </w:tcBorders>
            <w:shd w:val="clear" w:color="auto" w:fill="auto"/>
            <w:noWrap/>
            <w:vAlign w:val="center"/>
            <w:hideMark/>
          </w:tcPr>
          <w:p w14:paraId="50076CF9"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4,0</w:t>
            </w:r>
          </w:p>
        </w:tc>
        <w:tc>
          <w:tcPr>
            <w:tcW w:w="697" w:type="pct"/>
            <w:tcBorders>
              <w:top w:val="nil"/>
              <w:left w:val="nil"/>
              <w:bottom w:val="single" w:sz="8" w:space="0" w:color="95B3D7"/>
              <w:right w:val="single" w:sz="8" w:space="0" w:color="95B3D7"/>
            </w:tcBorders>
            <w:shd w:val="clear" w:color="auto" w:fill="auto"/>
            <w:noWrap/>
            <w:vAlign w:val="center"/>
            <w:hideMark/>
          </w:tcPr>
          <w:p w14:paraId="47EC62A0" w14:textId="77777777" w:rsidR="00124ED1" w:rsidRPr="00445180" w:rsidRDefault="00124ED1" w:rsidP="00445180">
            <w:pPr>
              <w:spacing w:after="0" w:line="240" w:lineRule="auto"/>
              <w:jc w:val="right"/>
              <w:rPr>
                <w:rFonts w:ascii="Arial Narrow" w:eastAsia="Times New Roman" w:hAnsi="Arial Narrow" w:cs="Calibri"/>
                <w:color w:val="000000"/>
                <w:lang w:val="en-US"/>
              </w:rPr>
            </w:pPr>
            <w:r w:rsidRPr="00445180">
              <w:rPr>
                <w:rFonts w:ascii="Arial Narrow" w:eastAsia="Times New Roman" w:hAnsi="Arial Narrow" w:cs="Calibri"/>
                <w:color w:val="000000"/>
                <w:lang w:val="en-US"/>
              </w:rPr>
              <w:t>4,0</w:t>
            </w:r>
          </w:p>
        </w:tc>
      </w:tr>
    </w:tbl>
    <w:p w14:paraId="6D6696CB" w14:textId="11498D1D" w:rsidR="00347DA9" w:rsidRDefault="005B244F" w:rsidP="00621347">
      <w:pPr>
        <w:jc w:val="center"/>
        <w:rPr>
          <w:rFonts w:ascii="Arial" w:hAnsi="Arial" w:cs="Arial"/>
          <w:sz w:val="18"/>
        </w:rPr>
      </w:pPr>
      <w:r w:rsidRPr="00445180">
        <w:rPr>
          <w:rFonts w:ascii="Arial" w:hAnsi="Arial" w:cs="Arial"/>
          <w:sz w:val="18"/>
        </w:rPr>
        <w:t>Izvor: Svjetska banka, Redovni ekonomski izvještaj, Br. 20, jesen 2021</w:t>
      </w:r>
    </w:p>
    <w:p w14:paraId="4DB73CB1" w14:textId="77777777" w:rsidR="00621347" w:rsidRPr="00621347" w:rsidRDefault="00621347" w:rsidP="00621347">
      <w:pPr>
        <w:jc w:val="center"/>
        <w:rPr>
          <w:rFonts w:ascii="Arial" w:hAnsi="Arial" w:cs="Arial"/>
          <w:sz w:val="18"/>
        </w:rPr>
      </w:pPr>
    </w:p>
    <w:p w14:paraId="687DC3AE" w14:textId="7B976F2E" w:rsidR="00DC2C95" w:rsidRDefault="005B244F" w:rsidP="00445180">
      <w:pPr>
        <w:ind w:firstLine="720"/>
        <w:jc w:val="both"/>
        <w:rPr>
          <w:rFonts w:ascii="Arial" w:hAnsi="Arial" w:cs="Arial"/>
        </w:rPr>
      </w:pPr>
      <w:r w:rsidRPr="00445180">
        <w:rPr>
          <w:rFonts w:ascii="Arial" w:hAnsi="Arial" w:cs="Arial"/>
        </w:rPr>
        <w:t xml:space="preserve">Za zemlje Zapadnog Balkana, Svjetska banka projicira rast od 5,9% u 2021. godini, a u </w:t>
      </w:r>
      <w:r w:rsidR="00A31C4D">
        <w:rPr>
          <w:rFonts w:ascii="Arial" w:hAnsi="Arial" w:cs="Arial"/>
        </w:rPr>
        <w:t>razdoblju</w:t>
      </w:r>
      <w:r w:rsidRPr="00445180">
        <w:rPr>
          <w:rFonts w:ascii="Arial" w:hAnsi="Arial" w:cs="Arial"/>
        </w:rPr>
        <w:t xml:space="preserve"> 2022 - 2023. godin</w:t>
      </w:r>
      <w:r w:rsidR="00621347">
        <w:rPr>
          <w:rFonts w:ascii="Arial" w:hAnsi="Arial" w:cs="Arial"/>
        </w:rPr>
        <w:t>a</w:t>
      </w:r>
      <w:r w:rsidRPr="00445180">
        <w:rPr>
          <w:rFonts w:ascii="Arial" w:hAnsi="Arial" w:cs="Arial"/>
        </w:rPr>
        <w:t xml:space="preserve"> nešto manji rast od 4,1% i 3,8% respektivno. Uporište za ovakve prognoze su povoljnija ekonomska kretanja u okruženju koja će utjecati na rast izvoza, te poboljšanje domaćeg tržišta i domaće potrošnje, kao i oporavak turističke djelatnosti. </w:t>
      </w:r>
    </w:p>
    <w:p w14:paraId="1A70AFF4" w14:textId="0700D73C" w:rsidR="005B244F" w:rsidRPr="00445180" w:rsidRDefault="00621347" w:rsidP="00445180">
      <w:pPr>
        <w:ind w:firstLine="720"/>
        <w:jc w:val="both"/>
        <w:rPr>
          <w:rFonts w:ascii="Arial" w:hAnsi="Arial" w:cs="Arial"/>
        </w:rPr>
      </w:pPr>
      <w:r w:rsidRPr="00445180">
        <w:rPr>
          <w:rFonts w:ascii="Arial" w:hAnsi="Arial" w:cs="Arial"/>
        </w:rPr>
        <w:t>Usprkos</w:t>
      </w:r>
      <w:r w:rsidR="005B244F" w:rsidRPr="00445180">
        <w:rPr>
          <w:rFonts w:ascii="Arial" w:hAnsi="Arial" w:cs="Arial"/>
        </w:rPr>
        <w:t xml:space="preserve"> poduzetim mjerama vlada zemalja Zapadnog Balkana</w:t>
      </w:r>
      <w:r>
        <w:rPr>
          <w:rFonts w:ascii="Arial" w:hAnsi="Arial" w:cs="Arial"/>
        </w:rPr>
        <w:t>,</w:t>
      </w:r>
      <w:r w:rsidR="005B244F" w:rsidRPr="00445180">
        <w:rPr>
          <w:rFonts w:ascii="Arial" w:hAnsi="Arial" w:cs="Arial"/>
        </w:rPr>
        <w:t xml:space="preserve"> povećana je stopa nezaposlenosti u 2021. godini te će tržište rada zahtijevati posebnu pažnju u narednom </w:t>
      </w:r>
      <w:r w:rsidR="00A31C4D">
        <w:rPr>
          <w:rFonts w:ascii="Arial" w:hAnsi="Arial" w:cs="Arial"/>
        </w:rPr>
        <w:t>razdoblju</w:t>
      </w:r>
      <w:r w:rsidR="005B244F" w:rsidRPr="00445180">
        <w:rPr>
          <w:rFonts w:ascii="Arial" w:hAnsi="Arial" w:cs="Arial"/>
        </w:rPr>
        <w:t xml:space="preserve">. </w:t>
      </w:r>
    </w:p>
    <w:p w14:paraId="701ADD7C" w14:textId="6432F4D8" w:rsidR="005B244F" w:rsidRPr="00445180" w:rsidRDefault="005B244F" w:rsidP="00445180">
      <w:pPr>
        <w:ind w:firstLine="720"/>
        <w:jc w:val="both"/>
        <w:rPr>
          <w:rFonts w:ascii="Arial" w:hAnsi="Arial" w:cs="Arial"/>
        </w:rPr>
      </w:pPr>
      <w:r w:rsidRPr="00445180">
        <w:rPr>
          <w:rFonts w:ascii="Arial" w:hAnsi="Arial" w:cs="Arial"/>
        </w:rPr>
        <w:t xml:space="preserve">Prema </w:t>
      </w:r>
      <w:r w:rsidR="00621347">
        <w:rPr>
          <w:rFonts w:ascii="Arial" w:hAnsi="Arial" w:cs="Arial"/>
        </w:rPr>
        <w:t>službeno</w:t>
      </w:r>
      <w:r w:rsidRPr="00445180">
        <w:rPr>
          <w:rFonts w:ascii="Arial" w:hAnsi="Arial" w:cs="Arial"/>
        </w:rPr>
        <w:t xml:space="preserve"> objavljenim rezultatima</w:t>
      </w:r>
      <w:r w:rsidRPr="00445180">
        <w:rPr>
          <w:rStyle w:val="FootnoteReference"/>
          <w:rFonts w:ascii="Arial" w:hAnsi="Arial" w:cs="Arial"/>
        </w:rPr>
        <w:footnoteReference w:id="9"/>
      </w:r>
      <w:r w:rsidRPr="00445180">
        <w:rPr>
          <w:rFonts w:ascii="Arial" w:hAnsi="Arial" w:cs="Arial"/>
        </w:rPr>
        <w:t xml:space="preserve"> u 2021. godini dolazi do oporavka ekonomije, odnosno u prvom kvartalu 2021. godine u odnosu isti kvartal prethodne godine ostvaren je rast od 2,2%, a u drugom kvartalu visoki rast od 13,3%. U drugom kvartalu sve oblasti djelatnosti su zabilježili rast, a najznačajniji rast je ostvaren u djelatnosti trgovine, popravak motornih vozila i motocikla, prijevoz i skladištenje i hotelijerstvu i ugostiteljstvu od 32,45, te u izvozno orijentiranoj prerađivačkoj industriji od 23,1%. Značajno je napomenuti da je u prva dva kvartala 2021. godine u odnosu na iste kvartale u 2019. pretpandemijskoj godini ostvaren veći realni BDP u apsolutnom iznosu (2021: IK-5.043.414 i IIK-5.463.284; 2019: IK-4.851.216 i IIK-5.316.536 – u </w:t>
      </w:r>
      <w:r w:rsidR="00621347">
        <w:rPr>
          <w:rFonts w:ascii="Arial" w:hAnsi="Arial" w:cs="Arial"/>
        </w:rPr>
        <w:t>tisuć</w:t>
      </w:r>
      <w:r w:rsidRPr="00445180">
        <w:rPr>
          <w:rFonts w:ascii="Arial" w:hAnsi="Arial" w:cs="Arial"/>
        </w:rPr>
        <w:t xml:space="preserve">. KM, lančano povezane vrijednosti u cijenama 2015). </w:t>
      </w:r>
    </w:p>
    <w:p w14:paraId="51AFD794" w14:textId="1845A73F" w:rsidR="005B244F" w:rsidRPr="00445180" w:rsidRDefault="005B244F" w:rsidP="00445180">
      <w:pPr>
        <w:ind w:firstLine="420"/>
        <w:jc w:val="both"/>
        <w:rPr>
          <w:rFonts w:ascii="Arial" w:hAnsi="Arial" w:cs="Arial"/>
        </w:rPr>
      </w:pPr>
      <w:r w:rsidRPr="00445180">
        <w:rPr>
          <w:rFonts w:ascii="Arial" w:hAnsi="Arial" w:cs="Arial"/>
        </w:rPr>
        <w:t xml:space="preserve">Pod pretpostavkom suzbijanja pandemije uzrokovane virusom COVID-19, odnosno efikasnim provođenjem cijepljenja stanovništva, u narednom srednjoročnom </w:t>
      </w:r>
      <w:r w:rsidR="00A31C4D">
        <w:rPr>
          <w:rFonts w:ascii="Arial" w:hAnsi="Arial" w:cs="Arial"/>
        </w:rPr>
        <w:t>razdoblju</w:t>
      </w:r>
      <w:r w:rsidRPr="00445180">
        <w:rPr>
          <w:rFonts w:ascii="Arial" w:hAnsi="Arial" w:cs="Arial"/>
        </w:rPr>
        <w:t xml:space="preserve"> međunarodne financijske institucije projiciraju oporavak i rast ekonomija na svim </w:t>
      </w:r>
      <w:r w:rsidR="00621347">
        <w:rPr>
          <w:rFonts w:ascii="Arial" w:hAnsi="Arial" w:cs="Arial"/>
        </w:rPr>
        <w:t>razinama</w:t>
      </w:r>
      <w:r w:rsidRPr="00445180">
        <w:rPr>
          <w:rFonts w:ascii="Arial" w:hAnsi="Arial" w:cs="Arial"/>
        </w:rPr>
        <w:t xml:space="preserve">. Oporavak zemalja u okruženju odnosno oporavak naših najvećih vanjskotrgovinskih partnera će dati snažan poticaj rastu ekonomije kako BiH tako i FBiH. Za BiH se očekuje povratak na pretpandemijski rast u narednom srednjoročnom </w:t>
      </w:r>
      <w:r w:rsidR="00A31C4D">
        <w:rPr>
          <w:rFonts w:ascii="Arial" w:hAnsi="Arial" w:cs="Arial"/>
        </w:rPr>
        <w:t>razdoblju</w:t>
      </w:r>
      <w:r w:rsidRPr="00445180">
        <w:rPr>
          <w:rFonts w:ascii="Arial" w:hAnsi="Arial" w:cs="Arial"/>
        </w:rPr>
        <w:t>, a najveći rizik za projekcije rasta su postojeće političke poteškoće koje uzrokuju paralizu vlasti i predstojeći opći izbori u 2022. godini.</w:t>
      </w:r>
    </w:p>
    <w:p w14:paraId="24D8C190" w14:textId="71B36154" w:rsidR="00DC2C95" w:rsidRDefault="005B244F" w:rsidP="00D90516">
      <w:pPr>
        <w:spacing w:after="0"/>
        <w:ind w:firstLine="420"/>
        <w:jc w:val="both"/>
        <w:rPr>
          <w:rFonts w:ascii="Arial" w:hAnsi="Arial" w:cs="Arial"/>
        </w:rPr>
      </w:pPr>
      <w:r w:rsidRPr="00445180">
        <w:rPr>
          <w:rFonts w:ascii="Arial" w:hAnsi="Arial" w:cs="Arial"/>
        </w:rPr>
        <w:lastRenderedPageBreak/>
        <w:t xml:space="preserve">Projicira se da će rast FBiH u narednim </w:t>
      </w:r>
      <w:r w:rsidR="00A31C4D">
        <w:rPr>
          <w:rFonts w:ascii="Arial" w:hAnsi="Arial" w:cs="Arial"/>
        </w:rPr>
        <w:t>razdoblju</w:t>
      </w:r>
      <w:r w:rsidR="00621347">
        <w:rPr>
          <w:rFonts w:ascii="Arial" w:hAnsi="Arial" w:cs="Arial"/>
        </w:rPr>
        <w:t xml:space="preserve"> od 2021</w:t>
      </w:r>
      <w:r w:rsidRPr="00445180">
        <w:rPr>
          <w:rFonts w:ascii="Arial" w:hAnsi="Arial" w:cs="Arial"/>
        </w:rPr>
        <w:t>-2023. godine kretati od 3,2%, 3,4%, 3,6% i 3,9 respektivno pod pretpostavkom rasta glavnih odrednica ekonomskog rasta privatne potrošnje i inve</w:t>
      </w:r>
      <w:r w:rsidR="00621347">
        <w:rPr>
          <w:rFonts w:ascii="Arial" w:hAnsi="Arial" w:cs="Arial"/>
        </w:rPr>
        <w:t>sticija, oporavka djelatnosti s</w:t>
      </w:r>
      <w:r w:rsidRPr="00445180">
        <w:rPr>
          <w:rFonts w:ascii="Arial" w:hAnsi="Arial" w:cs="Arial"/>
        </w:rPr>
        <w:t xml:space="preserve"> najvećom zaposlenosti, te povećanja dohotka stanovništava uslijed pozitivnih kretanja u okruženju i pozitivnim internim dinamikama.</w:t>
      </w:r>
    </w:p>
    <w:p w14:paraId="0B656BF1" w14:textId="77777777" w:rsidR="003E2B23" w:rsidRDefault="003E2B23" w:rsidP="00D90516">
      <w:pPr>
        <w:spacing w:after="0"/>
        <w:ind w:firstLine="420"/>
        <w:jc w:val="both"/>
        <w:rPr>
          <w:rFonts w:ascii="Arial" w:hAnsi="Arial" w:cs="Arial"/>
          <w:lang w:val="en-US"/>
        </w:rPr>
      </w:pPr>
    </w:p>
    <w:p w14:paraId="124EE55B" w14:textId="6446CE4E" w:rsidR="00761544" w:rsidRPr="00621347" w:rsidRDefault="005B244F" w:rsidP="00D90516">
      <w:pPr>
        <w:spacing w:after="0"/>
        <w:ind w:firstLine="420"/>
        <w:jc w:val="both"/>
        <w:rPr>
          <w:rFonts w:ascii="Arial" w:hAnsi="Arial" w:cs="Arial"/>
        </w:rPr>
      </w:pPr>
      <w:r w:rsidRPr="00445180">
        <w:rPr>
          <w:rFonts w:ascii="Arial" w:hAnsi="Arial" w:cs="Arial"/>
          <w:lang w:val="en-US"/>
        </w:rPr>
        <w:t xml:space="preserve"> </w:t>
      </w:r>
      <w:r w:rsidRPr="00621347">
        <w:rPr>
          <w:rFonts w:ascii="Arial" w:hAnsi="Arial" w:cs="Arial"/>
        </w:rPr>
        <w:t>Vlada FBiH će u 2022. godini nastaviti poduzimati mjere za prev</w:t>
      </w:r>
      <w:r w:rsidR="00621347" w:rsidRPr="00621347">
        <w:rPr>
          <w:rFonts w:ascii="Arial" w:hAnsi="Arial" w:cs="Arial"/>
        </w:rPr>
        <w:t>ladavanje</w:t>
      </w:r>
      <w:r w:rsidRPr="00621347">
        <w:rPr>
          <w:rFonts w:ascii="Arial" w:hAnsi="Arial" w:cs="Arial"/>
        </w:rPr>
        <w:t xml:space="preserve"> posljedica pandemije, odnosno mjere za održavanje likvidnosti privrednih subjekata, mjere za očuvanje radnih mjesta, te za sanaciju zdravstvenog sektora. Cilj mjera Vlade FBiH poduzetih u </w:t>
      </w:r>
      <w:r w:rsidR="00621347">
        <w:rPr>
          <w:rFonts w:ascii="Arial" w:hAnsi="Arial" w:cs="Arial"/>
        </w:rPr>
        <w:t xml:space="preserve">gospodarstvu </w:t>
      </w:r>
      <w:r w:rsidRPr="00621347">
        <w:rPr>
          <w:rFonts w:ascii="Arial" w:hAnsi="Arial" w:cs="Arial"/>
        </w:rPr>
        <w:t>je povećanju st</w:t>
      </w:r>
      <w:r w:rsidR="00621347">
        <w:rPr>
          <w:rFonts w:ascii="Arial" w:hAnsi="Arial" w:cs="Arial"/>
        </w:rPr>
        <w:t>upnja</w:t>
      </w:r>
      <w:r w:rsidRPr="00621347">
        <w:rPr>
          <w:rFonts w:ascii="Arial" w:hAnsi="Arial" w:cs="Arial"/>
        </w:rPr>
        <w:t xml:space="preserve"> konkurentnosti i unapređenje poslovnog ambijenta, odnosno rast ekonomije općenito. Također, u fokusu će biti rješavanje prioriteta za pridruživanj</w:t>
      </w:r>
      <w:r w:rsidR="003E2B23">
        <w:rPr>
          <w:rFonts w:ascii="Arial" w:hAnsi="Arial" w:cs="Arial"/>
        </w:rPr>
        <w:t>e</w:t>
      </w:r>
      <w:r w:rsidRPr="00621347">
        <w:rPr>
          <w:rFonts w:ascii="Arial" w:hAnsi="Arial" w:cs="Arial"/>
        </w:rPr>
        <w:t xml:space="preserve"> EU i efikasnije i brže rješavanja sveobuhvatnih reformi čime će se pozitivno utjecati na rast ekonomije FBiH u narednom </w:t>
      </w:r>
      <w:r w:rsidR="00A31C4D" w:rsidRPr="00621347">
        <w:rPr>
          <w:rFonts w:ascii="Arial" w:hAnsi="Arial" w:cs="Arial"/>
        </w:rPr>
        <w:t>razdoblju</w:t>
      </w:r>
      <w:r w:rsidRPr="00621347">
        <w:rPr>
          <w:rFonts w:ascii="Arial" w:hAnsi="Arial" w:cs="Arial"/>
        </w:rPr>
        <w:t xml:space="preserve">. </w:t>
      </w:r>
    </w:p>
    <w:p w14:paraId="08BD9398" w14:textId="3C77458D" w:rsidR="00315942" w:rsidRPr="00E86486" w:rsidRDefault="00315942" w:rsidP="00621347">
      <w:pPr>
        <w:spacing w:after="0"/>
        <w:jc w:val="both"/>
        <w:rPr>
          <w:rFonts w:ascii="Arial" w:hAnsi="Arial" w:cs="Arial"/>
        </w:rPr>
      </w:pPr>
    </w:p>
    <w:p w14:paraId="5A100857" w14:textId="40D864FA" w:rsidR="00ED768D" w:rsidRPr="00AF7CAC" w:rsidRDefault="00ED768D" w:rsidP="00ED768D">
      <w:pPr>
        <w:spacing w:after="0" w:line="240" w:lineRule="auto"/>
        <w:jc w:val="both"/>
        <w:rPr>
          <w:rFonts w:ascii="Arial" w:hAnsi="Arial" w:cs="Arial"/>
        </w:rPr>
      </w:pPr>
      <w:r w:rsidRPr="00E86486">
        <w:rPr>
          <w:rFonts w:ascii="Arial" w:hAnsi="Arial" w:cs="Arial"/>
        </w:rPr>
        <w:t>Tab</w:t>
      </w:r>
      <w:r w:rsidR="003E2B23">
        <w:rPr>
          <w:rFonts w:ascii="Arial" w:hAnsi="Arial" w:cs="Arial"/>
        </w:rPr>
        <w:t>lica</w:t>
      </w:r>
      <w:r w:rsidRPr="00E86486">
        <w:rPr>
          <w:rFonts w:ascii="Arial" w:hAnsi="Arial" w:cs="Arial"/>
        </w:rPr>
        <w:t xml:space="preserve"> </w:t>
      </w:r>
      <w:r w:rsidR="005A0B60" w:rsidRPr="00E86486">
        <w:rPr>
          <w:rFonts w:ascii="Arial" w:hAnsi="Arial" w:cs="Arial"/>
        </w:rPr>
        <w:t>6</w:t>
      </w:r>
      <w:r w:rsidRPr="00E86486">
        <w:rPr>
          <w:rFonts w:ascii="Arial" w:hAnsi="Arial" w:cs="Arial"/>
        </w:rPr>
        <w:t>. Makroekonomski pokazatelji za F</w:t>
      </w:r>
      <w:r w:rsidR="00D450C0" w:rsidRPr="00E86486">
        <w:rPr>
          <w:rFonts w:ascii="Arial" w:hAnsi="Arial" w:cs="Arial"/>
        </w:rPr>
        <w:t xml:space="preserve">ederaciju </w:t>
      </w:r>
      <w:r w:rsidRPr="00E86486">
        <w:rPr>
          <w:rFonts w:ascii="Arial" w:hAnsi="Arial" w:cs="Arial"/>
        </w:rPr>
        <w:t>BiH</w:t>
      </w:r>
      <w:r w:rsidRPr="00E86486">
        <w:rPr>
          <w:rFonts w:ascii="Arial" w:hAnsi="Arial" w:cs="Arial"/>
          <w:bCs/>
        </w:rPr>
        <w:t xml:space="preserve"> </w:t>
      </w:r>
      <w:r w:rsidRPr="00E86486">
        <w:rPr>
          <w:rFonts w:ascii="Arial" w:hAnsi="Arial" w:cs="Arial"/>
        </w:rPr>
        <w:t xml:space="preserve">za </w:t>
      </w:r>
      <w:r w:rsidR="003E2B23">
        <w:rPr>
          <w:rFonts w:ascii="Arial" w:hAnsi="Arial" w:cs="Arial"/>
        </w:rPr>
        <w:t>razdoblje</w:t>
      </w:r>
      <w:r w:rsidRPr="00E86486">
        <w:rPr>
          <w:rFonts w:ascii="Arial" w:hAnsi="Arial" w:cs="Arial"/>
        </w:rPr>
        <w:t xml:space="preserve"> </w:t>
      </w:r>
      <w:r w:rsidR="009038A8" w:rsidRPr="00F1630F">
        <w:rPr>
          <w:rFonts w:ascii="Arial" w:hAnsi="Arial" w:cs="Arial"/>
        </w:rPr>
        <w:t>2022</w:t>
      </w:r>
      <w:r w:rsidR="008F5E63" w:rsidRPr="00F1630F">
        <w:rPr>
          <w:rFonts w:ascii="Arial" w:hAnsi="Arial" w:cs="Arial"/>
        </w:rPr>
        <w:t xml:space="preserve"> – </w:t>
      </w:r>
      <w:r w:rsidR="003B44D9" w:rsidRPr="00F1630F">
        <w:rPr>
          <w:rFonts w:ascii="Arial" w:hAnsi="Arial" w:cs="Arial"/>
        </w:rPr>
        <w:t>202</w:t>
      </w:r>
      <w:r w:rsidR="009038A8" w:rsidRPr="00445180">
        <w:rPr>
          <w:rFonts w:ascii="Arial" w:hAnsi="Arial" w:cs="Arial"/>
        </w:rPr>
        <w:t>4</w:t>
      </w:r>
      <w:r w:rsidRPr="00E86486">
        <w:rPr>
          <w:rFonts w:ascii="Arial" w:hAnsi="Arial" w:cs="Arial"/>
        </w:rPr>
        <w:t xml:space="preserve">. godine </w:t>
      </w:r>
      <w:r w:rsidR="008F5E63" w:rsidRPr="00E86486">
        <w:rPr>
          <w:rFonts w:ascii="Arial" w:hAnsi="Arial" w:cs="Arial"/>
        </w:rPr>
        <w:t xml:space="preserve">                                        </w:t>
      </w:r>
      <w:r w:rsidR="00D62512" w:rsidRPr="00E86486">
        <w:rPr>
          <w:rFonts w:ascii="Arial" w:hAnsi="Arial" w:cs="Arial"/>
        </w:rPr>
        <w:t>(u mil</w:t>
      </w:r>
      <w:r w:rsidR="00D945EA" w:rsidRPr="00E86486">
        <w:rPr>
          <w:rFonts w:ascii="Arial" w:hAnsi="Arial" w:cs="Arial"/>
        </w:rPr>
        <w:t>.</w:t>
      </w:r>
      <w:r w:rsidR="00D62512" w:rsidRPr="00E86486">
        <w:rPr>
          <w:rFonts w:ascii="Arial" w:hAnsi="Arial" w:cs="Arial"/>
        </w:rPr>
        <w:t xml:space="preserve"> </w:t>
      </w:r>
      <w:r w:rsidR="00E672EB" w:rsidRPr="00E86486">
        <w:rPr>
          <w:rFonts w:ascii="Arial" w:hAnsi="Arial" w:cs="Arial"/>
        </w:rPr>
        <w:t>KM</w:t>
      </w:r>
      <w:r w:rsidR="00D62512" w:rsidRPr="00E86486">
        <w:rPr>
          <w:rFonts w:ascii="Arial" w:hAnsi="Arial" w:cs="Arial"/>
        </w:rPr>
        <w:t>)</w:t>
      </w:r>
      <w:r w:rsidR="00344132" w:rsidRPr="00E86486">
        <w:rPr>
          <w:rStyle w:val="FootnoteReference"/>
          <w:rFonts w:ascii="Arial" w:hAnsi="Arial" w:cs="Arial"/>
        </w:rPr>
        <w:footnoteReference w:id="10"/>
      </w:r>
    </w:p>
    <w:p w14:paraId="341CE8E4" w14:textId="77777777" w:rsidR="00C602EB" w:rsidRPr="00AF7CAC" w:rsidRDefault="00C602EB" w:rsidP="00ED768D">
      <w:pPr>
        <w:spacing w:after="0" w:line="240" w:lineRule="auto"/>
        <w:jc w:val="both"/>
        <w:rPr>
          <w:rFonts w:ascii="Arial" w:hAnsi="Arial" w:cs="Arial"/>
        </w:rPr>
      </w:pPr>
    </w:p>
    <w:tbl>
      <w:tblPr>
        <w:tblW w:w="9295"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962"/>
        <w:gridCol w:w="1580"/>
        <w:gridCol w:w="1420"/>
        <w:gridCol w:w="1333"/>
      </w:tblGrid>
      <w:tr w:rsidR="00B16A36" w:rsidRPr="00AF7CAC" w14:paraId="1FE4BBC7" w14:textId="77777777" w:rsidTr="00445180">
        <w:trPr>
          <w:trHeight w:val="397"/>
        </w:trPr>
        <w:tc>
          <w:tcPr>
            <w:tcW w:w="4962" w:type="dxa"/>
            <w:shd w:val="clear" w:color="auto" w:fill="auto"/>
            <w:noWrap/>
            <w:vAlign w:val="center"/>
            <w:hideMark/>
          </w:tcPr>
          <w:p w14:paraId="541F5343" w14:textId="77777777" w:rsidR="00B16A36" w:rsidRPr="00B13BEE" w:rsidRDefault="00B16A36" w:rsidP="00B16A36">
            <w:pPr>
              <w:spacing w:after="0" w:line="240" w:lineRule="auto"/>
              <w:jc w:val="center"/>
              <w:rPr>
                <w:rFonts w:ascii="Arial" w:eastAsia="Times New Roman" w:hAnsi="Arial" w:cs="Arial"/>
                <w:i/>
                <w:color w:val="000000"/>
                <w:sz w:val="20"/>
                <w:szCs w:val="20"/>
                <w:lang w:eastAsia="bs-Latn-BA"/>
              </w:rPr>
            </w:pPr>
            <w:r w:rsidRPr="00B13BEE">
              <w:rPr>
                <w:rFonts w:ascii="Arial" w:eastAsia="Times New Roman" w:hAnsi="Arial" w:cs="Arial"/>
                <w:i/>
                <w:color w:val="000000"/>
                <w:sz w:val="20"/>
                <w:szCs w:val="20"/>
                <w:lang w:eastAsia="bs-Latn-BA"/>
              </w:rPr>
              <w:t>Indikator</w:t>
            </w:r>
          </w:p>
        </w:tc>
        <w:tc>
          <w:tcPr>
            <w:tcW w:w="1580" w:type="dxa"/>
            <w:shd w:val="clear" w:color="auto" w:fill="auto"/>
            <w:noWrap/>
            <w:vAlign w:val="center"/>
            <w:hideMark/>
          </w:tcPr>
          <w:p w14:paraId="50CA0269" w14:textId="6FAE272E" w:rsidR="00B16A36" w:rsidRPr="00F1630F" w:rsidRDefault="000F795C">
            <w:pPr>
              <w:spacing w:after="0" w:line="240" w:lineRule="auto"/>
              <w:jc w:val="center"/>
              <w:rPr>
                <w:rFonts w:ascii="Arial" w:eastAsia="Times New Roman" w:hAnsi="Arial" w:cs="Arial"/>
                <w:i/>
                <w:color w:val="000000"/>
                <w:sz w:val="20"/>
                <w:szCs w:val="20"/>
                <w:lang w:eastAsia="bs-Latn-BA"/>
              </w:rPr>
            </w:pPr>
            <w:r w:rsidRPr="00D912D1">
              <w:rPr>
                <w:rFonts w:ascii="Arial" w:eastAsia="Times New Roman" w:hAnsi="Arial" w:cs="Arial"/>
                <w:i/>
                <w:color w:val="000000"/>
                <w:sz w:val="20"/>
                <w:szCs w:val="20"/>
                <w:lang w:eastAsia="bs-Latn-BA"/>
              </w:rPr>
              <w:t>2022</w:t>
            </w:r>
          </w:p>
        </w:tc>
        <w:tc>
          <w:tcPr>
            <w:tcW w:w="1420" w:type="dxa"/>
            <w:shd w:val="clear" w:color="auto" w:fill="auto"/>
            <w:noWrap/>
            <w:vAlign w:val="center"/>
            <w:hideMark/>
          </w:tcPr>
          <w:p w14:paraId="70CB6483" w14:textId="07220CD8" w:rsidR="00B16A36" w:rsidRPr="00D912D1" w:rsidRDefault="00B16A36">
            <w:pPr>
              <w:spacing w:after="0" w:line="240" w:lineRule="auto"/>
              <w:jc w:val="center"/>
              <w:rPr>
                <w:rFonts w:ascii="Arial" w:eastAsia="Times New Roman" w:hAnsi="Arial" w:cs="Arial"/>
                <w:i/>
                <w:color w:val="000000"/>
                <w:sz w:val="20"/>
                <w:szCs w:val="20"/>
                <w:lang w:eastAsia="bs-Latn-BA"/>
              </w:rPr>
            </w:pPr>
            <w:r w:rsidRPr="00F1630F">
              <w:rPr>
                <w:rFonts w:ascii="Arial" w:eastAsia="Times New Roman" w:hAnsi="Arial" w:cs="Arial"/>
                <w:i/>
                <w:color w:val="000000"/>
                <w:sz w:val="20"/>
                <w:szCs w:val="20"/>
                <w:lang w:eastAsia="bs-Latn-BA"/>
              </w:rPr>
              <w:t>202</w:t>
            </w:r>
            <w:r w:rsidR="000F795C" w:rsidRPr="00445180">
              <w:rPr>
                <w:rFonts w:ascii="Arial" w:eastAsia="Times New Roman" w:hAnsi="Arial" w:cs="Arial"/>
                <w:i/>
                <w:color w:val="000000"/>
                <w:sz w:val="20"/>
                <w:szCs w:val="20"/>
                <w:lang w:eastAsia="bs-Latn-BA"/>
              </w:rPr>
              <w:t>3</w:t>
            </w:r>
          </w:p>
        </w:tc>
        <w:tc>
          <w:tcPr>
            <w:tcW w:w="1333" w:type="dxa"/>
            <w:shd w:val="clear" w:color="auto" w:fill="auto"/>
            <w:noWrap/>
            <w:vAlign w:val="center"/>
            <w:hideMark/>
          </w:tcPr>
          <w:p w14:paraId="45DBE4C9" w14:textId="40537B22" w:rsidR="00B16A36" w:rsidRPr="00D912D1" w:rsidRDefault="00B16A36">
            <w:pPr>
              <w:spacing w:after="0" w:line="240" w:lineRule="auto"/>
              <w:jc w:val="center"/>
              <w:rPr>
                <w:rFonts w:ascii="Arial" w:eastAsia="Times New Roman" w:hAnsi="Arial" w:cs="Arial"/>
                <w:i/>
                <w:color w:val="000000"/>
                <w:sz w:val="20"/>
                <w:szCs w:val="20"/>
                <w:lang w:eastAsia="bs-Latn-BA"/>
              </w:rPr>
            </w:pPr>
            <w:r w:rsidRPr="00F1630F">
              <w:rPr>
                <w:rFonts w:ascii="Arial" w:eastAsia="Times New Roman" w:hAnsi="Arial" w:cs="Arial"/>
                <w:i/>
                <w:color w:val="000000"/>
                <w:sz w:val="20"/>
                <w:szCs w:val="20"/>
                <w:lang w:eastAsia="bs-Latn-BA"/>
              </w:rPr>
              <w:t>202</w:t>
            </w:r>
            <w:r w:rsidR="000F795C" w:rsidRPr="00445180">
              <w:rPr>
                <w:rFonts w:ascii="Arial" w:eastAsia="Times New Roman" w:hAnsi="Arial" w:cs="Arial"/>
                <w:i/>
                <w:color w:val="000000"/>
                <w:sz w:val="20"/>
                <w:szCs w:val="20"/>
                <w:lang w:eastAsia="bs-Latn-BA"/>
              </w:rPr>
              <w:t>4</w:t>
            </w:r>
          </w:p>
        </w:tc>
      </w:tr>
      <w:tr w:rsidR="00C04E10" w:rsidRPr="00AF7CAC" w14:paraId="09139616" w14:textId="77777777" w:rsidTr="00445180">
        <w:trPr>
          <w:trHeight w:val="397"/>
        </w:trPr>
        <w:tc>
          <w:tcPr>
            <w:tcW w:w="4962" w:type="dxa"/>
            <w:shd w:val="clear" w:color="auto" w:fill="auto"/>
            <w:noWrap/>
            <w:vAlign w:val="center"/>
            <w:hideMark/>
          </w:tcPr>
          <w:p w14:paraId="25048315" w14:textId="4A834925" w:rsidR="00C04E10" w:rsidRPr="00F1630F" w:rsidRDefault="00C04E10" w:rsidP="00C04E10">
            <w:pPr>
              <w:spacing w:after="0" w:line="240" w:lineRule="auto"/>
              <w:rPr>
                <w:rFonts w:ascii="Arial" w:eastAsia="Times New Roman" w:hAnsi="Arial" w:cs="Arial"/>
                <w:i/>
                <w:color w:val="000000"/>
                <w:sz w:val="20"/>
                <w:szCs w:val="20"/>
                <w:lang w:eastAsia="bs-Latn-BA"/>
              </w:rPr>
            </w:pPr>
            <w:bookmarkStart w:id="119" w:name="RANGE!A5"/>
            <w:r w:rsidRPr="00D912D1">
              <w:rPr>
                <w:rFonts w:ascii="Arial" w:eastAsia="Times New Roman" w:hAnsi="Arial" w:cs="Arial"/>
                <w:i/>
                <w:color w:val="000000"/>
                <w:sz w:val="20"/>
                <w:szCs w:val="20"/>
                <w:lang w:eastAsia="bs-Latn-BA"/>
              </w:rPr>
              <w:t>Javni prihodi (uključujući grantove) (u mil</w:t>
            </w:r>
            <w:r w:rsidR="00D945EA" w:rsidRPr="00F1630F">
              <w:rPr>
                <w:rFonts w:ascii="Arial" w:eastAsia="Times New Roman" w:hAnsi="Arial" w:cs="Arial"/>
                <w:i/>
                <w:color w:val="000000"/>
                <w:sz w:val="20"/>
                <w:szCs w:val="20"/>
                <w:lang w:eastAsia="bs-Latn-BA"/>
              </w:rPr>
              <w:t>.</w:t>
            </w:r>
            <w:r w:rsidRPr="00F1630F">
              <w:rPr>
                <w:rFonts w:ascii="Arial" w:eastAsia="Times New Roman" w:hAnsi="Arial" w:cs="Arial"/>
                <w:i/>
                <w:color w:val="000000"/>
                <w:sz w:val="20"/>
                <w:szCs w:val="20"/>
                <w:lang w:eastAsia="bs-Latn-BA"/>
              </w:rPr>
              <w:t xml:space="preserve"> KM)</w:t>
            </w:r>
            <w:bookmarkEnd w:id="119"/>
          </w:p>
        </w:tc>
        <w:tc>
          <w:tcPr>
            <w:tcW w:w="1580" w:type="dxa"/>
            <w:shd w:val="clear" w:color="auto" w:fill="auto"/>
            <w:noWrap/>
            <w:vAlign w:val="center"/>
            <w:hideMark/>
          </w:tcPr>
          <w:p w14:paraId="3925828A" w14:textId="4C84FE08" w:rsidR="00C04E10" w:rsidRPr="00D912D1" w:rsidRDefault="007D6D3A">
            <w:pPr>
              <w:spacing w:after="0" w:line="240" w:lineRule="auto"/>
              <w:jc w:val="right"/>
              <w:rPr>
                <w:rFonts w:ascii="Arial" w:eastAsia="Times New Roman" w:hAnsi="Arial" w:cs="Arial"/>
                <w:i/>
                <w:color w:val="000000"/>
                <w:sz w:val="20"/>
                <w:szCs w:val="20"/>
                <w:lang w:eastAsia="bs-Latn-BA"/>
              </w:rPr>
            </w:pPr>
            <w:r w:rsidRPr="00445180">
              <w:rPr>
                <w:rFonts w:ascii="Arial" w:eastAsia="Times New Roman" w:hAnsi="Arial" w:cs="Arial"/>
                <w:i/>
                <w:color w:val="000000"/>
                <w:sz w:val="20"/>
                <w:szCs w:val="20"/>
                <w:lang w:eastAsia="bs-Latn-BA"/>
              </w:rPr>
              <w:t>4.044,5</w:t>
            </w:r>
          </w:p>
        </w:tc>
        <w:tc>
          <w:tcPr>
            <w:tcW w:w="1420" w:type="dxa"/>
            <w:shd w:val="clear" w:color="auto" w:fill="auto"/>
            <w:noWrap/>
            <w:vAlign w:val="center"/>
            <w:hideMark/>
          </w:tcPr>
          <w:p w14:paraId="6F0DADAA" w14:textId="251251B3" w:rsidR="00C04E10" w:rsidRPr="00D912D1" w:rsidRDefault="000C6751">
            <w:pPr>
              <w:spacing w:after="0" w:line="240" w:lineRule="auto"/>
              <w:jc w:val="right"/>
              <w:rPr>
                <w:rFonts w:ascii="Arial" w:eastAsia="Times New Roman" w:hAnsi="Arial" w:cs="Arial"/>
                <w:i/>
                <w:color w:val="000000"/>
                <w:sz w:val="20"/>
                <w:szCs w:val="20"/>
                <w:lang w:eastAsia="bs-Latn-BA"/>
              </w:rPr>
            </w:pPr>
            <w:r w:rsidRPr="00445180">
              <w:rPr>
                <w:rFonts w:ascii="Arial" w:eastAsia="Times New Roman" w:hAnsi="Arial" w:cs="Arial"/>
                <w:i/>
                <w:color w:val="000000"/>
                <w:sz w:val="20"/>
                <w:szCs w:val="20"/>
                <w:lang w:eastAsia="bs-Latn-BA"/>
              </w:rPr>
              <w:t>4.373,8</w:t>
            </w:r>
          </w:p>
        </w:tc>
        <w:tc>
          <w:tcPr>
            <w:tcW w:w="1333" w:type="dxa"/>
            <w:shd w:val="clear" w:color="auto" w:fill="auto"/>
            <w:noWrap/>
            <w:vAlign w:val="center"/>
            <w:hideMark/>
          </w:tcPr>
          <w:p w14:paraId="7ACC422C" w14:textId="67F5BD5E" w:rsidR="00C04E10" w:rsidRPr="00F1630F" w:rsidRDefault="000C6751">
            <w:pPr>
              <w:spacing w:after="0" w:line="240" w:lineRule="auto"/>
              <w:jc w:val="right"/>
              <w:rPr>
                <w:rFonts w:ascii="Arial" w:eastAsia="Times New Roman" w:hAnsi="Arial" w:cs="Arial"/>
                <w:i/>
                <w:color w:val="000000"/>
                <w:sz w:val="20"/>
                <w:szCs w:val="20"/>
                <w:lang w:eastAsia="bs-Latn-BA"/>
              </w:rPr>
            </w:pPr>
            <w:r w:rsidRPr="00445180">
              <w:rPr>
                <w:rFonts w:ascii="Arial" w:eastAsia="Times New Roman" w:hAnsi="Arial" w:cs="Arial"/>
                <w:i/>
                <w:color w:val="000000"/>
                <w:sz w:val="20"/>
                <w:szCs w:val="20"/>
                <w:lang w:eastAsia="bs-Latn-BA"/>
              </w:rPr>
              <w:t>4.544,5</w:t>
            </w:r>
          </w:p>
        </w:tc>
      </w:tr>
      <w:tr w:rsidR="00C04E10" w:rsidRPr="00AF7CAC" w14:paraId="6BDBF9F2" w14:textId="77777777" w:rsidTr="00445180">
        <w:trPr>
          <w:trHeight w:val="397"/>
        </w:trPr>
        <w:tc>
          <w:tcPr>
            <w:tcW w:w="4962" w:type="dxa"/>
            <w:shd w:val="clear" w:color="auto" w:fill="auto"/>
            <w:noWrap/>
            <w:vAlign w:val="center"/>
            <w:hideMark/>
          </w:tcPr>
          <w:p w14:paraId="4F718675" w14:textId="77777777" w:rsidR="00C04E10" w:rsidRPr="00F1630F" w:rsidRDefault="00C04E10" w:rsidP="00C04E10">
            <w:pPr>
              <w:spacing w:after="0" w:line="240" w:lineRule="auto"/>
              <w:rPr>
                <w:rFonts w:ascii="Arial" w:eastAsia="Times New Roman" w:hAnsi="Arial" w:cs="Arial"/>
                <w:i/>
                <w:color w:val="000000"/>
                <w:sz w:val="20"/>
                <w:szCs w:val="20"/>
                <w:lang w:eastAsia="bs-Latn-BA"/>
              </w:rPr>
            </w:pPr>
            <w:r w:rsidRPr="00D912D1">
              <w:rPr>
                <w:rFonts w:ascii="Arial" w:eastAsia="Times New Roman" w:hAnsi="Arial" w:cs="Arial"/>
                <w:i/>
                <w:color w:val="000000"/>
                <w:sz w:val="20"/>
                <w:szCs w:val="20"/>
                <w:lang w:eastAsia="bs-Latn-BA"/>
              </w:rPr>
              <w:t>Primarni rashodi javnog sektora (u mil</w:t>
            </w:r>
            <w:r w:rsidR="00D945EA" w:rsidRPr="00D912D1">
              <w:rPr>
                <w:rFonts w:ascii="Arial" w:eastAsia="Times New Roman" w:hAnsi="Arial" w:cs="Arial"/>
                <w:i/>
                <w:color w:val="000000"/>
                <w:sz w:val="20"/>
                <w:szCs w:val="20"/>
                <w:lang w:eastAsia="bs-Latn-BA"/>
              </w:rPr>
              <w:t>.</w:t>
            </w:r>
            <w:r w:rsidRPr="00F1630F">
              <w:rPr>
                <w:rFonts w:ascii="Arial" w:eastAsia="Times New Roman" w:hAnsi="Arial" w:cs="Arial"/>
                <w:i/>
                <w:color w:val="000000"/>
                <w:sz w:val="20"/>
                <w:szCs w:val="20"/>
                <w:lang w:eastAsia="bs-Latn-BA"/>
              </w:rPr>
              <w:t xml:space="preserve"> KM)</w:t>
            </w:r>
          </w:p>
        </w:tc>
        <w:tc>
          <w:tcPr>
            <w:tcW w:w="1580" w:type="dxa"/>
            <w:shd w:val="clear" w:color="auto" w:fill="auto"/>
            <w:noWrap/>
            <w:vAlign w:val="center"/>
          </w:tcPr>
          <w:p w14:paraId="514026BF" w14:textId="596EAE7E" w:rsidR="00C04E10" w:rsidRPr="00D912D1" w:rsidRDefault="000C6751">
            <w:pPr>
              <w:spacing w:after="0" w:line="240" w:lineRule="auto"/>
              <w:jc w:val="right"/>
              <w:rPr>
                <w:rFonts w:ascii="Arial" w:eastAsia="Times New Roman" w:hAnsi="Arial" w:cs="Arial"/>
                <w:i/>
                <w:color w:val="000000"/>
                <w:sz w:val="20"/>
                <w:szCs w:val="20"/>
                <w:lang w:eastAsia="bs-Latn-BA"/>
              </w:rPr>
            </w:pPr>
            <w:r w:rsidRPr="00445180">
              <w:rPr>
                <w:rFonts w:ascii="Arial" w:eastAsia="Times New Roman" w:hAnsi="Arial" w:cs="Arial"/>
                <w:i/>
                <w:color w:val="000000"/>
                <w:sz w:val="20"/>
                <w:szCs w:val="20"/>
                <w:lang w:eastAsia="bs-Latn-BA"/>
              </w:rPr>
              <w:t>4.010,2</w:t>
            </w:r>
          </w:p>
        </w:tc>
        <w:tc>
          <w:tcPr>
            <w:tcW w:w="1420" w:type="dxa"/>
            <w:shd w:val="clear" w:color="auto" w:fill="auto"/>
            <w:noWrap/>
            <w:vAlign w:val="center"/>
          </w:tcPr>
          <w:p w14:paraId="251B4AF9" w14:textId="0628EE78" w:rsidR="00C04E10" w:rsidRPr="00D912D1" w:rsidRDefault="000C6751">
            <w:pPr>
              <w:spacing w:after="0" w:line="240" w:lineRule="auto"/>
              <w:jc w:val="right"/>
              <w:rPr>
                <w:rFonts w:ascii="Arial" w:eastAsia="Times New Roman" w:hAnsi="Arial" w:cs="Arial"/>
                <w:i/>
                <w:color w:val="000000"/>
                <w:sz w:val="20"/>
                <w:szCs w:val="20"/>
                <w:lang w:eastAsia="bs-Latn-BA"/>
              </w:rPr>
            </w:pPr>
            <w:r w:rsidRPr="00445180">
              <w:rPr>
                <w:rFonts w:ascii="Arial" w:eastAsia="Times New Roman" w:hAnsi="Arial" w:cs="Arial"/>
                <w:i/>
                <w:color w:val="000000"/>
                <w:sz w:val="20"/>
                <w:szCs w:val="20"/>
                <w:lang w:eastAsia="bs-Latn-BA"/>
              </w:rPr>
              <w:t>3.939,3</w:t>
            </w:r>
          </w:p>
        </w:tc>
        <w:tc>
          <w:tcPr>
            <w:tcW w:w="1333" w:type="dxa"/>
            <w:shd w:val="clear" w:color="auto" w:fill="auto"/>
            <w:noWrap/>
            <w:vAlign w:val="center"/>
          </w:tcPr>
          <w:p w14:paraId="23180747" w14:textId="6B512B23" w:rsidR="00C04E10" w:rsidRPr="00D912D1" w:rsidRDefault="000C6751">
            <w:pPr>
              <w:spacing w:after="0" w:line="240" w:lineRule="auto"/>
              <w:jc w:val="right"/>
              <w:rPr>
                <w:rFonts w:ascii="Arial" w:eastAsia="Times New Roman" w:hAnsi="Arial" w:cs="Arial"/>
                <w:i/>
                <w:color w:val="000000"/>
                <w:sz w:val="20"/>
                <w:szCs w:val="20"/>
                <w:lang w:eastAsia="bs-Latn-BA"/>
              </w:rPr>
            </w:pPr>
            <w:r w:rsidRPr="00445180">
              <w:rPr>
                <w:rFonts w:ascii="Arial" w:eastAsia="Times New Roman" w:hAnsi="Arial" w:cs="Arial"/>
                <w:i/>
                <w:color w:val="000000"/>
                <w:sz w:val="20"/>
                <w:szCs w:val="20"/>
                <w:lang w:eastAsia="bs-Latn-BA"/>
              </w:rPr>
              <w:t>4.011,9</w:t>
            </w:r>
          </w:p>
        </w:tc>
      </w:tr>
      <w:tr w:rsidR="00C04E10" w:rsidRPr="00AF7CAC" w14:paraId="5516BB9D" w14:textId="77777777" w:rsidTr="00445180">
        <w:trPr>
          <w:trHeight w:val="397"/>
        </w:trPr>
        <w:tc>
          <w:tcPr>
            <w:tcW w:w="4962" w:type="dxa"/>
            <w:shd w:val="clear" w:color="auto" w:fill="auto"/>
            <w:noWrap/>
            <w:vAlign w:val="center"/>
            <w:hideMark/>
          </w:tcPr>
          <w:p w14:paraId="711099DE" w14:textId="77777777" w:rsidR="00C04E10" w:rsidRPr="00F1630F" w:rsidRDefault="00C04E10" w:rsidP="00C04E10">
            <w:pPr>
              <w:spacing w:after="0" w:line="240" w:lineRule="auto"/>
              <w:rPr>
                <w:rFonts w:ascii="Arial" w:eastAsia="Times New Roman" w:hAnsi="Arial" w:cs="Arial"/>
                <w:i/>
                <w:color w:val="000000"/>
                <w:sz w:val="20"/>
                <w:szCs w:val="20"/>
                <w:lang w:eastAsia="bs-Latn-BA"/>
              </w:rPr>
            </w:pPr>
            <w:r w:rsidRPr="00D912D1">
              <w:rPr>
                <w:rFonts w:ascii="Arial" w:eastAsia="Times New Roman" w:hAnsi="Arial" w:cs="Arial"/>
                <w:i/>
                <w:color w:val="000000"/>
                <w:sz w:val="20"/>
                <w:szCs w:val="20"/>
                <w:lang w:eastAsia="bs-Latn-BA"/>
              </w:rPr>
              <w:t>Rashodi javnog sektora (u mil</w:t>
            </w:r>
            <w:r w:rsidR="00D945EA" w:rsidRPr="00D912D1">
              <w:rPr>
                <w:rFonts w:ascii="Arial" w:eastAsia="Times New Roman" w:hAnsi="Arial" w:cs="Arial"/>
                <w:i/>
                <w:color w:val="000000"/>
                <w:sz w:val="20"/>
                <w:szCs w:val="20"/>
                <w:lang w:eastAsia="bs-Latn-BA"/>
              </w:rPr>
              <w:t>.</w:t>
            </w:r>
            <w:r w:rsidRPr="00F1630F">
              <w:rPr>
                <w:rFonts w:ascii="Arial" w:eastAsia="Times New Roman" w:hAnsi="Arial" w:cs="Arial"/>
                <w:i/>
                <w:color w:val="000000"/>
                <w:sz w:val="20"/>
                <w:szCs w:val="20"/>
                <w:lang w:eastAsia="bs-Latn-BA"/>
              </w:rPr>
              <w:t xml:space="preserve"> KM)</w:t>
            </w:r>
          </w:p>
        </w:tc>
        <w:tc>
          <w:tcPr>
            <w:tcW w:w="1580" w:type="dxa"/>
            <w:shd w:val="clear" w:color="auto" w:fill="auto"/>
            <w:noWrap/>
            <w:vAlign w:val="center"/>
          </w:tcPr>
          <w:p w14:paraId="24EBDBA7" w14:textId="23F0CABD" w:rsidR="00C04E10" w:rsidRPr="00D912D1" w:rsidRDefault="000C6751">
            <w:pPr>
              <w:spacing w:after="0" w:line="240" w:lineRule="auto"/>
              <w:jc w:val="right"/>
              <w:rPr>
                <w:rFonts w:ascii="Arial" w:eastAsia="Times New Roman" w:hAnsi="Arial" w:cs="Arial"/>
                <w:i/>
                <w:color w:val="000000"/>
                <w:sz w:val="20"/>
                <w:szCs w:val="20"/>
                <w:lang w:eastAsia="bs-Latn-BA"/>
              </w:rPr>
            </w:pPr>
            <w:r w:rsidRPr="00445180">
              <w:rPr>
                <w:rFonts w:ascii="Arial" w:eastAsia="Times New Roman" w:hAnsi="Arial" w:cs="Arial"/>
                <w:i/>
                <w:color w:val="000000"/>
                <w:sz w:val="20"/>
                <w:szCs w:val="20"/>
                <w:lang w:eastAsia="bs-Latn-BA"/>
              </w:rPr>
              <w:t>4.170,1</w:t>
            </w:r>
          </w:p>
        </w:tc>
        <w:tc>
          <w:tcPr>
            <w:tcW w:w="1420" w:type="dxa"/>
            <w:shd w:val="clear" w:color="auto" w:fill="auto"/>
            <w:noWrap/>
            <w:vAlign w:val="center"/>
          </w:tcPr>
          <w:p w14:paraId="07564ED8" w14:textId="679E7339" w:rsidR="00C04E10" w:rsidRPr="00D912D1" w:rsidRDefault="000C6751">
            <w:pPr>
              <w:spacing w:after="0" w:line="240" w:lineRule="auto"/>
              <w:jc w:val="right"/>
              <w:rPr>
                <w:rFonts w:ascii="Arial" w:eastAsia="Times New Roman" w:hAnsi="Arial" w:cs="Arial"/>
                <w:i/>
                <w:color w:val="000000"/>
                <w:sz w:val="20"/>
                <w:szCs w:val="20"/>
                <w:lang w:eastAsia="bs-Latn-BA"/>
              </w:rPr>
            </w:pPr>
            <w:r w:rsidRPr="00445180">
              <w:rPr>
                <w:rFonts w:ascii="Arial" w:eastAsia="Times New Roman" w:hAnsi="Arial" w:cs="Arial"/>
                <w:i/>
                <w:color w:val="000000"/>
                <w:sz w:val="20"/>
                <w:szCs w:val="20"/>
                <w:lang w:eastAsia="bs-Latn-BA"/>
              </w:rPr>
              <w:t>4.111,5</w:t>
            </w:r>
          </w:p>
        </w:tc>
        <w:tc>
          <w:tcPr>
            <w:tcW w:w="1333" w:type="dxa"/>
            <w:shd w:val="clear" w:color="auto" w:fill="auto"/>
            <w:noWrap/>
            <w:vAlign w:val="center"/>
          </w:tcPr>
          <w:p w14:paraId="151B584A" w14:textId="44B7453F" w:rsidR="00C04E10" w:rsidRPr="00D912D1" w:rsidRDefault="000C6751">
            <w:pPr>
              <w:spacing w:after="0" w:line="240" w:lineRule="auto"/>
              <w:jc w:val="right"/>
              <w:rPr>
                <w:rFonts w:ascii="Arial" w:eastAsia="Times New Roman" w:hAnsi="Arial" w:cs="Arial"/>
                <w:i/>
                <w:color w:val="000000"/>
                <w:sz w:val="20"/>
                <w:szCs w:val="20"/>
                <w:lang w:eastAsia="bs-Latn-BA"/>
              </w:rPr>
            </w:pPr>
            <w:r w:rsidRPr="00445180">
              <w:rPr>
                <w:rFonts w:ascii="Arial" w:eastAsia="Times New Roman" w:hAnsi="Arial" w:cs="Arial"/>
                <w:i/>
                <w:color w:val="000000"/>
                <w:sz w:val="20"/>
                <w:szCs w:val="20"/>
                <w:lang w:eastAsia="bs-Latn-BA"/>
              </w:rPr>
              <w:t>4.182,5</w:t>
            </w:r>
          </w:p>
        </w:tc>
      </w:tr>
      <w:tr w:rsidR="00C04E10" w:rsidRPr="00AF7CAC" w14:paraId="5CC3AE56" w14:textId="77777777" w:rsidTr="00445180">
        <w:trPr>
          <w:trHeight w:val="397"/>
        </w:trPr>
        <w:tc>
          <w:tcPr>
            <w:tcW w:w="4962" w:type="dxa"/>
            <w:shd w:val="clear" w:color="auto" w:fill="auto"/>
            <w:noWrap/>
            <w:vAlign w:val="center"/>
            <w:hideMark/>
          </w:tcPr>
          <w:p w14:paraId="642860BB" w14:textId="77777777" w:rsidR="00C04E10" w:rsidRPr="00F1630F" w:rsidRDefault="00C04E10" w:rsidP="00C04E10">
            <w:pPr>
              <w:spacing w:after="0" w:line="240" w:lineRule="auto"/>
              <w:rPr>
                <w:rFonts w:ascii="Arial" w:eastAsia="Times New Roman" w:hAnsi="Arial" w:cs="Arial"/>
                <w:i/>
                <w:color w:val="000000"/>
                <w:sz w:val="20"/>
                <w:szCs w:val="20"/>
                <w:lang w:eastAsia="bs-Latn-BA"/>
              </w:rPr>
            </w:pPr>
            <w:r w:rsidRPr="00D912D1">
              <w:rPr>
                <w:rFonts w:ascii="Arial" w:eastAsia="Times New Roman" w:hAnsi="Arial" w:cs="Arial"/>
                <w:i/>
                <w:color w:val="000000"/>
                <w:sz w:val="20"/>
                <w:szCs w:val="20"/>
                <w:lang w:eastAsia="bs-Latn-BA"/>
              </w:rPr>
              <w:t>Izdaci za kamate (u mil</w:t>
            </w:r>
            <w:r w:rsidR="00D945EA" w:rsidRPr="00D912D1">
              <w:rPr>
                <w:rFonts w:ascii="Arial" w:eastAsia="Times New Roman" w:hAnsi="Arial" w:cs="Arial"/>
                <w:i/>
                <w:color w:val="000000"/>
                <w:sz w:val="20"/>
                <w:szCs w:val="20"/>
                <w:lang w:eastAsia="bs-Latn-BA"/>
              </w:rPr>
              <w:t>.</w:t>
            </w:r>
            <w:r w:rsidRPr="00F1630F">
              <w:rPr>
                <w:rFonts w:ascii="Arial" w:eastAsia="Times New Roman" w:hAnsi="Arial" w:cs="Arial"/>
                <w:i/>
                <w:color w:val="000000"/>
                <w:sz w:val="20"/>
                <w:szCs w:val="20"/>
                <w:lang w:eastAsia="bs-Latn-BA"/>
              </w:rPr>
              <w:t xml:space="preserve"> KM)</w:t>
            </w:r>
          </w:p>
        </w:tc>
        <w:tc>
          <w:tcPr>
            <w:tcW w:w="1580" w:type="dxa"/>
            <w:shd w:val="clear" w:color="auto" w:fill="auto"/>
            <w:noWrap/>
            <w:vAlign w:val="center"/>
          </w:tcPr>
          <w:p w14:paraId="7C13D8F2" w14:textId="45E85F2C" w:rsidR="00C04E10" w:rsidRPr="00D912D1" w:rsidRDefault="000C6751" w:rsidP="00C04E10">
            <w:pPr>
              <w:spacing w:after="0" w:line="240" w:lineRule="auto"/>
              <w:jc w:val="right"/>
              <w:rPr>
                <w:rFonts w:ascii="Arial" w:eastAsia="Times New Roman" w:hAnsi="Arial" w:cs="Arial"/>
                <w:i/>
                <w:color w:val="000000"/>
                <w:sz w:val="20"/>
                <w:szCs w:val="20"/>
                <w:lang w:eastAsia="bs-Latn-BA"/>
              </w:rPr>
            </w:pPr>
            <w:r w:rsidRPr="00445180">
              <w:rPr>
                <w:rFonts w:ascii="Arial" w:eastAsia="Times New Roman" w:hAnsi="Arial" w:cs="Arial"/>
                <w:i/>
                <w:color w:val="000000"/>
                <w:sz w:val="20"/>
                <w:szCs w:val="20"/>
                <w:lang w:eastAsia="bs-Latn-BA"/>
              </w:rPr>
              <w:t>159,8</w:t>
            </w:r>
          </w:p>
        </w:tc>
        <w:tc>
          <w:tcPr>
            <w:tcW w:w="1420" w:type="dxa"/>
            <w:shd w:val="clear" w:color="auto" w:fill="auto"/>
            <w:noWrap/>
            <w:vAlign w:val="center"/>
          </w:tcPr>
          <w:p w14:paraId="2076B526" w14:textId="7E97FA4A" w:rsidR="00C04E10" w:rsidRPr="00D912D1" w:rsidRDefault="000C6751">
            <w:pPr>
              <w:spacing w:after="0" w:line="240" w:lineRule="auto"/>
              <w:jc w:val="right"/>
              <w:rPr>
                <w:rFonts w:ascii="Arial" w:eastAsia="Times New Roman" w:hAnsi="Arial" w:cs="Arial"/>
                <w:i/>
                <w:color w:val="000000"/>
                <w:sz w:val="20"/>
                <w:szCs w:val="20"/>
                <w:lang w:eastAsia="bs-Latn-BA"/>
              </w:rPr>
            </w:pPr>
            <w:r w:rsidRPr="00445180">
              <w:rPr>
                <w:rFonts w:ascii="Arial" w:eastAsia="Times New Roman" w:hAnsi="Arial" w:cs="Arial"/>
                <w:i/>
                <w:color w:val="000000"/>
                <w:sz w:val="20"/>
                <w:szCs w:val="20"/>
                <w:lang w:eastAsia="bs-Latn-BA"/>
              </w:rPr>
              <w:t>172,2</w:t>
            </w:r>
          </w:p>
        </w:tc>
        <w:tc>
          <w:tcPr>
            <w:tcW w:w="1333" w:type="dxa"/>
            <w:shd w:val="clear" w:color="auto" w:fill="auto"/>
            <w:noWrap/>
            <w:vAlign w:val="center"/>
          </w:tcPr>
          <w:p w14:paraId="051048C0" w14:textId="2769EAE3" w:rsidR="00C04E10" w:rsidRPr="00D912D1" w:rsidRDefault="000C6751">
            <w:pPr>
              <w:spacing w:after="0" w:line="240" w:lineRule="auto"/>
              <w:jc w:val="right"/>
              <w:rPr>
                <w:rFonts w:ascii="Arial" w:eastAsia="Times New Roman" w:hAnsi="Arial" w:cs="Arial"/>
                <w:i/>
                <w:color w:val="000000"/>
                <w:sz w:val="20"/>
                <w:szCs w:val="20"/>
                <w:lang w:eastAsia="bs-Latn-BA"/>
              </w:rPr>
            </w:pPr>
            <w:r w:rsidRPr="00445180">
              <w:rPr>
                <w:rFonts w:ascii="Arial" w:eastAsia="Times New Roman" w:hAnsi="Arial" w:cs="Arial"/>
                <w:i/>
                <w:color w:val="000000"/>
                <w:sz w:val="20"/>
                <w:szCs w:val="20"/>
                <w:lang w:eastAsia="bs-Latn-BA"/>
              </w:rPr>
              <w:t>170,6</w:t>
            </w:r>
          </w:p>
        </w:tc>
      </w:tr>
      <w:tr w:rsidR="00C04E10" w:rsidRPr="00AF7CAC" w14:paraId="36328C54" w14:textId="77777777" w:rsidTr="00445180">
        <w:trPr>
          <w:trHeight w:val="397"/>
        </w:trPr>
        <w:tc>
          <w:tcPr>
            <w:tcW w:w="4962" w:type="dxa"/>
            <w:shd w:val="clear" w:color="auto" w:fill="auto"/>
            <w:noWrap/>
            <w:vAlign w:val="center"/>
            <w:hideMark/>
          </w:tcPr>
          <w:p w14:paraId="5A04091C" w14:textId="5815A164" w:rsidR="00C04E10" w:rsidRPr="00D912D1" w:rsidRDefault="00C04E10" w:rsidP="00C04E10">
            <w:pPr>
              <w:spacing w:after="0" w:line="240" w:lineRule="auto"/>
              <w:rPr>
                <w:rFonts w:ascii="Arial" w:eastAsia="Times New Roman" w:hAnsi="Arial" w:cs="Arial"/>
                <w:i/>
                <w:color w:val="000000"/>
                <w:sz w:val="20"/>
                <w:szCs w:val="20"/>
                <w:lang w:eastAsia="bs-Latn-BA"/>
              </w:rPr>
            </w:pPr>
            <w:bookmarkStart w:id="120" w:name="RANGE!A9"/>
            <w:r w:rsidRPr="00D912D1">
              <w:rPr>
                <w:rFonts w:ascii="Arial" w:eastAsia="Times New Roman" w:hAnsi="Arial" w:cs="Arial"/>
                <w:i/>
                <w:color w:val="000000"/>
                <w:sz w:val="20"/>
                <w:szCs w:val="20"/>
                <w:lang w:eastAsia="bs-Latn-BA"/>
              </w:rPr>
              <w:t>Devizne rezerve (mil.</w:t>
            </w:r>
            <w:r w:rsidR="00D945EA" w:rsidRPr="00D912D1">
              <w:rPr>
                <w:rFonts w:ascii="Arial" w:eastAsia="Times New Roman" w:hAnsi="Arial" w:cs="Arial"/>
                <w:i/>
                <w:color w:val="000000"/>
                <w:sz w:val="20"/>
                <w:szCs w:val="20"/>
                <w:lang w:eastAsia="bs-Latn-BA"/>
              </w:rPr>
              <w:t xml:space="preserve"> </w:t>
            </w:r>
            <w:r w:rsidRPr="00F1630F">
              <w:rPr>
                <w:rFonts w:ascii="Arial" w:eastAsia="Times New Roman" w:hAnsi="Arial" w:cs="Arial"/>
                <w:i/>
                <w:color w:val="000000"/>
                <w:sz w:val="20"/>
                <w:szCs w:val="20"/>
                <w:lang w:eastAsia="bs-Latn-BA"/>
              </w:rPr>
              <w:t>USD)</w:t>
            </w:r>
            <w:bookmarkEnd w:id="120"/>
            <w:r w:rsidR="00554CA8" w:rsidRPr="00D912D1">
              <w:rPr>
                <w:rStyle w:val="FootnoteReference"/>
                <w:rFonts w:ascii="Arial" w:eastAsia="Times New Roman" w:hAnsi="Arial" w:cs="Arial"/>
                <w:i/>
                <w:color w:val="000000"/>
                <w:sz w:val="20"/>
                <w:szCs w:val="20"/>
                <w:lang w:eastAsia="bs-Latn-BA"/>
              </w:rPr>
              <w:footnoteReference w:id="11"/>
            </w:r>
          </w:p>
        </w:tc>
        <w:tc>
          <w:tcPr>
            <w:tcW w:w="1580" w:type="dxa"/>
            <w:shd w:val="clear" w:color="auto" w:fill="auto"/>
            <w:noWrap/>
            <w:vAlign w:val="center"/>
            <w:hideMark/>
          </w:tcPr>
          <w:p w14:paraId="67DE5847" w14:textId="2F22618A" w:rsidR="00C04E10" w:rsidRPr="00D912D1" w:rsidRDefault="009038A8">
            <w:pPr>
              <w:spacing w:after="0" w:line="240" w:lineRule="auto"/>
              <w:jc w:val="right"/>
              <w:rPr>
                <w:rFonts w:ascii="Arial" w:eastAsia="Times New Roman" w:hAnsi="Arial" w:cs="Arial"/>
                <w:i/>
                <w:color w:val="000000"/>
                <w:sz w:val="20"/>
                <w:szCs w:val="20"/>
                <w:lang w:eastAsia="bs-Latn-BA"/>
              </w:rPr>
            </w:pPr>
            <w:r w:rsidRPr="00445180">
              <w:rPr>
                <w:rFonts w:ascii="Arial" w:eastAsia="Times New Roman" w:hAnsi="Arial" w:cs="Arial"/>
                <w:i/>
                <w:color w:val="000000"/>
                <w:sz w:val="20"/>
                <w:szCs w:val="20"/>
                <w:lang w:eastAsia="bs-Latn-BA"/>
              </w:rPr>
              <w:t>8.866,32</w:t>
            </w:r>
          </w:p>
        </w:tc>
        <w:tc>
          <w:tcPr>
            <w:tcW w:w="1420" w:type="dxa"/>
            <w:shd w:val="clear" w:color="auto" w:fill="auto"/>
            <w:noWrap/>
            <w:vAlign w:val="center"/>
            <w:hideMark/>
          </w:tcPr>
          <w:p w14:paraId="57ED8537" w14:textId="31396AD2" w:rsidR="00C04E10" w:rsidRPr="00F1630F" w:rsidRDefault="009038A8">
            <w:pPr>
              <w:spacing w:after="0" w:line="240" w:lineRule="auto"/>
              <w:jc w:val="right"/>
              <w:rPr>
                <w:rFonts w:ascii="Arial" w:eastAsia="Times New Roman" w:hAnsi="Arial" w:cs="Arial"/>
                <w:i/>
                <w:color w:val="000000"/>
                <w:sz w:val="20"/>
                <w:szCs w:val="20"/>
                <w:lang w:eastAsia="bs-Latn-BA"/>
              </w:rPr>
            </w:pPr>
            <w:r w:rsidRPr="00445180">
              <w:rPr>
                <w:rFonts w:ascii="Arial" w:eastAsia="Times New Roman" w:hAnsi="Arial" w:cs="Arial"/>
                <w:i/>
                <w:color w:val="000000"/>
                <w:sz w:val="20"/>
                <w:szCs w:val="20"/>
                <w:lang w:eastAsia="bs-Latn-BA"/>
              </w:rPr>
              <w:t>9.040,17</w:t>
            </w:r>
          </w:p>
        </w:tc>
        <w:tc>
          <w:tcPr>
            <w:tcW w:w="1333" w:type="dxa"/>
            <w:shd w:val="clear" w:color="auto" w:fill="auto"/>
            <w:noWrap/>
            <w:vAlign w:val="center"/>
            <w:hideMark/>
          </w:tcPr>
          <w:p w14:paraId="4E1C7EA0" w14:textId="02C3DAE0" w:rsidR="00C04E10" w:rsidRPr="00D912D1" w:rsidRDefault="009038A8">
            <w:pPr>
              <w:spacing w:after="0" w:line="240" w:lineRule="auto"/>
              <w:jc w:val="right"/>
              <w:rPr>
                <w:rFonts w:ascii="Arial" w:eastAsia="Times New Roman" w:hAnsi="Arial" w:cs="Arial"/>
                <w:i/>
                <w:color w:val="000000"/>
                <w:sz w:val="20"/>
                <w:szCs w:val="20"/>
                <w:lang w:eastAsia="bs-Latn-BA"/>
              </w:rPr>
            </w:pPr>
            <w:r w:rsidRPr="00445180">
              <w:rPr>
                <w:rFonts w:ascii="Arial" w:eastAsia="Times New Roman" w:hAnsi="Arial" w:cs="Arial"/>
                <w:i/>
                <w:color w:val="000000"/>
                <w:sz w:val="20"/>
                <w:szCs w:val="20"/>
                <w:lang w:eastAsia="bs-Latn-BA"/>
              </w:rPr>
              <w:t>9.329,92</w:t>
            </w:r>
          </w:p>
        </w:tc>
      </w:tr>
      <w:tr w:rsidR="00C04E10" w:rsidRPr="00AF7CAC" w14:paraId="177451B4" w14:textId="77777777" w:rsidTr="00445180">
        <w:trPr>
          <w:trHeight w:val="397"/>
        </w:trPr>
        <w:tc>
          <w:tcPr>
            <w:tcW w:w="4962" w:type="dxa"/>
            <w:shd w:val="clear" w:color="auto" w:fill="auto"/>
            <w:noWrap/>
            <w:vAlign w:val="center"/>
            <w:hideMark/>
          </w:tcPr>
          <w:p w14:paraId="4C3E41F0" w14:textId="77777777" w:rsidR="00C04E10" w:rsidRPr="00F1630F" w:rsidRDefault="00C04E10" w:rsidP="00C04E10">
            <w:pPr>
              <w:spacing w:after="0" w:line="240" w:lineRule="auto"/>
              <w:rPr>
                <w:rFonts w:ascii="Arial" w:eastAsia="Times New Roman" w:hAnsi="Arial" w:cs="Arial"/>
                <w:i/>
                <w:color w:val="000000"/>
                <w:sz w:val="20"/>
                <w:szCs w:val="20"/>
                <w:lang w:eastAsia="bs-Latn-BA"/>
              </w:rPr>
            </w:pPr>
            <w:r w:rsidRPr="00D912D1">
              <w:rPr>
                <w:rFonts w:ascii="Arial" w:eastAsia="Times New Roman" w:hAnsi="Arial" w:cs="Arial"/>
                <w:i/>
                <w:color w:val="000000"/>
                <w:sz w:val="20"/>
                <w:szCs w:val="20"/>
                <w:lang w:eastAsia="bs-Latn-BA"/>
              </w:rPr>
              <w:t>BDP (Nominalni) (u mil</w:t>
            </w:r>
            <w:r w:rsidR="00D945EA" w:rsidRPr="00F1630F">
              <w:rPr>
                <w:rFonts w:ascii="Arial" w:eastAsia="Times New Roman" w:hAnsi="Arial" w:cs="Arial"/>
                <w:i/>
                <w:color w:val="000000"/>
                <w:sz w:val="20"/>
                <w:szCs w:val="20"/>
                <w:lang w:eastAsia="bs-Latn-BA"/>
              </w:rPr>
              <w:t>.</w:t>
            </w:r>
            <w:r w:rsidRPr="00F1630F">
              <w:rPr>
                <w:rFonts w:ascii="Arial" w:eastAsia="Times New Roman" w:hAnsi="Arial" w:cs="Arial"/>
                <w:i/>
                <w:color w:val="000000"/>
                <w:sz w:val="20"/>
                <w:szCs w:val="20"/>
                <w:lang w:eastAsia="bs-Latn-BA"/>
              </w:rPr>
              <w:t xml:space="preserve"> KM)</w:t>
            </w:r>
          </w:p>
        </w:tc>
        <w:tc>
          <w:tcPr>
            <w:tcW w:w="1580" w:type="dxa"/>
            <w:shd w:val="clear" w:color="auto" w:fill="auto"/>
            <w:noWrap/>
            <w:vAlign w:val="center"/>
            <w:hideMark/>
          </w:tcPr>
          <w:p w14:paraId="0B7482B6" w14:textId="6DC1717F" w:rsidR="00C04E10" w:rsidRPr="00F1630F" w:rsidRDefault="000F795C">
            <w:pPr>
              <w:spacing w:after="0" w:line="240" w:lineRule="auto"/>
              <w:jc w:val="right"/>
              <w:rPr>
                <w:rFonts w:ascii="Arial" w:eastAsia="Times New Roman" w:hAnsi="Arial" w:cs="Arial"/>
                <w:i/>
                <w:color w:val="000000"/>
                <w:sz w:val="20"/>
                <w:szCs w:val="20"/>
                <w:lang w:eastAsia="bs-Latn-BA"/>
              </w:rPr>
            </w:pPr>
            <w:r w:rsidRPr="00F1630F">
              <w:rPr>
                <w:rFonts w:ascii="Arial" w:eastAsia="Times New Roman" w:hAnsi="Arial" w:cs="Arial"/>
                <w:i/>
                <w:color w:val="000000"/>
                <w:sz w:val="20"/>
                <w:szCs w:val="20"/>
                <w:lang w:eastAsia="bs-Latn-BA"/>
              </w:rPr>
              <w:t>24.219</w:t>
            </w:r>
          </w:p>
        </w:tc>
        <w:tc>
          <w:tcPr>
            <w:tcW w:w="1420" w:type="dxa"/>
            <w:shd w:val="clear" w:color="auto" w:fill="auto"/>
            <w:noWrap/>
            <w:vAlign w:val="center"/>
            <w:hideMark/>
          </w:tcPr>
          <w:p w14:paraId="0FC73086" w14:textId="7E421591" w:rsidR="00C04E10" w:rsidRPr="00F1630F" w:rsidRDefault="000F795C">
            <w:pPr>
              <w:spacing w:after="0" w:line="240" w:lineRule="auto"/>
              <w:jc w:val="right"/>
              <w:rPr>
                <w:rFonts w:ascii="Arial" w:eastAsia="Times New Roman" w:hAnsi="Arial" w:cs="Arial"/>
                <w:i/>
                <w:color w:val="000000"/>
                <w:sz w:val="20"/>
                <w:szCs w:val="20"/>
                <w:lang w:eastAsia="bs-Latn-BA"/>
              </w:rPr>
            </w:pPr>
            <w:r w:rsidRPr="00F1630F">
              <w:rPr>
                <w:rFonts w:ascii="Arial" w:eastAsia="Times New Roman" w:hAnsi="Arial" w:cs="Arial"/>
                <w:i/>
                <w:color w:val="000000"/>
                <w:sz w:val="20"/>
                <w:szCs w:val="20"/>
                <w:lang w:eastAsia="bs-Latn-BA"/>
              </w:rPr>
              <w:t>25.216</w:t>
            </w:r>
          </w:p>
        </w:tc>
        <w:tc>
          <w:tcPr>
            <w:tcW w:w="1333" w:type="dxa"/>
            <w:shd w:val="clear" w:color="auto" w:fill="auto"/>
            <w:noWrap/>
            <w:vAlign w:val="center"/>
            <w:hideMark/>
          </w:tcPr>
          <w:p w14:paraId="679D4531" w14:textId="6E90A6C6" w:rsidR="00C04E10" w:rsidRPr="00F1630F" w:rsidRDefault="000F795C">
            <w:pPr>
              <w:spacing w:after="0" w:line="240" w:lineRule="auto"/>
              <w:jc w:val="right"/>
              <w:rPr>
                <w:rFonts w:ascii="Arial" w:eastAsia="Times New Roman" w:hAnsi="Arial" w:cs="Arial"/>
                <w:i/>
                <w:color w:val="000000"/>
                <w:sz w:val="20"/>
                <w:szCs w:val="20"/>
                <w:lang w:eastAsia="bs-Latn-BA"/>
              </w:rPr>
            </w:pPr>
            <w:r w:rsidRPr="00F1630F">
              <w:rPr>
                <w:rFonts w:ascii="Arial" w:eastAsia="Times New Roman" w:hAnsi="Arial" w:cs="Arial"/>
                <w:i/>
                <w:color w:val="000000"/>
                <w:sz w:val="20"/>
                <w:szCs w:val="20"/>
                <w:lang w:eastAsia="bs-Latn-BA"/>
              </w:rPr>
              <w:t>26.646</w:t>
            </w:r>
          </w:p>
        </w:tc>
      </w:tr>
      <w:tr w:rsidR="00C04E10" w:rsidRPr="00AF7CAC" w14:paraId="3CB09F07" w14:textId="77777777" w:rsidTr="00445180">
        <w:trPr>
          <w:trHeight w:val="397"/>
        </w:trPr>
        <w:tc>
          <w:tcPr>
            <w:tcW w:w="4962" w:type="dxa"/>
            <w:shd w:val="clear" w:color="auto" w:fill="auto"/>
            <w:noWrap/>
            <w:vAlign w:val="center"/>
            <w:hideMark/>
          </w:tcPr>
          <w:p w14:paraId="646F2541" w14:textId="77777777" w:rsidR="00C04E10" w:rsidRPr="00D912D1" w:rsidRDefault="00C04E10" w:rsidP="00C04E10">
            <w:pPr>
              <w:spacing w:after="0" w:line="240" w:lineRule="auto"/>
              <w:rPr>
                <w:rFonts w:ascii="Arial" w:eastAsia="Times New Roman" w:hAnsi="Arial" w:cs="Arial"/>
                <w:i/>
                <w:color w:val="000000"/>
                <w:sz w:val="20"/>
                <w:szCs w:val="20"/>
                <w:lang w:eastAsia="bs-Latn-BA"/>
              </w:rPr>
            </w:pPr>
            <w:r w:rsidRPr="00D912D1">
              <w:rPr>
                <w:rFonts w:ascii="Arial" w:eastAsia="Times New Roman" w:hAnsi="Arial" w:cs="Arial"/>
                <w:i/>
                <w:color w:val="000000"/>
                <w:sz w:val="20"/>
                <w:szCs w:val="20"/>
                <w:lang w:eastAsia="bs-Latn-BA"/>
              </w:rPr>
              <w:t>Nominalni rast u %</w:t>
            </w:r>
          </w:p>
        </w:tc>
        <w:tc>
          <w:tcPr>
            <w:tcW w:w="1580" w:type="dxa"/>
            <w:shd w:val="clear" w:color="auto" w:fill="auto"/>
            <w:noWrap/>
            <w:vAlign w:val="center"/>
            <w:hideMark/>
          </w:tcPr>
          <w:p w14:paraId="16F517AA" w14:textId="3E5AE9B9" w:rsidR="00C04E10" w:rsidRPr="00F1630F" w:rsidRDefault="000F795C">
            <w:pPr>
              <w:spacing w:after="0" w:line="240" w:lineRule="auto"/>
              <w:jc w:val="right"/>
              <w:rPr>
                <w:rFonts w:ascii="Arial" w:eastAsia="Times New Roman" w:hAnsi="Arial" w:cs="Arial"/>
                <w:i/>
                <w:color w:val="000000"/>
                <w:sz w:val="20"/>
                <w:szCs w:val="20"/>
                <w:lang w:eastAsia="bs-Latn-BA"/>
              </w:rPr>
            </w:pPr>
            <w:r w:rsidRPr="00F1630F">
              <w:rPr>
                <w:rFonts w:ascii="Arial" w:eastAsia="Times New Roman" w:hAnsi="Arial" w:cs="Arial"/>
                <w:i/>
                <w:color w:val="000000"/>
                <w:sz w:val="20"/>
                <w:szCs w:val="20"/>
                <w:lang w:eastAsia="bs-Latn-BA"/>
              </w:rPr>
              <w:t>5,5</w:t>
            </w:r>
          </w:p>
        </w:tc>
        <w:tc>
          <w:tcPr>
            <w:tcW w:w="1420" w:type="dxa"/>
            <w:shd w:val="clear" w:color="auto" w:fill="auto"/>
            <w:noWrap/>
            <w:vAlign w:val="center"/>
            <w:hideMark/>
          </w:tcPr>
          <w:p w14:paraId="5399A18F" w14:textId="690F7583" w:rsidR="00C04E10" w:rsidRPr="00F1630F" w:rsidRDefault="000F795C">
            <w:pPr>
              <w:spacing w:after="0" w:line="240" w:lineRule="auto"/>
              <w:jc w:val="right"/>
              <w:rPr>
                <w:rFonts w:ascii="Arial" w:eastAsia="Times New Roman" w:hAnsi="Arial" w:cs="Arial"/>
                <w:i/>
                <w:color w:val="000000"/>
                <w:sz w:val="20"/>
                <w:szCs w:val="20"/>
                <w:lang w:eastAsia="bs-Latn-BA"/>
              </w:rPr>
            </w:pPr>
            <w:r w:rsidRPr="00F1630F">
              <w:rPr>
                <w:rFonts w:ascii="Arial" w:eastAsia="Times New Roman" w:hAnsi="Arial" w:cs="Arial"/>
                <w:i/>
                <w:color w:val="000000"/>
                <w:sz w:val="20"/>
                <w:szCs w:val="20"/>
                <w:lang w:eastAsia="bs-Latn-BA"/>
              </w:rPr>
              <w:t>4,1</w:t>
            </w:r>
          </w:p>
        </w:tc>
        <w:tc>
          <w:tcPr>
            <w:tcW w:w="1333" w:type="dxa"/>
            <w:shd w:val="clear" w:color="auto" w:fill="auto"/>
            <w:noWrap/>
            <w:vAlign w:val="center"/>
            <w:hideMark/>
          </w:tcPr>
          <w:p w14:paraId="47D7CBC2" w14:textId="111C11DD" w:rsidR="00C04E10" w:rsidRPr="00F1630F" w:rsidRDefault="000F795C">
            <w:pPr>
              <w:spacing w:after="0" w:line="240" w:lineRule="auto"/>
              <w:jc w:val="right"/>
              <w:rPr>
                <w:rFonts w:ascii="Arial" w:eastAsia="Times New Roman" w:hAnsi="Arial" w:cs="Arial"/>
                <w:i/>
                <w:color w:val="000000"/>
                <w:sz w:val="20"/>
                <w:szCs w:val="20"/>
                <w:lang w:eastAsia="bs-Latn-BA"/>
              </w:rPr>
            </w:pPr>
            <w:r w:rsidRPr="00F1630F">
              <w:rPr>
                <w:rFonts w:ascii="Arial" w:eastAsia="Times New Roman" w:hAnsi="Arial" w:cs="Arial"/>
                <w:i/>
                <w:color w:val="000000"/>
                <w:sz w:val="20"/>
                <w:szCs w:val="20"/>
                <w:lang w:eastAsia="bs-Latn-BA"/>
              </w:rPr>
              <w:t>5,7</w:t>
            </w:r>
          </w:p>
        </w:tc>
      </w:tr>
      <w:tr w:rsidR="00C04E10" w:rsidRPr="00AF7CAC" w14:paraId="6B452E69" w14:textId="77777777" w:rsidTr="00445180">
        <w:trPr>
          <w:trHeight w:val="397"/>
        </w:trPr>
        <w:tc>
          <w:tcPr>
            <w:tcW w:w="4962" w:type="dxa"/>
            <w:shd w:val="clear" w:color="auto" w:fill="auto"/>
            <w:noWrap/>
            <w:vAlign w:val="center"/>
            <w:hideMark/>
          </w:tcPr>
          <w:p w14:paraId="5ED1A94E" w14:textId="77777777" w:rsidR="00C04E10" w:rsidRPr="00F1630F" w:rsidRDefault="00C04E10" w:rsidP="00C04E10">
            <w:pPr>
              <w:spacing w:after="0" w:line="240" w:lineRule="auto"/>
              <w:rPr>
                <w:rFonts w:ascii="Arial" w:eastAsia="Times New Roman" w:hAnsi="Arial" w:cs="Arial"/>
                <w:i/>
                <w:color w:val="000000"/>
                <w:sz w:val="20"/>
                <w:szCs w:val="20"/>
                <w:lang w:eastAsia="bs-Latn-BA"/>
              </w:rPr>
            </w:pPr>
            <w:r w:rsidRPr="00D912D1">
              <w:rPr>
                <w:rFonts w:ascii="Arial" w:eastAsia="Times New Roman" w:hAnsi="Arial" w:cs="Arial"/>
                <w:i/>
                <w:color w:val="000000"/>
                <w:sz w:val="20"/>
                <w:szCs w:val="20"/>
                <w:lang w:eastAsia="bs-Latn-BA"/>
              </w:rPr>
              <w:t>Realni BDP (u mil</w:t>
            </w:r>
            <w:r w:rsidR="00D945EA" w:rsidRPr="00F1630F">
              <w:rPr>
                <w:rFonts w:ascii="Arial" w:eastAsia="Times New Roman" w:hAnsi="Arial" w:cs="Arial"/>
                <w:i/>
                <w:color w:val="000000"/>
                <w:sz w:val="20"/>
                <w:szCs w:val="20"/>
                <w:lang w:eastAsia="bs-Latn-BA"/>
              </w:rPr>
              <w:t>.</w:t>
            </w:r>
            <w:r w:rsidRPr="00F1630F">
              <w:rPr>
                <w:rFonts w:ascii="Arial" w:eastAsia="Times New Roman" w:hAnsi="Arial" w:cs="Arial"/>
                <w:i/>
                <w:color w:val="000000"/>
                <w:sz w:val="20"/>
                <w:szCs w:val="20"/>
                <w:lang w:eastAsia="bs-Latn-BA"/>
              </w:rPr>
              <w:t xml:space="preserve"> KM) (prethodna g. = 100)</w:t>
            </w:r>
          </w:p>
        </w:tc>
        <w:tc>
          <w:tcPr>
            <w:tcW w:w="1580" w:type="dxa"/>
            <w:shd w:val="clear" w:color="auto" w:fill="auto"/>
            <w:noWrap/>
            <w:vAlign w:val="center"/>
            <w:hideMark/>
          </w:tcPr>
          <w:p w14:paraId="2C590667" w14:textId="664ECB1B" w:rsidR="00C04E10" w:rsidRPr="00F1630F" w:rsidRDefault="000F795C">
            <w:pPr>
              <w:spacing w:after="0" w:line="240" w:lineRule="auto"/>
              <w:jc w:val="right"/>
              <w:rPr>
                <w:rFonts w:ascii="Arial" w:eastAsia="Times New Roman" w:hAnsi="Arial" w:cs="Arial"/>
                <w:i/>
                <w:color w:val="000000"/>
                <w:sz w:val="20"/>
                <w:szCs w:val="20"/>
                <w:lang w:eastAsia="bs-Latn-BA"/>
              </w:rPr>
            </w:pPr>
            <w:r w:rsidRPr="00F1630F">
              <w:rPr>
                <w:rFonts w:ascii="Arial" w:eastAsia="Times New Roman" w:hAnsi="Arial" w:cs="Arial"/>
                <w:i/>
                <w:color w:val="000000"/>
                <w:sz w:val="20"/>
                <w:szCs w:val="20"/>
                <w:lang w:eastAsia="bs-Latn-BA"/>
              </w:rPr>
              <w:t>23.861</w:t>
            </w:r>
          </w:p>
        </w:tc>
        <w:tc>
          <w:tcPr>
            <w:tcW w:w="1420" w:type="dxa"/>
            <w:shd w:val="clear" w:color="auto" w:fill="auto"/>
            <w:noWrap/>
            <w:vAlign w:val="center"/>
            <w:hideMark/>
          </w:tcPr>
          <w:p w14:paraId="6E577AED" w14:textId="73065818" w:rsidR="00C04E10" w:rsidRPr="00F1630F" w:rsidRDefault="000F795C">
            <w:pPr>
              <w:spacing w:after="0" w:line="240" w:lineRule="auto"/>
              <w:jc w:val="right"/>
              <w:rPr>
                <w:rFonts w:ascii="Arial" w:eastAsia="Times New Roman" w:hAnsi="Arial" w:cs="Arial"/>
                <w:i/>
                <w:color w:val="000000"/>
                <w:sz w:val="20"/>
                <w:szCs w:val="20"/>
                <w:lang w:eastAsia="bs-Latn-BA"/>
              </w:rPr>
            </w:pPr>
            <w:r w:rsidRPr="00F1630F">
              <w:rPr>
                <w:rFonts w:ascii="Arial" w:eastAsia="Times New Roman" w:hAnsi="Arial" w:cs="Arial"/>
                <w:i/>
                <w:color w:val="000000"/>
                <w:sz w:val="20"/>
                <w:szCs w:val="20"/>
                <w:lang w:eastAsia="bs-Latn-BA"/>
              </w:rPr>
              <w:t>24.795</w:t>
            </w:r>
          </w:p>
        </w:tc>
        <w:tc>
          <w:tcPr>
            <w:tcW w:w="1333" w:type="dxa"/>
            <w:shd w:val="clear" w:color="auto" w:fill="auto"/>
            <w:noWrap/>
            <w:vAlign w:val="center"/>
            <w:hideMark/>
          </w:tcPr>
          <w:p w14:paraId="2D13CA50" w14:textId="3C2B27D2" w:rsidR="00C04E10" w:rsidRPr="00F1630F" w:rsidRDefault="000F795C">
            <w:pPr>
              <w:spacing w:after="0" w:line="240" w:lineRule="auto"/>
              <w:jc w:val="right"/>
              <w:rPr>
                <w:rFonts w:ascii="Arial" w:eastAsia="Times New Roman" w:hAnsi="Arial" w:cs="Arial"/>
                <w:i/>
                <w:color w:val="000000"/>
                <w:sz w:val="20"/>
                <w:szCs w:val="20"/>
                <w:lang w:eastAsia="bs-Latn-BA"/>
              </w:rPr>
            </w:pPr>
            <w:r w:rsidRPr="00F1630F">
              <w:rPr>
                <w:rFonts w:ascii="Arial" w:eastAsia="Times New Roman" w:hAnsi="Arial" w:cs="Arial"/>
                <w:i/>
                <w:color w:val="000000"/>
                <w:sz w:val="20"/>
                <w:szCs w:val="20"/>
                <w:lang w:eastAsia="bs-Latn-BA"/>
              </w:rPr>
              <w:t>25.989</w:t>
            </w:r>
          </w:p>
        </w:tc>
      </w:tr>
      <w:tr w:rsidR="00C04E10" w:rsidRPr="00AF7CAC" w14:paraId="44E95070" w14:textId="77777777" w:rsidTr="00445180">
        <w:trPr>
          <w:trHeight w:val="397"/>
        </w:trPr>
        <w:tc>
          <w:tcPr>
            <w:tcW w:w="4962" w:type="dxa"/>
            <w:shd w:val="clear" w:color="auto" w:fill="auto"/>
            <w:noWrap/>
            <w:vAlign w:val="center"/>
            <w:hideMark/>
          </w:tcPr>
          <w:p w14:paraId="581259B2" w14:textId="77777777" w:rsidR="00C04E10" w:rsidRPr="00D912D1" w:rsidRDefault="00C04E10" w:rsidP="00C04E10">
            <w:pPr>
              <w:spacing w:after="0" w:line="240" w:lineRule="auto"/>
              <w:rPr>
                <w:rFonts w:ascii="Arial" w:eastAsia="Times New Roman" w:hAnsi="Arial" w:cs="Arial"/>
                <w:i/>
                <w:color w:val="000000"/>
                <w:sz w:val="20"/>
                <w:szCs w:val="20"/>
                <w:lang w:eastAsia="bs-Latn-BA"/>
              </w:rPr>
            </w:pPr>
            <w:r w:rsidRPr="00D912D1">
              <w:rPr>
                <w:rFonts w:ascii="Arial" w:eastAsia="Times New Roman" w:hAnsi="Arial" w:cs="Arial"/>
                <w:i/>
                <w:color w:val="000000"/>
                <w:sz w:val="20"/>
                <w:szCs w:val="20"/>
                <w:lang w:eastAsia="bs-Latn-BA"/>
              </w:rPr>
              <w:t>Realni rast u %</w:t>
            </w:r>
          </w:p>
        </w:tc>
        <w:tc>
          <w:tcPr>
            <w:tcW w:w="1580" w:type="dxa"/>
            <w:shd w:val="clear" w:color="auto" w:fill="auto"/>
            <w:noWrap/>
            <w:vAlign w:val="center"/>
            <w:hideMark/>
          </w:tcPr>
          <w:p w14:paraId="5307DCB3" w14:textId="5EA371AA" w:rsidR="00C04E10" w:rsidRPr="00F1630F" w:rsidRDefault="000F795C">
            <w:pPr>
              <w:spacing w:after="0" w:line="240" w:lineRule="auto"/>
              <w:jc w:val="right"/>
              <w:rPr>
                <w:rFonts w:ascii="Arial" w:eastAsia="Times New Roman" w:hAnsi="Arial" w:cs="Arial"/>
                <w:i/>
                <w:color w:val="000000"/>
                <w:sz w:val="20"/>
                <w:szCs w:val="20"/>
                <w:lang w:eastAsia="bs-Latn-BA"/>
              </w:rPr>
            </w:pPr>
            <w:r w:rsidRPr="00F1630F">
              <w:rPr>
                <w:rFonts w:ascii="Arial" w:eastAsia="Times New Roman" w:hAnsi="Arial" w:cs="Arial"/>
                <w:i/>
                <w:color w:val="000000"/>
                <w:sz w:val="20"/>
                <w:szCs w:val="20"/>
                <w:lang w:eastAsia="bs-Latn-BA"/>
              </w:rPr>
              <w:t>3,9</w:t>
            </w:r>
          </w:p>
        </w:tc>
        <w:tc>
          <w:tcPr>
            <w:tcW w:w="1420" w:type="dxa"/>
            <w:shd w:val="clear" w:color="auto" w:fill="auto"/>
            <w:noWrap/>
            <w:vAlign w:val="center"/>
            <w:hideMark/>
          </w:tcPr>
          <w:p w14:paraId="6FAAB377" w14:textId="701CDF83" w:rsidR="00C04E10" w:rsidRPr="00F1630F" w:rsidRDefault="000F795C">
            <w:pPr>
              <w:spacing w:after="0" w:line="240" w:lineRule="auto"/>
              <w:jc w:val="right"/>
              <w:rPr>
                <w:rFonts w:ascii="Arial" w:eastAsia="Times New Roman" w:hAnsi="Arial" w:cs="Arial"/>
                <w:i/>
                <w:color w:val="000000"/>
                <w:sz w:val="20"/>
                <w:szCs w:val="20"/>
                <w:lang w:eastAsia="bs-Latn-BA"/>
              </w:rPr>
            </w:pPr>
            <w:r w:rsidRPr="00F1630F">
              <w:rPr>
                <w:rFonts w:ascii="Arial" w:eastAsia="Times New Roman" w:hAnsi="Arial" w:cs="Arial"/>
                <w:i/>
                <w:color w:val="000000"/>
                <w:sz w:val="20"/>
                <w:szCs w:val="20"/>
                <w:lang w:eastAsia="bs-Latn-BA"/>
              </w:rPr>
              <w:t>2,4</w:t>
            </w:r>
          </w:p>
        </w:tc>
        <w:tc>
          <w:tcPr>
            <w:tcW w:w="1333" w:type="dxa"/>
            <w:shd w:val="clear" w:color="auto" w:fill="auto"/>
            <w:noWrap/>
            <w:vAlign w:val="center"/>
            <w:hideMark/>
          </w:tcPr>
          <w:p w14:paraId="02B3C06A" w14:textId="01A50643" w:rsidR="00C04E10" w:rsidRPr="00F1630F" w:rsidRDefault="000F795C">
            <w:pPr>
              <w:spacing w:after="0" w:line="240" w:lineRule="auto"/>
              <w:jc w:val="right"/>
              <w:rPr>
                <w:rFonts w:ascii="Arial" w:eastAsia="Times New Roman" w:hAnsi="Arial" w:cs="Arial"/>
                <w:i/>
                <w:color w:val="000000"/>
                <w:sz w:val="20"/>
                <w:szCs w:val="20"/>
                <w:lang w:eastAsia="bs-Latn-BA"/>
              </w:rPr>
            </w:pPr>
            <w:r w:rsidRPr="00F1630F">
              <w:rPr>
                <w:rFonts w:ascii="Arial" w:eastAsia="Times New Roman" w:hAnsi="Arial" w:cs="Arial"/>
                <w:i/>
                <w:color w:val="000000"/>
                <w:sz w:val="20"/>
                <w:szCs w:val="20"/>
                <w:lang w:eastAsia="bs-Latn-BA"/>
              </w:rPr>
              <w:t>3,1</w:t>
            </w:r>
          </w:p>
        </w:tc>
      </w:tr>
    </w:tbl>
    <w:p w14:paraId="7E68D49A" w14:textId="77777777" w:rsidR="00971028" w:rsidRDefault="00971028" w:rsidP="00ED768D">
      <w:pPr>
        <w:spacing w:after="0" w:line="240" w:lineRule="auto"/>
        <w:jc w:val="both"/>
        <w:rPr>
          <w:rFonts w:ascii="Arial" w:hAnsi="Arial" w:cs="Arial"/>
          <w:bCs/>
          <w:szCs w:val="24"/>
        </w:rPr>
      </w:pPr>
    </w:p>
    <w:p w14:paraId="6BD3DB06" w14:textId="77777777" w:rsidR="00315942" w:rsidRDefault="00315942" w:rsidP="00ED768D">
      <w:pPr>
        <w:spacing w:after="0" w:line="240" w:lineRule="auto"/>
        <w:jc w:val="both"/>
        <w:rPr>
          <w:rFonts w:ascii="Arial" w:hAnsi="Arial" w:cs="Arial"/>
          <w:bCs/>
          <w:szCs w:val="24"/>
        </w:rPr>
      </w:pPr>
    </w:p>
    <w:p w14:paraId="398666D9" w14:textId="77777777" w:rsidR="00315942" w:rsidRDefault="00315942" w:rsidP="00ED768D">
      <w:pPr>
        <w:spacing w:after="0" w:line="240" w:lineRule="auto"/>
        <w:jc w:val="both"/>
        <w:rPr>
          <w:rFonts w:ascii="Arial" w:hAnsi="Arial" w:cs="Arial"/>
          <w:bCs/>
          <w:szCs w:val="24"/>
        </w:rPr>
      </w:pPr>
    </w:p>
    <w:p w14:paraId="08380754" w14:textId="77777777" w:rsidR="00DC2C95" w:rsidRDefault="00DC2C95" w:rsidP="00ED768D">
      <w:pPr>
        <w:spacing w:after="0" w:line="240" w:lineRule="auto"/>
        <w:jc w:val="both"/>
        <w:rPr>
          <w:rFonts w:ascii="Arial" w:hAnsi="Arial" w:cs="Arial"/>
          <w:bCs/>
          <w:szCs w:val="24"/>
        </w:rPr>
      </w:pPr>
    </w:p>
    <w:p w14:paraId="74245B6F" w14:textId="77777777" w:rsidR="00315942" w:rsidRDefault="00315942" w:rsidP="00ED768D">
      <w:pPr>
        <w:spacing w:after="0" w:line="240" w:lineRule="auto"/>
        <w:jc w:val="both"/>
        <w:rPr>
          <w:rFonts w:ascii="Arial" w:hAnsi="Arial" w:cs="Arial"/>
          <w:bCs/>
          <w:szCs w:val="24"/>
        </w:rPr>
      </w:pPr>
    </w:p>
    <w:p w14:paraId="31D4B1E7" w14:textId="77777777" w:rsidR="00315942" w:rsidRDefault="00315942" w:rsidP="00ED768D">
      <w:pPr>
        <w:spacing w:after="0" w:line="240" w:lineRule="auto"/>
        <w:jc w:val="both"/>
        <w:rPr>
          <w:rFonts w:ascii="Arial" w:hAnsi="Arial" w:cs="Arial"/>
          <w:bCs/>
          <w:szCs w:val="24"/>
        </w:rPr>
      </w:pPr>
    </w:p>
    <w:p w14:paraId="47B9B911" w14:textId="77777777" w:rsidR="00315942" w:rsidRDefault="00315942" w:rsidP="00ED768D">
      <w:pPr>
        <w:spacing w:after="0" w:line="240" w:lineRule="auto"/>
        <w:jc w:val="both"/>
        <w:rPr>
          <w:rFonts w:ascii="Arial" w:hAnsi="Arial" w:cs="Arial"/>
          <w:bCs/>
          <w:szCs w:val="24"/>
        </w:rPr>
      </w:pPr>
    </w:p>
    <w:p w14:paraId="3AFDAC53" w14:textId="77777777" w:rsidR="00315942" w:rsidRDefault="00315942" w:rsidP="00ED768D">
      <w:pPr>
        <w:spacing w:after="0" w:line="240" w:lineRule="auto"/>
        <w:jc w:val="both"/>
        <w:rPr>
          <w:rFonts w:ascii="Arial" w:hAnsi="Arial" w:cs="Arial"/>
          <w:bCs/>
          <w:szCs w:val="24"/>
        </w:rPr>
      </w:pPr>
    </w:p>
    <w:p w14:paraId="30C8BC40" w14:textId="77777777" w:rsidR="00315942" w:rsidRDefault="00315942" w:rsidP="00ED768D">
      <w:pPr>
        <w:spacing w:after="0" w:line="240" w:lineRule="auto"/>
        <w:jc w:val="both"/>
        <w:rPr>
          <w:rFonts w:ascii="Arial" w:hAnsi="Arial" w:cs="Arial"/>
          <w:bCs/>
          <w:szCs w:val="24"/>
        </w:rPr>
      </w:pPr>
    </w:p>
    <w:p w14:paraId="1FEAC3C3" w14:textId="77777777" w:rsidR="00315942" w:rsidRDefault="00315942" w:rsidP="00ED768D">
      <w:pPr>
        <w:spacing w:after="0" w:line="240" w:lineRule="auto"/>
        <w:jc w:val="both"/>
        <w:rPr>
          <w:rFonts w:ascii="Arial" w:hAnsi="Arial" w:cs="Arial"/>
          <w:bCs/>
          <w:szCs w:val="24"/>
        </w:rPr>
      </w:pPr>
    </w:p>
    <w:p w14:paraId="0C64C185" w14:textId="77777777" w:rsidR="00315942" w:rsidRDefault="00315942" w:rsidP="00ED768D">
      <w:pPr>
        <w:spacing w:after="0" w:line="240" w:lineRule="auto"/>
        <w:jc w:val="both"/>
        <w:rPr>
          <w:rFonts w:ascii="Arial" w:hAnsi="Arial" w:cs="Arial"/>
          <w:bCs/>
          <w:szCs w:val="24"/>
        </w:rPr>
      </w:pPr>
    </w:p>
    <w:p w14:paraId="1060CF34" w14:textId="77777777" w:rsidR="00315942" w:rsidRDefault="00315942" w:rsidP="00ED768D">
      <w:pPr>
        <w:spacing w:after="0" w:line="240" w:lineRule="auto"/>
        <w:jc w:val="both"/>
        <w:rPr>
          <w:rFonts w:ascii="Arial" w:hAnsi="Arial" w:cs="Arial"/>
          <w:bCs/>
          <w:szCs w:val="24"/>
        </w:rPr>
      </w:pPr>
    </w:p>
    <w:p w14:paraId="6CF9C718" w14:textId="77777777" w:rsidR="00315942" w:rsidRDefault="00315942" w:rsidP="00ED768D">
      <w:pPr>
        <w:spacing w:after="0" w:line="240" w:lineRule="auto"/>
        <w:jc w:val="both"/>
        <w:rPr>
          <w:rFonts w:ascii="Arial" w:hAnsi="Arial" w:cs="Arial"/>
          <w:bCs/>
          <w:szCs w:val="24"/>
        </w:rPr>
      </w:pPr>
    </w:p>
    <w:p w14:paraId="4557CF51" w14:textId="77777777" w:rsidR="00315942" w:rsidRDefault="00315942" w:rsidP="00ED768D">
      <w:pPr>
        <w:spacing w:after="0" w:line="240" w:lineRule="auto"/>
        <w:jc w:val="both"/>
        <w:rPr>
          <w:rFonts w:ascii="Arial" w:hAnsi="Arial" w:cs="Arial"/>
          <w:bCs/>
          <w:szCs w:val="24"/>
        </w:rPr>
      </w:pPr>
    </w:p>
    <w:p w14:paraId="54B929F8" w14:textId="77777777" w:rsidR="00315942" w:rsidRDefault="00315942" w:rsidP="00ED768D">
      <w:pPr>
        <w:spacing w:after="0" w:line="240" w:lineRule="auto"/>
        <w:jc w:val="both"/>
        <w:rPr>
          <w:rFonts w:ascii="Arial" w:hAnsi="Arial" w:cs="Arial"/>
          <w:bCs/>
          <w:szCs w:val="24"/>
        </w:rPr>
      </w:pPr>
    </w:p>
    <w:p w14:paraId="71A9C6B4" w14:textId="77777777" w:rsidR="003E2B23" w:rsidRDefault="003E2B23" w:rsidP="00ED768D">
      <w:pPr>
        <w:spacing w:after="0" w:line="240" w:lineRule="auto"/>
        <w:jc w:val="both"/>
        <w:rPr>
          <w:rFonts w:ascii="Arial" w:hAnsi="Arial" w:cs="Arial"/>
          <w:bCs/>
          <w:szCs w:val="24"/>
        </w:rPr>
      </w:pPr>
    </w:p>
    <w:p w14:paraId="1C78DD14" w14:textId="77777777" w:rsidR="003E2B23" w:rsidRDefault="003E2B23" w:rsidP="00ED768D">
      <w:pPr>
        <w:spacing w:after="0" w:line="240" w:lineRule="auto"/>
        <w:jc w:val="both"/>
        <w:rPr>
          <w:rFonts w:ascii="Arial" w:hAnsi="Arial" w:cs="Arial"/>
          <w:bCs/>
          <w:szCs w:val="24"/>
        </w:rPr>
      </w:pPr>
    </w:p>
    <w:p w14:paraId="583FDBA9" w14:textId="77777777" w:rsidR="003E2B23" w:rsidRDefault="003E2B23" w:rsidP="00ED768D">
      <w:pPr>
        <w:spacing w:after="0" w:line="240" w:lineRule="auto"/>
        <w:jc w:val="both"/>
        <w:rPr>
          <w:rFonts w:ascii="Arial" w:hAnsi="Arial" w:cs="Arial"/>
          <w:bCs/>
          <w:szCs w:val="24"/>
        </w:rPr>
      </w:pPr>
    </w:p>
    <w:p w14:paraId="7429BD0A" w14:textId="77777777" w:rsidR="003E2B23" w:rsidRDefault="003E2B23" w:rsidP="00ED768D">
      <w:pPr>
        <w:spacing w:after="0" w:line="240" w:lineRule="auto"/>
        <w:jc w:val="both"/>
        <w:rPr>
          <w:rFonts w:ascii="Arial" w:hAnsi="Arial" w:cs="Arial"/>
          <w:bCs/>
          <w:szCs w:val="24"/>
        </w:rPr>
      </w:pPr>
    </w:p>
    <w:p w14:paraId="156EB2C5" w14:textId="77777777" w:rsidR="003E2B23" w:rsidRDefault="003E2B23" w:rsidP="00ED768D">
      <w:pPr>
        <w:spacing w:after="0" w:line="240" w:lineRule="auto"/>
        <w:jc w:val="both"/>
        <w:rPr>
          <w:rFonts w:ascii="Arial" w:hAnsi="Arial" w:cs="Arial"/>
          <w:bCs/>
          <w:szCs w:val="24"/>
        </w:rPr>
      </w:pPr>
    </w:p>
    <w:p w14:paraId="45BFBFCB" w14:textId="670712F2" w:rsidR="006C23C4" w:rsidRPr="00AF7CAC" w:rsidRDefault="00ED768D" w:rsidP="00ED768D">
      <w:pPr>
        <w:spacing w:after="0" w:line="240" w:lineRule="auto"/>
        <w:jc w:val="both"/>
        <w:rPr>
          <w:rFonts w:ascii="Arial" w:hAnsi="Arial" w:cs="Arial"/>
          <w:bCs/>
          <w:sz w:val="24"/>
          <w:szCs w:val="24"/>
        </w:rPr>
      </w:pPr>
      <w:r w:rsidRPr="00B13BEE">
        <w:rPr>
          <w:rFonts w:ascii="Arial" w:hAnsi="Arial" w:cs="Arial"/>
          <w:bCs/>
          <w:szCs w:val="24"/>
        </w:rPr>
        <w:lastRenderedPageBreak/>
        <w:fldChar w:fldCharType="begin"/>
      </w:r>
      <w:r w:rsidRPr="00B13BEE">
        <w:rPr>
          <w:rFonts w:ascii="Arial" w:hAnsi="Arial" w:cs="Arial"/>
          <w:bCs/>
          <w:szCs w:val="24"/>
        </w:rPr>
        <w:instrText xml:space="preserve"> TC "</w:instrText>
      </w:r>
      <w:bookmarkStart w:id="121" w:name="_Toc378596787"/>
      <w:bookmarkStart w:id="122" w:name="_Toc395874948"/>
      <w:r w:rsidRPr="00B13BEE">
        <w:rPr>
          <w:rFonts w:ascii="Arial" w:hAnsi="Arial" w:cs="Arial"/>
          <w:bCs/>
          <w:szCs w:val="24"/>
        </w:rPr>
        <w:instrText>6. Macroeconomic Risks and Implications for Debt Management Strategies</w:instrText>
      </w:r>
      <w:bookmarkEnd w:id="121"/>
      <w:bookmarkEnd w:id="122"/>
      <w:r w:rsidRPr="00B13BEE">
        <w:rPr>
          <w:rFonts w:ascii="Arial" w:hAnsi="Arial" w:cs="Arial"/>
          <w:bCs/>
          <w:szCs w:val="24"/>
        </w:rPr>
        <w:instrText xml:space="preserve">"\f B </w:instrText>
      </w:r>
      <w:r w:rsidRPr="00B13BEE">
        <w:rPr>
          <w:rFonts w:ascii="Arial" w:hAnsi="Arial" w:cs="Arial"/>
          <w:bCs/>
          <w:szCs w:val="24"/>
        </w:rPr>
        <w:fldChar w:fldCharType="end"/>
      </w:r>
      <w:r w:rsidRPr="00B13BEE">
        <w:rPr>
          <w:rFonts w:ascii="Arial" w:hAnsi="Arial" w:cs="Arial"/>
          <w:bCs/>
          <w:szCs w:val="24"/>
        </w:rPr>
        <w:t xml:space="preserve">Tabela </w:t>
      </w:r>
      <w:r w:rsidR="005A0B60" w:rsidRPr="00B13BEE">
        <w:rPr>
          <w:rFonts w:ascii="Arial" w:hAnsi="Arial" w:cs="Arial"/>
          <w:bCs/>
          <w:szCs w:val="24"/>
        </w:rPr>
        <w:t>7</w:t>
      </w:r>
      <w:r w:rsidRPr="00B13BEE">
        <w:rPr>
          <w:rFonts w:ascii="Arial" w:hAnsi="Arial" w:cs="Arial"/>
          <w:bCs/>
          <w:szCs w:val="24"/>
        </w:rPr>
        <w:t xml:space="preserve">. </w:t>
      </w:r>
      <w:r w:rsidRPr="00D912D1">
        <w:rPr>
          <w:rFonts w:ascii="Arial" w:hAnsi="Arial" w:cs="Arial"/>
          <w:bCs/>
          <w:szCs w:val="24"/>
        </w:rPr>
        <w:t>Makroekonomski rizici i implikacije po strategij</w:t>
      </w:r>
      <w:r w:rsidR="00642162" w:rsidRPr="00F1630F">
        <w:rPr>
          <w:rFonts w:ascii="Arial" w:hAnsi="Arial" w:cs="Arial"/>
          <w:bCs/>
          <w:szCs w:val="24"/>
        </w:rPr>
        <w:t>u</w:t>
      </w:r>
      <w:r w:rsidRPr="00F1630F">
        <w:rPr>
          <w:rFonts w:ascii="Arial" w:hAnsi="Arial" w:cs="Arial"/>
          <w:bCs/>
          <w:szCs w:val="24"/>
        </w:rPr>
        <w:t xml:space="preserve"> upravljanja dugom</w:t>
      </w:r>
    </w:p>
    <w:p w14:paraId="0E2285D5" w14:textId="77777777" w:rsidR="000F795C" w:rsidRPr="00AF7CAC" w:rsidRDefault="000F795C" w:rsidP="00ED768D">
      <w:pPr>
        <w:spacing w:after="0" w:line="240" w:lineRule="auto"/>
        <w:jc w:val="both"/>
        <w:rPr>
          <w:rFonts w:ascii="Arial" w:hAnsi="Arial" w:cs="Arial"/>
          <w:bCs/>
          <w:sz w:val="24"/>
          <w:szCs w:val="24"/>
        </w:rPr>
      </w:pPr>
    </w:p>
    <w:tbl>
      <w:tblPr>
        <w:tblStyle w:val="GridTable4-Accent11"/>
        <w:tblW w:w="9918" w:type="dxa"/>
        <w:jc w:val="center"/>
        <w:tblLook w:val="04A0" w:firstRow="1" w:lastRow="0" w:firstColumn="1" w:lastColumn="0" w:noHBand="0" w:noVBand="1"/>
      </w:tblPr>
      <w:tblGrid>
        <w:gridCol w:w="2405"/>
        <w:gridCol w:w="1276"/>
        <w:gridCol w:w="6237"/>
      </w:tblGrid>
      <w:tr w:rsidR="00ED768D" w:rsidRPr="00B92496" w14:paraId="5747E8C8" w14:textId="77777777" w:rsidTr="00445180">
        <w:trPr>
          <w:cnfStyle w:val="100000000000" w:firstRow="1" w:lastRow="0" w:firstColumn="0" w:lastColumn="0" w:oddVBand="0" w:evenVBand="0" w:oddHBand="0"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vAlign w:val="center"/>
          </w:tcPr>
          <w:p w14:paraId="380012D1" w14:textId="77777777" w:rsidR="00ED768D" w:rsidRPr="00B92496" w:rsidRDefault="00ED768D" w:rsidP="00ED768D">
            <w:pPr>
              <w:keepNext/>
              <w:rPr>
                <w:rFonts w:ascii="Arial" w:eastAsia="SimSun" w:hAnsi="Arial" w:cs="Arial"/>
                <w:b w:val="0"/>
                <w:i/>
                <w:color w:val="auto"/>
                <w:szCs w:val="20"/>
              </w:rPr>
            </w:pPr>
            <w:r w:rsidRPr="00B92496">
              <w:rPr>
                <w:rFonts w:ascii="Arial" w:eastAsia="SimSun" w:hAnsi="Arial" w:cs="Arial"/>
                <w:b w:val="0"/>
                <w:i/>
                <w:color w:val="auto"/>
                <w:szCs w:val="20"/>
              </w:rPr>
              <w:t xml:space="preserve">Realni sektor </w:t>
            </w:r>
          </w:p>
        </w:tc>
        <w:tc>
          <w:tcPr>
            <w:tcW w:w="1276" w:type="dxa"/>
            <w:shd w:val="clear" w:color="auto" w:fill="DBE5F1" w:themeFill="accent1" w:themeFillTint="33"/>
            <w:vAlign w:val="center"/>
          </w:tcPr>
          <w:p w14:paraId="75DEA08F" w14:textId="77777777" w:rsidR="00ED768D" w:rsidRPr="00B92496" w:rsidRDefault="00ED768D" w:rsidP="00ED768D">
            <w:pPr>
              <w:keepNext/>
              <w:cnfStyle w:val="100000000000" w:firstRow="1" w:lastRow="0" w:firstColumn="0" w:lastColumn="0" w:oddVBand="0" w:evenVBand="0" w:oddHBand="0" w:evenHBand="0" w:firstRowFirstColumn="0" w:firstRowLastColumn="0" w:lastRowFirstColumn="0" w:lastRowLastColumn="0"/>
              <w:rPr>
                <w:rFonts w:ascii="Arial" w:eastAsia="SimSun" w:hAnsi="Arial" w:cs="Arial"/>
                <w:color w:val="auto"/>
                <w:szCs w:val="20"/>
              </w:rPr>
            </w:pPr>
          </w:p>
        </w:tc>
        <w:tc>
          <w:tcPr>
            <w:tcW w:w="6237" w:type="dxa"/>
            <w:shd w:val="clear" w:color="auto" w:fill="DBE5F1" w:themeFill="accent1" w:themeFillTint="33"/>
            <w:vAlign w:val="center"/>
          </w:tcPr>
          <w:p w14:paraId="78C27679" w14:textId="77777777" w:rsidR="00ED768D" w:rsidRPr="00B92496" w:rsidRDefault="00ED768D" w:rsidP="00ED768D">
            <w:pPr>
              <w:keepNext/>
              <w:cnfStyle w:val="100000000000" w:firstRow="1" w:lastRow="0" w:firstColumn="0" w:lastColumn="0" w:oddVBand="0" w:evenVBand="0" w:oddHBand="0" w:evenHBand="0" w:firstRowFirstColumn="0" w:firstRowLastColumn="0" w:lastRowFirstColumn="0" w:lastRowLastColumn="0"/>
              <w:rPr>
                <w:rFonts w:ascii="Arial" w:eastAsia="SimSun" w:hAnsi="Arial" w:cs="Arial"/>
                <w:color w:val="auto"/>
                <w:szCs w:val="20"/>
              </w:rPr>
            </w:pPr>
          </w:p>
        </w:tc>
      </w:tr>
      <w:tr w:rsidR="00ED768D" w:rsidRPr="00B92496" w14:paraId="3B1883FD" w14:textId="77777777" w:rsidTr="00B92496">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7CBA1EFD" w14:textId="77777777" w:rsidR="00ED768D" w:rsidRPr="00B92496" w:rsidRDefault="00ED768D" w:rsidP="00ED768D">
            <w:pPr>
              <w:keepNext/>
              <w:rPr>
                <w:rFonts w:ascii="Arial" w:eastAsia="SimSun" w:hAnsi="Arial" w:cs="Arial"/>
                <w:b w:val="0"/>
                <w:szCs w:val="20"/>
              </w:rPr>
            </w:pPr>
            <w:r w:rsidRPr="00B92496">
              <w:rPr>
                <w:rFonts w:ascii="Arial" w:eastAsia="SimSun" w:hAnsi="Arial" w:cs="Arial"/>
                <w:b w:val="0"/>
                <w:szCs w:val="20"/>
              </w:rPr>
              <w:t>- Rast</w:t>
            </w:r>
          </w:p>
        </w:tc>
        <w:tc>
          <w:tcPr>
            <w:tcW w:w="1276" w:type="dxa"/>
            <w:shd w:val="clear" w:color="auto" w:fill="auto"/>
            <w:vAlign w:val="center"/>
          </w:tcPr>
          <w:p w14:paraId="0B43C40D" w14:textId="41AC3970" w:rsidR="00ED768D" w:rsidRPr="00B92496" w:rsidRDefault="00ED768D" w:rsidP="00ED768D">
            <w:pPr>
              <w:keepNext/>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B92496">
              <w:rPr>
                <w:rFonts w:ascii="Arial" w:eastAsia="SimSun" w:hAnsi="Arial" w:cs="Arial"/>
                <w:szCs w:val="20"/>
              </w:rPr>
              <w:t>Srednja</w:t>
            </w:r>
            <w:r w:rsidR="00B92496">
              <w:rPr>
                <w:rFonts w:ascii="Arial" w:eastAsia="SimSun" w:hAnsi="Arial" w:cs="Arial"/>
                <w:szCs w:val="20"/>
              </w:rPr>
              <w:t xml:space="preserve"> do visoka</w:t>
            </w:r>
          </w:p>
        </w:tc>
        <w:tc>
          <w:tcPr>
            <w:tcW w:w="6237" w:type="dxa"/>
            <w:shd w:val="clear" w:color="auto" w:fill="auto"/>
            <w:vAlign w:val="center"/>
          </w:tcPr>
          <w:p w14:paraId="41C4EF2E" w14:textId="4C7D5757" w:rsidR="00ED768D" w:rsidRPr="00F1630F" w:rsidRDefault="00ED768D" w:rsidP="00D24459">
            <w:pPr>
              <w:keepNext/>
              <w:jc w:val="both"/>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D912D1">
              <w:rPr>
                <w:rFonts w:ascii="Arial" w:eastAsia="SimSun" w:hAnsi="Arial" w:cs="Arial"/>
                <w:szCs w:val="20"/>
              </w:rPr>
              <w:t xml:space="preserve">Slaba vanjska potražnja ili veća </w:t>
            </w:r>
            <w:r w:rsidR="009A78EF">
              <w:rPr>
                <w:rFonts w:ascii="Arial" w:eastAsia="SimSun" w:hAnsi="Arial" w:cs="Arial"/>
                <w:szCs w:val="20"/>
              </w:rPr>
              <w:t>financ</w:t>
            </w:r>
            <w:r w:rsidRPr="00D912D1">
              <w:rPr>
                <w:rFonts w:ascii="Arial" w:eastAsia="SimSun" w:hAnsi="Arial" w:cs="Arial"/>
                <w:szCs w:val="20"/>
              </w:rPr>
              <w:t>ijska nestabilnost bi mogli smanjiti potencijal za rast, što bi dovelo do poteškoća u fiskalnoj politici i rezultiralo većim zaduživanjem.</w:t>
            </w:r>
            <w:r w:rsidRPr="00F1630F">
              <w:rPr>
                <w:rFonts w:ascii="Arial" w:eastAsia="SimSun" w:hAnsi="Arial" w:cs="Arial"/>
                <w:szCs w:val="20"/>
              </w:rPr>
              <w:t xml:space="preserve">  </w:t>
            </w:r>
          </w:p>
        </w:tc>
      </w:tr>
      <w:tr w:rsidR="00642162" w:rsidRPr="00B92496" w14:paraId="40FE0F5F" w14:textId="77777777" w:rsidTr="00445180">
        <w:trPr>
          <w:trHeight w:val="367"/>
          <w:jc w:val="center"/>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DBE5F1" w:themeFill="accent1" w:themeFillTint="33"/>
            <w:vAlign w:val="center"/>
          </w:tcPr>
          <w:p w14:paraId="368C574E" w14:textId="77777777" w:rsidR="00642162" w:rsidRPr="00B92496" w:rsidRDefault="00642162" w:rsidP="00ED768D">
            <w:pPr>
              <w:keepNext/>
              <w:rPr>
                <w:rFonts w:ascii="Arial" w:eastAsia="SimSun" w:hAnsi="Arial" w:cs="Arial"/>
                <w:color w:val="E36C0A" w:themeColor="accent6" w:themeShade="BF"/>
                <w:szCs w:val="20"/>
              </w:rPr>
            </w:pPr>
            <w:r w:rsidRPr="00B92496">
              <w:rPr>
                <w:rFonts w:ascii="Arial" w:eastAsia="SimSun" w:hAnsi="Arial" w:cs="Arial"/>
                <w:b w:val="0"/>
                <w:i/>
                <w:szCs w:val="20"/>
              </w:rPr>
              <w:t>Fiskalni sektor</w:t>
            </w:r>
            <w:r w:rsidRPr="00B92496">
              <w:rPr>
                <w:rFonts w:ascii="Arial" w:eastAsia="SimSun" w:hAnsi="Arial" w:cs="Arial"/>
                <w:b w:val="0"/>
                <w:szCs w:val="20"/>
              </w:rPr>
              <w:t xml:space="preserve"> </w:t>
            </w:r>
          </w:p>
        </w:tc>
      </w:tr>
      <w:tr w:rsidR="00ED768D" w:rsidRPr="00B92496" w14:paraId="5C16B2CC" w14:textId="77777777" w:rsidTr="00B92496">
        <w:trPr>
          <w:cnfStyle w:val="000000100000" w:firstRow="0" w:lastRow="0" w:firstColumn="0" w:lastColumn="0" w:oddVBand="0" w:evenVBand="0" w:oddHBand="1" w:evenHBand="0" w:firstRowFirstColumn="0" w:firstRowLastColumn="0" w:lastRowFirstColumn="0" w:lastRowLastColumn="0"/>
          <w:trHeight w:val="1734"/>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6DA086A7" w14:textId="77777777" w:rsidR="00ED768D" w:rsidRPr="00B92496" w:rsidRDefault="00ED768D" w:rsidP="00ED768D">
            <w:pPr>
              <w:keepNext/>
              <w:rPr>
                <w:rFonts w:ascii="Arial" w:eastAsia="SimSun" w:hAnsi="Arial" w:cs="Arial"/>
                <w:b w:val="0"/>
                <w:szCs w:val="20"/>
              </w:rPr>
            </w:pPr>
            <w:r w:rsidRPr="00B92496">
              <w:rPr>
                <w:rFonts w:ascii="Arial" w:eastAsia="SimSun" w:hAnsi="Arial" w:cs="Arial"/>
                <w:b w:val="0"/>
                <w:szCs w:val="20"/>
              </w:rPr>
              <w:t xml:space="preserve">- Održivost duga </w:t>
            </w:r>
          </w:p>
        </w:tc>
        <w:tc>
          <w:tcPr>
            <w:tcW w:w="1276" w:type="dxa"/>
            <w:shd w:val="clear" w:color="auto" w:fill="auto"/>
            <w:vAlign w:val="center"/>
          </w:tcPr>
          <w:p w14:paraId="425A9806" w14:textId="77777777" w:rsidR="00ED768D" w:rsidRPr="00B92496" w:rsidRDefault="00ED768D" w:rsidP="00ED768D">
            <w:pPr>
              <w:keepNext/>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B92496">
              <w:rPr>
                <w:rFonts w:ascii="Arial" w:eastAsia="SimSun" w:hAnsi="Arial" w:cs="Arial"/>
                <w:szCs w:val="20"/>
              </w:rPr>
              <w:t>Srednja</w:t>
            </w:r>
          </w:p>
        </w:tc>
        <w:tc>
          <w:tcPr>
            <w:tcW w:w="6237" w:type="dxa"/>
            <w:shd w:val="clear" w:color="auto" w:fill="auto"/>
            <w:vAlign w:val="center"/>
          </w:tcPr>
          <w:p w14:paraId="2886F2A0" w14:textId="123CCECF" w:rsidR="00ED768D" w:rsidRPr="00B92496" w:rsidRDefault="00ED768D" w:rsidP="003E2B23">
            <w:pPr>
              <w:keepNext/>
              <w:jc w:val="both"/>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D912D1">
              <w:rPr>
                <w:rFonts w:ascii="Arial" w:eastAsia="SimSun" w:hAnsi="Arial" w:cs="Arial"/>
                <w:szCs w:val="20"/>
              </w:rPr>
              <w:t xml:space="preserve">Pritisak na rastuće rashode i kapitalne investicije bi povećao </w:t>
            </w:r>
            <w:r w:rsidR="009A78EF">
              <w:rPr>
                <w:rFonts w:ascii="Arial" w:eastAsia="SimSun" w:hAnsi="Arial" w:cs="Arial"/>
                <w:szCs w:val="20"/>
              </w:rPr>
              <w:t>financ</w:t>
            </w:r>
            <w:r w:rsidRPr="00D912D1">
              <w:rPr>
                <w:rFonts w:ascii="Arial" w:eastAsia="SimSun" w:hAnsi="Arial" w:cs="Arial"/>
                <w:szCs w:val="20"/>
              </w:rPr>
              <w:t xml:space="preserve">ijske potrebe. </w:t>
            </w:r>
            <w:r w:rsidR="00D450C0" w:rsidRPr="00F1630F">
              <w:rPr>
                <w:rFonts w:ascii="Arial" w:eastAsia="SimSun" w:hAnsi="Arial" w:cs="Arial"/>
                <w:szCs w:val="20"/>
              </w:rPr>
              <w:t>P</w:t>
            </w:r>
            <w:r w:rsidR="003E2B23">
              <w:rPr>
                <w:rFonts w:ascii="Arial" w:eastAsia="SimSun" w:hAnsi="Arial" w:cs="Arial"/>
                <w:szCs w:val="20"/>
              </w:rPr>
              <w:t>otencijalne ob</w:t>
            </w:r>
            <w:r w:rsidRPr="00F1630F">
              <w:rPr>
                <w:rFonts w:ascii="Arial" w:eastAsia="SimSun" w:hAnsi="Arial" w:cs="Arial"/>
                <w:szCs w:val="20"/>
              </w:rPr>
              <w:t>veze</w:t>
            </w:r>
            <w:r w:rsidR="00D450C0" w:rsidRPr="00F1630F">
              <w:rPr>
                <w:rFonts w:ascii="Arial" w:eastAsia="SimSun" w:hAnsi="Arial" w:cs="Arial"/>
                <w:szCs w:val="20"/>
              </w:rPr>
              <w:t>,</w:t>
            </w:r>
            <w:r w:rsidRPr="00F1630F">
              <w:rPr>
                <w:rFonts w:ascii="Arial" w:eastAsia="SimSun" w:hAnsi="Arial" w:cs="Arial"/>
                <w:szCs w:val="20"/>
              </w:rPr>
              <w:t xml:space="preserve"> bilo iz bankarskog sektora ili državnih p</w:t>
            </w:r>
            <w:r w:rsidR="003E2B23">
              <w:rPr>
                <w:rFonts w:ascii="Arial" w:eastAsia="SimSun" w:hAnsi="Arial" w:cs="Arial"/>
                <w:szCs w:val="20"/>
              </w:rPr>
              <w:t>o</w:t>
            </w:r>
            <w:r w:rsidRPr="00F1630F">
              <w:rPr>
                <w:rFonts w:ascii="Arial" w:eastAsia="SimSun" w:hAnsi="Arial" w:cs="Arial"/>
                <w:szCs w:val="20"/>
              </w:rPr>
              <w:t>duzeća</w:t>
            </w:r>
            <w:r w:rsidR="00D450C0" w:rsidRPr="00F1630F">
              <w:rPr>
                <w:rFonts w:ascii="Arial" w:eastAsia="SimSun" w:hAnsi="Arial" w:cs="Arial"/>
                <w:szCs w:val="20"/>
              </w:rPr>
              <w:t>,</w:t>
            </w:r>
            <w:r w:rsidRPr="00F1630F">
              <w:rPr>
                <w:rFonts w:ascii="Arial" w:eastAsia="SimSun" w:hAnsi="Arial" w:cs="Arial"/>
                <w:szCs w:val="20"/>
              </w:rPr>
              <w:t xml:space="preserve"> mogle </w:t>
            </w:r>
            <w:r w:rsidR="000A53DD" w:rsidRPr="00F1630F">
              <w:rPr>
                <w:rFonts w:ascii="Arial" w:eastAsia="SimSun" w:hAnsi="Arial" w:cs="Arial"/>
                <w:szCs w:val="20"/>
              </w:rPr>
              <w:t xml:space="preserve">bi </w:t>
            </w:r>
            <w:r w:rsidRPr="00F1630F">
              <w:rPr>
                <w:rFonts w:ascii="Arial" w:eastAsia="SimSun" w:hAnsi="Arial" w:cs="Arial"/>
                <w:szCs w:val="20"/>
              </w:rPr>
              <w:t xml:space="preserve">dovesti do povećanja bruto </w:t>
            </w:r>
            <w:r w:rsidR="009A78EF">
              <w:rPr>
                <w:rFonts w:ascii="Arial" w:eastAsia="SimSun" w:hAnsi="Arial" w:cs="Arial"/>
                <w:szCs w:val="20"/>
              </w:rPr>
              <w:t>financ</w:t>
            </w:r>
            <w:r w:rsidRPr="00F1630F">
              <w:rPr>
                <w:rFonts w:ascii="Arial" w:eastAsia="SimSun" w:hAnsi="Arial" w:cs="Arial"/>
                <w:szCs w:val="20"/>
              </w:rPr>
              <w:t xml:space="preserve">ijskih potreba i troškova </w:t>
            </w:r>
            <w:r w:rsidR="009A78EF">
              <w:rPr>
                <w:rFonts w:ascii="Arial" w:eastAsia="SimSun" w:hAnsi="Arial" w:cs="Arial"/>
                <w:szCs w:val="20"/>
              </w:rPr>
              <w:t>financ</w:t>
            </w:r>
            <w:r w:rsidRPr="00F1630F">
              <w:rPr>
                <w:rFonts w:ascii="Arial" w:eastAsia="SimSun" w:hAnsi="Arial" w:cs="Arial"/>
                <w:szCs w:val="20"/>
              </w:rPr>
              <w:t>iranja i pogoršanja fiskaln</w:t>
            </w:r>
            <w:r w:rsidR="003E2B23">
              <w:rPr>
                <w:rFonts w:ascii="Arial" w:eastAsia="SimSun" w:hAnsi="Arial" w:cs="Arial"/>
                <w:szCs w:val="20"/>
              </w:rPr>
              <w:t>e</w:t>
            </w:r>
            <w:r w:rsidRPr="00F1630F">
              <w:rPr>
                <w:rFonts w:ascii="Arial" w:eastAsia="SimSun" w:hAnsi="Arial" w:cs="Arial"/>
                <w:szCs w:val="20"/>
              </w:rPr>
              <w:t xml:space="preserve"> bilan</w:t>
            </w:r>
            <w:r w:rsidR="003E2B23">
              <w:rPr>
                <w:rFonts w:ascii="Arial" w:eastAsia="SimSun" w:hAnsi="Arial" w:cs="Arial"/>
                <w:szCs w:val="20"/>
              </w:rPr>
              <w:t>ce</w:t>
            </w:r>
            <w:r w:rsidR="00D62512" w:rsidRPr="00F1630F">
              <w:rPr>
                <w:rFonts w:ascii="Arial" w:eastAsia="SimSun" w:hAnsi="Arial" w:cs="Arial"/>
                <w:szCs w:val="20"/>
              </w:rPr>
              <w:t xml:space="preserve">, što bi moglo </w:t>
            </w:r>
            <w:r w:rsidR="0087035C" w:rsidRPr="00F1630F">
              <w:rPr>
                <w:rFonts w:ascii="Arial" w:eastAsia="SimSun" w:hAnsi="Arial" w:cs="Arial"/>
                <w:szCs w:val="20"/>
              </w:rPr>
              <w:t>r</w:t>
            </w:r>
            <w:r w:rsidR="00D62512" w:rsidRPr="00F1630F">
              <w:rPr>
                <w:rFonts w:ascii="Arial" w:eastAsia="SimSun" w:hAnsi="Arial" w:cs="Arial"/>
                <w:szCs w:val="20"/>
              </w:rPr>
              <w:t>ez</w:t>
            </w:r>
            <w:r w:rsidR="00E045F9" w:rsidRPr="00F1630F">
              <w:rPr>
                <w:rFonts w:ascii="Arial" w:eastAsia="SimSun" w:hAnsi="Arial" w:cs="Arial"/>
                <w:szCs w:val="20"/>
              </w:rPr>
              <w:t>u</w:t>
            </w:r>
            <w:r w:rsidR="00D62512" w:rsidRPr="00F1630F">
              <w:rPr>
                <w:rFonts w:ascii="Arial" w:eastAsia="SimSun" w:hAnsi="Arial" w:cs="Arial"/>
                <w:szCs w:val="20"/>
              </w:rPr>
              <w:t xml:space="preserve">ltirati </w:t>
            </w:r>
            <w:r w:rsidRPr="00F1630F">
              <w:rPr>
                <w:rFonts w:ascii="Arial" w:eastAsia="SimSun" w:hAnsi="Arial" w:cs="Arial"/>
                <w:szCs w:val="20"/>
              </w:rPr>
              <w:t>već</w:t>
            </w:r>
            <w:r w:rsidR="0087035C" w:rsidRPr="00F1630F">
              <w:rPr>
                <w:rFonts w:ascii="Arial" w:eastAsia="SimSun" w:hAnsi="Arial" w:cs="Arial"/>
                <w:szCs w:val="20"/>
              </w:rPr>
              <w:t xml:space="preserve">im </w:t>
            </w:r>
            <w:r w:rsidRPr="00F1630F">
              <w:rPr>
                <w:rFonts w:ascii="Arial" w:eastAsia="SimSun" w:hAnsi="Arial" w:cs="Arial"/>
                <w:szCs w:val="20"/>
              </w:rPr>
              <w:t>domać</w:t>
            </w:r>
            <w:r w:rsidR="0087035C" w:rsidRPr="00F1630F">
              <w:rPr>
                <w:rFonts w:ascii="Arial" w:eastAsia="SimSun" w:hAnsi="Arial" w:cs="Arial"/>
                <w:szCs w:val="20"/>
              </w:rPr>
              <w:t>im</w:t>
            </w:r>
            <w:r w:rsidRPr="00F1630F">
              <w:rPr>
                <w:rFonts w:ascii="Arial" w:eastAsia="SimSun" w:hAnsi="Arial" w:cs="Arial"/>
                <w:szCs w:val="20"/>
              </w:rPr>
              <w:t xml:space="preserve"> </w:t>
            </w:r>
            <w:r w:rsidR="00D20611" w:rsidRPr="00F1630F">
              <w:rPr>
                <w:rFonts w:ascii="Arial" w:eastAsia="SimSun" w:hAnsi="Arial" w:cs="Arial"/>
                <w:szCs w:val="20"/>
              </w:rPr>
              <w:t xml:space="preserve">i </w:t>
            </w:r>
            <w:r w:rsidR="00BD4587" w:rsidRPr="00F1630F">
              <w:rPr>
                <w:rFonts w:ascii="Arial" w:eastAsia="SimSun" w:hAnsi="Arial" w:cs="Arial"/>
                <w:szCs w:val="20"/>
              </w:rPr>
              <w:t xml:space="preserve">vanjskim </w:t>
            </w:r>
            <w:r w:rsidR="004B2B73" w:rsidRPr="00F1630F">
              <w:rPr>
                <w:rFonts w:ascii="Arial" w:eastAsia="SimSun" w:hAnsi="Arial" w:cs="Arial"/>
                <w:szCs w:val="20"/>
              </w:rPr>
              <w:t>z</w:t>
            </w:r>
            <w:r w:rsidRPr="00F1630F">
              <w:rPr>
                <w:rFonts w:ascii="Arial" w:eastAsia="SimSun" w:hAnsi="Arial" w:cs="Arial"/>
                <w:szCs w:val="20"/>
              </w:rPr>
              <w:t>aduž</w:t>
            </w:r>
            <w:r w:rsidR="0087035C" w:rsidRPr="00F1630F">
              <w:rPr>
                <w:rFonts w:ascii="Arial" w:eastAsia="SimSun" w:hAnsi="Arial" w:cs="Arial"/>
                <w:szCs w:val="20"/>
              </w:rPr>
              <w:t>enjem</w:t>
            </w:r>
            <w:r w:rsidRPr="00F1630F">
              <w:rPr>
                <w:rFonts w:ascii="Arial" w:eastAsia="SimSun" w:hAnsi="Arial" w:cs="Arial"/>
                <w:szCs w:val="20"/>
              </w:rPr>
              <w:t>.</w:t>
            </w:r>
            <w:r w:rsidRPr="00B92496">
              <w:rPr>
                <w:rFonts w:ascii="Arial" w:eastAsia="SimSun" w:hAnsi="Arial" w:cs="Arial"/>
                <w:szCs w:val="20"/>
              </w:rPr>
              <w:t xml:space="preserve"> </w:t>
            </w:r>
          </w:p>
        </w:tc>
      </w:tr>
      <w:tr w:rsidR="00642162" w:rsidRPr="00B92496" w14:paraId="4D3C6D19" w14:textId="77777777" w:rsidTr="00445180">
        <w:trPr>
          <w:trHeight w:val="392"/>
          <w:jc w:val="center"/>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DBE5F1" w:themeFill="accent1" w:themeFillTint="33"/>
            <w:vAlign w:val="center"/>
          </w:tcPr>
          <w:p w14:paraId="6DD631AB" w14:textId="1177F61A" w:rsidR="00642162" w:rsidRPr="00B92496" w:rsidRDefault="00642162" w:rsidP="003E2B23">
            <w:pPr>
              <w:keepNext/>
              <w:rPr>
                <w:rFonts w:ascii="Arial" w:eastAsia="SimSun" w:hAnsi="Arial" w:cs="Arial"/>
                <w:color w:val="E36C0A" w:themeColor="accent6" w:themeShade="BF"/>
                <w:szCs w:val="20"/>
              </w:rPr>
            </w:pPr>
            <w:r w:rsidRPr="00B92496">
              <w:rPr>
                <w:rFonts w:ascii="Arial" w:eastAsia="SimSun" w:hAnsi="Arial" w:cs="Arial"/>
                <w:b w:val="0"/>
                <w:i/>
                <w:szCs w:val="20"/>
              </w:rPr>
              <w:t>Platn</w:t>
            </w:r>
            <w:r w:rsidR="003E2B23">
              <w:rPr>
                <w:rFonts w:ascii="Arial" w:eastAsia="SimSun" w:hAnsi="Arial" w:cs="Arial"/>
                <w:b w:val="0"/>
                <w:i/>
                <w:szCs w:val="20"/>
              </w:rPr>
              <w:t>a</w:t>
            </w:r>
            <w:r w:rsidRPr="00B92496">
              <w:rPr>
                <w:rFonts w:ascii="Arial" w:eastAsia="SimSun" w:hAnsi="Arial" w:cs="Arial"/>
                <w:b w:val="0"/>
                <w:i/>
                <w:szCs w:val="20"/>
              </w:rPr>
              <w:t xml:space="preserve"> bilan</w:t>
            </w:r>
            <w:r w:rsidR="003E2B23">
              <w:rPr>
                <w:rFonts w:ascii="Arial" w:eastAsia="SimSun" w:hAnsi="Arial" w:cs="Arial"/>
                <w:b w:val="0"/>
                <w:i/>
                <w:szCs w:val="20"/>
              </w:rPr>
              <w:t>ca</w:t>
            </w:r>
          </w:p>
        </w:tc>
      </w:tr>
      <w:tr w:rsidR="00ED768D" w:rsidRPr="00B92496" w14:paraId="06A36E6E" w14:textId="77777777" w:rsidTr="00B92496">
        <w:trPr>
          <w:cnfStyle w:val="000000100000" w:firstRow="0" w:lastRow="0" w:firstColumn="0" w:lastColumn="0" w:oddVBand="0" w:evenVBand="0" w:oddHBand="1" w:evenHBand="0" w:firstRowFirstColumn="0" w:firstRowLastColumn="0" w:lastRowFirstColumn="0" w:lastRowLastColumn="0"/>
          <w:trHeight w:val="1295"/>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22323B37" w14:textId="0E8D74C8" w:rsidR="00ED768D" w:rsidRPr="00B92496" w:rsidRDefault="00D24459" w:rsidP="003E2B23">
            <w:pPr>
              <w:keepNext/>
              <w:ind w:left="129" w:hanging="129"/>
              <w:rPr>
                <w:rFonts w:ascii="Arial" w:eastAsia="SimSun" w:hAnsi="Arial" w:cs="Arial"/>
                <w:b w:val="0"/>
                <w:szCs w:val="20"/>
              </w:rPr>
            </w:pPr>
            <w:r w:rsidRPr="00B92496">
              <w:rPr>
                <w:rFonts w:ascii="Arial" w:eastAsia="SimSun" w:hAnsi="Arial" w:cs="Arial"/>
                <w:b w:val="0"/>
                <w:szCs w:val="20"/>
              </w:rPr>
              <w:t xml:space="preserve">- Vanjska </w:t>
            </w:r>
            <w:r w:rsidR="00ED768D" w:rsidRPr="00B92496">
              <w:rPr>
                <w:rFonts w:ascii="Arial" w:eastAsia="SimSun" w:hAnsi="Arial" w:cs="Arial"/>
                <w:b w:val="0"/>
                <w:szCs w:val="20"/>
              </w:rPr>
              <w:t>potražnja/</w:t>
            </w:r>
            <w:r w:rsidR="003E2B23">
              <w:rPr>
                <w:rFonts w:ascii="Arial" w:eastAsia="SimSun" w:hAnsi="Arial" w:cs="Arial"/>
                <w:b w:val="0"/>
                <w:szCs w:val="20"/>
              </w:rPr>
              <w:t>tečaj</w:t>
            </w:r>
            <w:r w:rsidR="00ED768D" w:rsidRPr="00B92496">
              <w:rPr>
                <w:rFonts w:ascii="Arial" w:eastAsia="SimSun" w:hAnsi="Arial" w:cs="Arial"/>
                <w:b w:val="0"/>
                <w:szCs w:val="20"/>
              </w:rPr>
              <w:t xml:space="preserve">    valuta</w:t>
            </w:r>
          </w:p>
        </w:tc>
        <w:tc>
          <w:tcPr>
            <w:tcW w:w="1276" w:type="dxa"/>
            <w:shd w:val="clear" w:color="auto" w:fill="auto"/>
            <w:vAlign w:val="center"/>
          </w:tcPr>
          <w:p w14:paraId="7C166C5E" w14:textId="77777777" w:rsidR="00ED768D" w:rsidRPr="00B92496" w:rsidRDefault="00ED768D" w:rsidP="00ED768D">
            <w:pPr>
              <w:keepNext/>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B92496">
              <w:rPr>
                <w:rFonts w:ascii="Arial" w:eastAsia="SimSun" w:hAnsi="Arial" w:cs="Arial"/>
                <w:szCs w:val="20"/>
              </w:rPr>
              <w:t>Srednja do visoka</w:t>
            </w:r>
          </w:p>
        </w:tc>
        <w:tc>
          <w:tcPr>
            <w:tcW w:w="6237" w:type="dxa"/>
            <w:shd w:val="clear" w:color="auto" w:fill="auto"/>
            <w:vAlign w:val="center"/>
          </w:tcPr>
          <w:p w14:paraId="0348459E" w14:textId="09C88F20" w:rsidR="00ED768D" w:rsidRPr="00B92496" w:rsidRDefault="00ED768D" w:rsidP="00B92496">
            <w:pPr>
              <w:keepNext/>
              <w:jc w:val="both"/>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D912D1">
              <w:rPr>
                <w:rFonts w:ascii="Arial" w:eastAsia="SimSun" w:hAnsi="Arial" w:cs="Arial"/>
                <w:szCs w:val="20"/>
              </w:rPr>
              <w:t xml:space="preserve">Spor globalni rast, posebno u EU, može smanjiti izvoz i </w:t>
            </w:r>
            <w:r w:rsidR="0087035C" w:rsidRPr="00D912D1">
              <w:rPr>
                <w:rFonts w:ascii="Arial" w:eastAsia="SimSun" w:hAnsi="Arial" w:cs="Arial"/>
                <w:szCs w:val="20"/>
              </w:rPr>
              <w:t>strane direktne investicije</w:t>
            </w:r>
            <w:r w:rsidRPr="00F1630F">
              <w:rPr>
                <w:rFonts w:ascii="Arial" w:eastAsia="SimSun" w:hAnsi="Arial" w:cs="Arial"/>
                <w:szCs w:val="20"/>
              </w:rPr>
              <w:t xml:space="preserve">, dovodeći do pritiska na devizne rezerve, </w:t>
            </w:r>
            <w:r w:rsidR="00B92496" w:rsidRPr="00F1630F">
              <w:rPr>
                <w:rFonts w:ascii="Arial" w:eastAsia="SimSun" w:hAnsi="Arial" w:cs="Arial"/>
                <w:szCs w:val="20"/>
              </w:rPr>
              <w:t xml:space="preserve">što bi </w:t>
            </w:r>
            <w:r w:rsidR="004F6214" w:rsidRPr="00F1630F">
              <w:rPr>
                <w:rFonts w:ascii="Arial" w:eastAsia="SimSun" w:hAnsi="Arial" w:cs="Arial"/>
                <w:szCs w:val="20"/>
              </w:rPr>
              <w:t xml:space="preserve">s </w:t>
            </w:r>
            <w:r w:rsidRPr="00F1630F">
              <w:rPr>
                <w:rFonts w:ascii="Arial" w:eastAsia="SimSun" w:hAnsi="Arial" w:cs="Arial"/>
                <w:szCs w:val="20"/>
              </w:rPr>
              <w:t>obzirom na aranžman valutnog odbora</w:t>
            </w:r>
            <w:r w:rsidR="00D62512" w:rsidRPr="00F1630F">
              <w:rPr>
                <w:rFonts w:ascii="Arial" w:eastAsia="SimSun" w:hAnsi="Arial" w:cs="Arial"/>
                <w:szCs w:val="20"/>
              </w:rPr>
              <w:t xml:space="preserve">, moglo </w:t>
            </w:r>
            <w:r w:rsidR="00F5140A" w:rsidRPr="00F1630F">
              <w:rPr>
                <w:rFonts w:ascii="Arial" w:eastAsia="SimSun" w:hAnsi="Arial" w:cs="Arial"/>
                <w:szCs w:val="20"/>
              </w:rPr>
              <w:t>ut</w:t>
            </w:r>
            <w:r w:rsidR="004F6214" w:rsidRPr="00F1630F">
              <w:rPr>
                <w:rFonts w:ascii="Arial" w:eastAsia="SimSun" w:hAnsi="Arial" w:cs="Arial"/>
                <w:szCs w:val="20"/>
              </w:rPr>
              <w:t>je</w:t>
            </w:r>
            <w:r w:rsidR="00F5140A" w:rsidRPr="00F1630F">
              <w:rPr>
                <w:rFonts w:ascii="Arial" w:eastAsia="SimSun" w:hAnsi="Arial" w:cs="Arial"/>
                <w:szCs w:val="20"/>
              </w:rPr>
              <w:t>cati i na veće v</w:t>
            </w:r>
            <w:r w:rsidRPr="00F1630F">
              <w:rPr>
                <w:rFonts w:ascii="Arial" w:eastAsia="SimSun" w:hAnsi="Arial" w:cs="Arial"/>
                <w:szCs w:val="20"/>
              </w:rPr>
              <w:t>anjsko zaduživanje.</w:t>
            </w:r>
            <w:r w:rsidRPr="00B92496">
              <w:rPr>
                <w:rFonts w:ascii="Arial" w:eastAsia="SimSun" w:hAnsi="Arial" w:cs="Arial"/>
                <w:szCs w:val="20"/>
              </w:rPr>
              <w:t xml:space="preserve"> </w:t>
            </w:r>
          </w:p>
        </w:tc>
      </w:tr>
      <w:tr w:rsidR="00642162" w:rsidRPr="00B92496" w14:paraId="3CB465C6" w14:textId="77777777" w:rsidTr="00445180">
        <w:trPr>
          <w:trHeight w:val="384"/>
          <w:jc w:val="center"/>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DBE5F1" w:themeFill="accent1" w:themeFillTint="33"/>
            <w:vAlign w:val="center"/>
          </w:tcPr>
          <w:p w14:paraId="46D03600" w14:textId="77777777" w:rsidR="00642162" w:rsidRPr="00B92496" w:rsidRDefault="00642162" w:rsidP="00FE4AB6">
            <w:pPr>
              <w:keepNext/>
              <w:rPr>
                <w:rFonts w:ascii="Arial" w:eastAsia="SimSun" w:hAnsi="Arial" w:cs="Arial"/>
                <w:color w:val="E36C0A" w:themeColor="accent6" w:themeShade="BF"/>
                <w:szCs w:val="20"/>
              </w:rPr>
            </w:pPr>
            <w:r w:rsidRPr="00B92496">
              <w:rPr>
                <w:rFonts w:ascii="Arial" w:eastAsia="SimSun" w:hAnsi="Arial" w:cs="Arial"/>
                <w:b w:val="0"/>
                <w:i/>
                <w:szCs w:val="20"/>
              </w:rPr>
              <w:t xml:space="preserve">Inflacija </w:t>
            </w:r>
          </w:p>
        </w:tc>
      </w:tr>
      <w:tr w:rsidR="00ED768D" w:rsidRPr="00B92496" w14:paraId="4AC62D60" w14:textId="77777777" w:rsidTr="00B92496">
        <w:trPr>
          <w:cnfStyle w:val="000000100000" w:firstRow="0" w:lastRow="0" w:firstColumn="0" w:lastColumn="0" w:oddVBand="0" w:evenVBand="0" w:oddHBand="1" w:evenHBand="0" w:firstRowFirstColumn="0" w:firstRowLastColumn="0" w:lastRowFirstColumn="0" w:lastRowLastColumn="0"/>
          <w:trHeight w:val="1291"/>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6FB127EE" w14:textId="2A0CCCED" w:rsidR="00ED768D" w:rsidRPr="00B92496" w:rsidRDefault="00ED768D" w:rsidP="003E2B23">
            <w:pPr>
              <w:keepNext/>
              <w:rPr>
                <w:rFonts w:ascii="Arial" w:eastAsia="SimSun" w:hAnsi="Arial" w:cs="Arial"/>
                <w:b w:val="0"/>
                <w:szCs w:val="20"/>
              </w:rPr>
            </w:pPr>
            <w:r w:rsidRPr="00B92496">
              <w:rPr>
                <w:rFonts w:ascii="Arial" w:eastAsia="SimSun" w:hAnsi="Arial" w:cs="Arial"/>
                <w:b w:val="0"/>
                <w:szCs w:val="20"/>
              </w:rPr>
              <w:t>- Cijene roba/</w:t>
            </w:r>
            <w:r w:rsidR="003E2B23">
              <w:rPr>
                <w:rFonts w:ascii="Arial" w:eastAsia="SimSun" w:hAnsi="Arial" w:cs="Arial"/>
                <w:b w:val="0"/>
                <w:szCs w:val="20"/>
              </w:rPr>
              <w:t>tečaj</w:t>
            </w:r>
            <w:r w:rsidRPr="00B92496">
              <w:rPr>
                <w:rFonts w:ascii="Arial" w:eastAsia="SimSun" w:hAnsi="Arial" w:cs="Arial"/>
                <w:b w:val="0"/>
                <w:szCs w:val="20"/>
              </w:rPr>
              <w:t xml:space="preserve"> valuta</w:t>
            </w:r>
          </w:p>
        </w:tc>
        <w:tc>
          <w:tcPr>
            <w:tcW w:w="1276" w:type="dxa"/>
            <w:shd w:val="clear" w:color="auto" w:fill="auto"/>
            <w:vAlign w:val="center"/>
          </w:tcPr>
          <w:p w14:paraId="7A55CED7" w14:textId="77777777" w:rsidR="00ED768D" w:rsidRPr="00B92496" w:rsidRDefault="00ED768D" w:rsidP="00ED768D">
            <w:pPr>
              <w:keepNext/>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B92496">
              <w:rPr>
                <w:rFonts w:ascii="Arial" w:eastAsia="SimSun" w:hAnsi="Arial" w:cs="Arial"/>
                <w:szCs w:val="20"/>
              </w:rPr>
              <w:t>Srednja do mala</w:t>
            </w:r>
          </w:p>
        </w:tc>
        <w:tc>
          <w:tcPr>
            <w:tcW w:w="6237" w:type="dxa"/>
            <w:shd w:val="clear" w:color="auto" w:fill="auto"/>
            <w:vAlign w:val="center"/>
          </w:tcPr>
          <w:p w14:paraId="48ED1833" w14:textId="1164A296" w:rsidR="00ED768D" w:rsidRPr="00F1630F" w:rsidRDefault="00B92496">
            <w:pPr>
              <w:keepNext/>
              <w:jc w:val="both"/>
              <w:cnfStyle w:val="000000100000" w:firstRow="0" w:lastRow="0" w:firstColumn="0" w:lastColumn="0" w:oddVBand="0" w:evenVBand="0" w:oddHBand="1" w:evenHBand="0" w:firstRowFirstColumn="0" w:firstRowLastColumn="0" w:lastRowFirstColumn="0" w:lastRowLastColumn="0"/>
              <w:rPr>
                <w:rFonts w:ascii="Arial" w:eastAsia="SimSun" w:hAnsi="Arial" w:cs="Arial"/>
                <w:color w:val="E36C0A" w:themeColor="accent6" w:themeShade="BF"/>
                <w:szCs w:val="20"/>
              </w:rPr>
            </w:pPr>
            <w:r w:rsidRPr="00D912D1">
              <w:rPr>
                <w:rFonts w:ascii="Arial" w:eastAsia="SimSun" w:hAnsi="Arial" w:cs="Arial"/>
                <w:szCs w:val="20"/>
              </w:rPr>
              <w:t>Na rast cijena najveći utjecaj će imati rast cijena energenata, te rast cijena hrane, pića i ko</w:t>
            </w:r>
            <w:r w:rsidRPr="00F1630F">
              <w:rPr>
                <w:rFonts w:ascii="Arial" w:eastAsia="SimSun" w:hAnsi="Arial" w:cs="Arial"/>
                <w:szCs w:val="20"/>
              </w:rPr>
              <w:t>munalija</w:t>
            </w:r>
            <w:r w:rsidR="00676794" w:rsidRPr="00F1630F">
              <w:rPr>
                <w:rFonts w:ascii="Arial" w:eastAsia="SimSun" w:hAnsi="Arial" w:cs="Arial"/>
                <w:szCs w:val="20"/>
              </w:rPr>
              <w:t xml:space="preserve">. </w:t>
            </w:r>
            <w:r w:rsidR="00ED768D" w:rsidRPr="00F1630F">
              <w:rPr>
                <w:rFonts w:ascii="Arial" w:eastAsia="SimSun" w:hAnsi="Arial" w:cs="Arial"/>
                <w:szCs w:val="20"/>
              </w:rPr>
              <w:t xml:space="preserve">Veća inflacija bi mogla povećati troškove servisiranja duga. </w:t>
            </w:r>
          </w:p>
        </w:tc>
      </w:tr>
      <w:tr w:rsidR="00642162" w:rsidRPr="00B92496" w14:paraId="16B8FFCD" w14:textId="77777777" w:rsidTr="00445180">
        <w:trPr>
          <w:trHeight w:val="361"/>
          <w:jc w:val="center"/>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DBE5F1" w:themeFill="accent1" w:themeFillTint="33"/>
            <w:vAlign w:val="center"/>
          </w:tcPr>
          <w:p w14:paraId="2FC79557" w14:textId="79EEE848" w:rsidR="00642162" w:rsidRPr="00B92496" w:rsidRDefault="009A78EF" w:rsidP="003E2B23">
            <w:pPr>
              <w:keepNext/>
              <w:rPr>
                <w:rFonts w:ascii="Arial" w:eastAsia="SimSun" w:hAnsi="Arial" w:cs="Arial"/>
                <w:color w:val="E36C0A" w:themeColor="accent6" w:themeShade="BF"/>
                <w:szCs w:val="20"/>
              </w:rPr>
            </w:pPr>
            <w:r>
              <w:rPr>
                <w:rFonts w:ascii="Arial" w:eastAsia="SimSun" w:hAnsi="Arial" w:cs="Arial"/>
                <w:b w:val="0"/>
                <w:i/>
                <w:szCs w:val="20"/>
              </w:rPr>
              <w:t>Financ</w:t>
            </w:r>
            <w:r w:rsidR="00642162" w:rsidRPr="00B92496">
              <w:rPr>
                <w:rFonts w:ascii="Arial" w:eastAsia="SimSun" w:hAnsi="Arial" w:cs="Arial"/>
                <w:b w:val="0"/>
                <w:i/>
                <w:szCs w:val="20"/>
              </w:rPr>
              <w:t>ijski s</w:t>
            </w:r>
            <w:r w:rsidR="003E2B23">
              <w:rPr>
                <w:rFonts w:ascii="Arial" w:eastAsia="SimSun" w:hAnsi="Arial" w:cs="Arial"/>
                <w:b w:val="0"/>
                <w:i/>
                <w:szCs w:val="20"/>
              </w:rPr>
              <w:t>ustav</w:t>
            </w:r>
          </w:p>
        </w:tc>
      </w:tr>
      <w:tr w:rsidR="00ED768D" w:rsidRPr="00B92496" w14:paraId="7A76A4E3" w14:textId="77777777" w:rsidTr="00B92496">
        <w:trPr>
          <w:cnfStyle w:val="000000100000" w:firstRow="0" w:lastRow="0" w:firstColumn="0" w:lastColumn="0" w:oddVBand="0" w:evenVBand="0" w:oddHBand="1" w:evenHBand="0" w:firstRowFirstColumn="0" w:firstRowLastColumn="0" w:lastRowFirstColumn="0" w:lastRowLastColumn="0"/>
          <w:trHeight w:val="1456"/>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523A231A" w14:textId="77777777" w:rsidR="00ED768D" w:rsidRPr="00B92496" w:rsidRDefault="00ED768D" w:rsidP="00ED768D">
            <w:pPr>
              <w:keepNext/>
              <w:rPr>
                <w:rFonts w:ascii="Arial" w:eastAsia="SimSun" w:hAnsi="Arial" w:cs="Arial"/>
                <w:b w:val="0"/>
                <w:szCs w:val="20"/>
              </w:rPr>
            </w:pPr>
            <w:r w:rsidRPr="00B92496">
              <w:rPr>
                <w:rFonts w:ascii="Arial" w:eastAsia="SimSun" w:hAnsi="Arial" w:cs="Arial"/>
                <w:b w:val="0"/>
                <w:szCs w:val="20"/>
              </w:rPr>
              <w:t xml:space="preserve">- Sveukupno stanje </w:t>
            </w:r>
          </w:p>
        </w:tc>
        <w:tc>
          <w:tcPr>
            <w:tcW w:w="1276" w:type="dxa"/>
            <w:shd w:val="clear" w:color="auto" w:fill="auto"/>
            <w:vAlign w:val="center"/>
          </w:tcPr>
          <w:p w14:paraId="1B618F2A" w14:textId="77777777" w:rsidR="00ED768D" w:rsidRPr="00B92496" w:rsidRDefault="00ED768D" w:rsidP="00ED768D">
            <w:pPr>
              <w:keepNext/>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B92496">
              <w:rPr>
                <w:rFonts w:ascii="Arial" w:eastAsia="SimSun" w:hAnsi="Arial" w:cs="Arial"/>
                <w:szCs w:val="20"/>
              </w:rPr>
              <w:t>Srednja</w:t>
            </w:r>
          </w:p>
        </w:tc>
        <w:tc>
          <w:tcPr>
            <w:tcW w:w="6237" w:type="dxa"/>
            <w:shd w:val="clear" w:color="auto" w:fill="auto"/>
            <w:vAlign w:val="center"/>
          </w:tcPr>
          <w:p w14:paraId="08BDF542" w14:textId="7504E86B" w:rsidR="00ED768D" w:rsidRPr="00073673" w:rsidRDefault="00ED768D" w:rsidP="003E2B23">
            <w:pPr>
              <w:jc w:val="both"/>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D912D1">
              <w:rPr>
                <w:rFonts w:ascii="Arial" w:eastAsia="SimSun" w:hAnsi="Arial" w:cs="Arial"/>
                <w:szCs w:val="20"/>
              </w:rPr>
              <w:t>Stopa adekvatnosti kapitala bank</w:t>
            </w:r>
            <w:r w:rsidR="003E2B23">
              <w:rPr>
                <w:rFonts w:ascii="Arial" w:eastAsia="SimSun" w:hAnsi="Arial" w:cs="Arial"/>
                <w:szCs w:val="20"/>
              </w:rPr>
              <w:t>ovnog</w:t>
            </w:r>
            <w:r w:rsidRPr="00D912D1">
              <w:rPr>
                <w:rFonts w:ascii="Arial" w:eastAsia="SimSun" w:hAnsi="Arial" w:cs="Arial"/>
                <w:szCs w:val="20"/>
              </w:rPr>
              <w:t xml:space="preserve"> </w:t>
            </w:r>
            <w:r w:rsidR="003E2B23">
              <w:rPr>
                <w:rFonts w:ascii="Arial" w:eastAsia="SimSun" w:hAnsi="Arial" w:cs="Arial"/>
                <w:szCs w:val="20"/>
              </w:rPr>
              <w:t>sustava</w:t>
            </w:r>
            <w:r w:rsidRPr="00D912D1">
              <w:rPr>
                <w:rFonts w:ascii="Arial" w:eastAsia="SimSun" w:hAnsi="Arial" w:cs="Arial"/>
                <w:szCs w:val="20"/>
              </w:rPr>
              <w:t xml:space="preserve"> je znatno viša od zakonskog minimuma i predstavlja zadovoljavajuću k</w:t>
            </w:r>
            <w:r w:rsidRPr="00073673">
              <w:rPr>
                <w:rFonts w:ascii="Arial" w:eastAsia="SimSun" w:hAnsi="Arial" w:cs="Arial"/>
                <w:szCs w:val="20"/>
              </w:rPr>
              <w:t xml:space="preserve">apitaliziranost ukupnog </w:t>
            </w:r>
            <w:r w:rsidR="003E2B23">
              <w:rPr>
                <w:rFonts w:ascii="Arial" w:eastAsia="SimSun" w:hAnsi="Arial" w:cs="Arial"/>
                <w:szCs w:val="20"/>
              </w:rPr>
              <w:t>sustava</w:t>
            </w:r>
            <w:r w:rsidRPr="00073673">
              <w:rPr>
                <w:rFonts w:ascii="Arial" w:eastAsia="SimSun" w:hAnsi="Arial" w:cs="Arial"/>
                <w:szCs w:val="20"/>
              </w:rPr>
              <w:t xml:space="preserve"> za postojeć</w:t>
            </w:r>
            <w:r w:rsidR="003E2B23">
              <w:rPr>
                <w:rFonts w:ascii="Arial" w:eastAsia="SimSun" w:hAnsi="Arial" w:cs="Arial"/>
                <w:szCs w:val="20"/>
              </w:rPr>
              <w:t>u</w:t>
            </w:r>
            <w:r w:rsidRPr="00073673">
              <w:rPr>
                <w:rFonts w:ascii="Arial" w:eastAsia="SimSun" w:hAnsi="Arial" w:cs="Arial"/>
                <w:szCs w:val="20"/>
              </w:rPr>
              <w:t xml:space="preserve"> </w:t>
            </w:r>
            <w:r w:rsidR="003E2B23">
              <w:rPr>
                <w:rFonts w:ascii="Arial" w:eastAsia="SimSun" w:hAnsi="Arial" w:cs="Arial"/>
                <w:szCs w:val="20"/>
              </w:rPr>
              <w:t>razinu</w:t>
            </w:r>
            <w:r w:rsidRPr="00073673">
              <w:rPr>
                <w:rFonts w:ascii="Arial" w:eastAsia="SimSun" w:hAnsi="Arial" w:cs="Arial"/>
                <w:szCs w:val="20"/>
              </w:rPr>
              <w:t xml:space="preserve"> izloženosti rizicima i jaku osnovu za očuvanje njegove sigurnosti i stabilnosti. </w:t>
            </w:r>
          </w:p>
        </w:tc>
      </w:tr>
    </w:tbl>
    <w:p w14:paraId="34A09658" w14:textId="66604FE5" w:rsidR="006C23C4" w:rsidRDefault="006C23C4" w:rsidP="00B60AE7">
      <w:pPr>
        <w:pStyle w:val="Heading1"/>
        <w:keepNext w:val="0"/>
        <w:spacing w:before="0"/>
        <w:ind w:left="420"/>
        <w:rPr>
          <w:rFonts w:ascii="Arial" w:hAnsi="Arial" w:cs="Arial"/>
          <w:b w:val="0"/>
          <w:color w:val="auto"/>
        </w:rPr>
      </w:pPr>
    </w:p>
    <w:p w14:paraId="17E5DF3B" w14:textId="77777777" w:rsidR="003E2B23" w:rsidRPr="003E2B23" w:rsidRDefault="003E2B23" w:rsidP="003E2B23"/>
    <w:p w14:paraId="474918A7" w14:textId="7CF0274A" w:rsidR="00B60AE7" w:rsidRPr="003E2B23" w:rsidRDefault="00ED768D" w:rsidP="00B60AE7">
      <w:pPr>
        <w:pStyle w:val="Heading1"/>
        <w:keepNext w:val="0"/>
        <w:numPr>
          <w:ilvl w:val="0"/>
          <w:numId w:val="10"/>
        </w:numPr>
        <w:spacing w:before="0"/>
        <w:rPr>
          <w:rFonts w:ascii="Arial" w:hAnsi="Arial" w:cs="Arial"/>
          <w:b w:val="0"/>
          <w:color w:val="auto"/>
          <w:sz w:val="24"/>
        </w:rPr>
      </w:pPr>
      <w:bookmarkStart w:id="123" w:name="_Toc100823758"/>
      <w:r w:rsidRPr="00656E8F">
        <w:rPr>
          <w:rFonts w:ascii="Arial" w:hAnsi="Arial" w:cs="Arial"/>
          <w:b w:val="0"/>
          <w:color w:val="auto"/>
          <w:sz w:val="24"/>
        </w:rPr>
        <w:t xml:space="preserve">IZVORI  </w:t>
      </w:r>
      <w:r w:rsidR="009A78EF">
        <w:rPr>
          <w:rFonts w:ascii="Arial" w:hAnsi="Arial" w:cs="Arial"/>
          <w:b w:val="0"/>
          <w:color w:val="auto"/>
          <w:sz w:val="24"/>
        </w:rPr>
        <w:t>FINANC</w:t>
      </w:r>
      <w:r w:rsidRPr="00656E8F">
        <w:rPr>
          <w:rFonts w:ascii="Arial" w:hAnsi="Arial" w:cs="Arial"/>
          <w:b w:val="0"/>
          <w:color w:val="auto"/>
          <w:sz w:val="24"/>
        </w:rPr>
        <w:t>IRANJA</w:t>
      </w:r>
      <w:bookmarkEnd w:id="123"/>
    </w:p>
    <w:p w14:paraId="5A43AADD" w14:textId="2EA12161" w:rsidR="00ED768D" w:rsidRPr="00AF7CAC" w:rsidRDefault="00ED768D" w:rsidP="00AF5BF0">
      <w:pPr>
        <w:pStyle w:val="Heading3"/>
        <w:numPr>
          <w:ilvl w:val="1"/>
          <w:numId w:val="10"/>
        </w:numPr>
        <w:spacing w:before="120"/>
        <w:ind w:left="993" w:hanging="709"/>
        <w:rPr>
          <w:rFonts w:ascii="Arial" w:hAnsi="Arial" w:cs="Arial"/>
          <w:b w:val="0"/>
          <w:color w:val="auto"/>
          <w:sz w:val="28"/>
        </w:rPr>
      </w:pPr>
      <w:bookmarkStart w:id="124" w:name="_Toc100823759"/>
      <w:r w:rsidRPr="00656E8F">
        <w:rPr>
          <w:rFonts w:ascii="Arial" w:hAnsi="Arial" w:cs="Arial"/>
          <w:b w:val="0"/>
          <w:color w:val="auto"/>
        </w:rPr>
        <w:t xml:space="preserve">Vanjski izvori </w:t>
      </w:r>
      <w:r w:rsidR="009A78EF">
        <w:rPr>
          <w:rFonts w:ascii="Arial" w:hAnsi="Arial" w:cs="Arial"/>
          <w:b w:val="0"/>
          <w:color w:val="auto"/>
        </w:rPr>
        <w:t>financ</w:t>
      </w:r>
      <w:r w:rsidRPr="00656E8F">
        <w:rPr>
          <w:rFonts w:ascii="Arial" w:hAnsi="Arial" w:cs="Arial"/>
          <w:b w:val="0"/>
          <w:color w:val="auto"/>
        </w:rPr>
        <w:t>iranja</w:t>
      </w:r>
      <w:bookmarkEnd w:id="124"/>
    </w:p>
    <w:p w14:paraId="70FEC536" w14:textId="77777777" w:rsidR="00AF5BF0" w:rsidRPr="00AF7CAC" w:rsidRDefault="00AF5BF0" w:rsidP="00AC74DF">
      <w:pPr>
        <w:spacing w:after="0"/>
      </w:pPr>
    </w:p>
    <w:p w14:paraId="5BD387F7" w14:textId="0EF18653" w:rsidR="00ED768D" w:rsidRPr="00656E8F" w:rsidRDefault="00ED768D" w:rsidP="00AC74DF">
      <w:pPr>
        <w:pStyle w:val="NoSpacing"/>
        <w:spacing w:line="276" w:lineRule="auto"/>
        <w:ind w:firstLine="284"/>
        <w:jc w:val="both"/>
        <w:rPr>
          <w:rFonts w:ascii="Arial" w:hAnsi="Arial" w:cs="Arial"/>
          <w:lang w:val="hr-HR"/>
        </w:rPr>
      </w:pPr>
      <w:r w:rsidRPr="00B05AA4">
        <w:rPr>
          <w:rFonts w:ascii="Arial" w:hAnsi="Arial" w:cs="Arial"/>
          <w:lang w:val="hr-HR"/>
        </w:rPr>
        <w:t xml:space="preserve">Vanjska </w:t>
      </w:r>
      <w:r w:rsidR="009A78EF">
        <w:rPr>
          <w:rFonts w:ascii="Arial" w:hAnsi="Arial" w:cs="Arial"/>
          <w:lang w:val="hr-HR"/>
        </w:rPr>
        <w:t>financ</w:t>
      </w:r>
      <w:r w:rsidRPr="00B05AA4">
        <w:rPr>
          <w:rFonts w:ascii="Arial" w:hAnsi="Arial" w:cs="Arial"/>
          <w:lang w:val="hr-HR"/>
        </w:rPr>
        <w:t xml:space="preserve">ijska sredstva koja </w:t>
      </w:r>
      <w:r w:rsidR="00D94844" w:rsidRPr="00B05AA4">
        <w:rPr>
          <w:rFonts w:ascii="Arial" w:hAnsi="Arial" w:cs="Arial"/>
          <w:lang w:val="hr-HR"/>
        </w:rPr>
        <w:t xml:space="preserve">Federaciji BiH </w:t>
      </w:r>
      <w:r w:rsidRPr="00B05AA4">
        <w:rPr>
          <w:rFonts w:ascii="Arial" w:hAnsi="Arial" w:cs="Arial"/>
          <w:lang w:val="hr-HR"/>
        </w:rPr>
        <w:t xml:space="preserve">stoje na raspolaganju </w:t>
      </w:r>
      <w:r w:rsidR="008E10FA" w:rsidRPr="00B05AA4">
        <w:rPr>
          <w:rFonts w:ascii="Arial" w:hAnsi="Arial" w:cs="Arial"/>
          <w:lang w:val="hr-HR"/>
        </w:rPr>
        <w:t xml:space="preserve">i planira </w:t>
      </w:r>
      <w:r w:rsidR="00D94844" w:rsidRPr="00B05AA4">
        <w:rPr>
          <w:rFonts w:ascii="Arial" w:hAnsi="Arial" w:cs="Arial"/>
          <w:lang w:val="hr-HR"/>
        </w:rPr>
        <w:t xml:space="preserve">ih </w:t>
      </w:r>
      <w:r w:rsidR="003E2B23" w:rsidRPr="00B05AA4">
        <w:rPr>
          <w:rFonts w:ascii="Arial" w:hAnsi="Arial" w:cs="Arial"/>
          <w:lang w:val="hr-HR"/>
        </w:rPr>
        <w:t>angažirati</w:t>
      </w:r>
      <w:r w:rsidR="008E10FA" w:rsidRPr="00B05AA4">
        <w:rPr>
          <w:rFonts w:ascii="Arial" w:hAnsi="Arial" w:cs="Arial"/>
          <w:lang w:val="hr-HR"/>
        </w:rPr>
        <w:t xml:space="preserve"> </w:t>
      </w:r>
      <w:r w:rsidRPr="00B05AA4">
        <w:rPr>
          <w:rFonts w:ascii="Arial" w:hAnsi="Arial" w:cs="Arial"/>
          <w:lang w:val="hr-HR"/>
        </w:rPr>
        <w:t xml:space="preserve">u </w:t>
      </w:r>
      <w:r w:rsidR="00A31C4D">
        <w:rPr>
          <w:rFonts w:ascii="Arial" w:hAnsi="Arial" w:cs="Arial"/>
          <w:lang w:val="hr-HR"/>
        </w:rPr>
        <w:t>razdoblju</w:t>
      </w:r>
      <w:r w:rsidRPr="00B05AA4">
        <w:rPr>
          <w:rFonts w:ascii="Arial" w:hAnsi="Arial" w:cs="Arial"/>
          <w:lang w:val="hr-HR"/>
        </w:rPr>
        <w:t xml:space="preserve"> </w:t>
      </w:r>
      <w:r w:rsidR="00B05AA4" w:rsidRPr="00B05AA4">
        <w:rPr>
          <w:rFonts w:ascii="Arial" w:hAnsi="Arial" w:cs="Arial"/>
          <w:lang w:val="hr-HR"/>
        </w:rPr>
        <w:t>202</w:t>
      </w:r>
      <w:r w:rsidR="00B05AA4" w:rsidRPr="00445180">
        <w:rPr>
          <w:rFonts w:ascii="Arial" w:hAnsi="Arial" w:cs="Arial"/>
          <w:lang w:val="hr-HR"/>
        </w:rPr>
        <w:t>2</w:t>
      </w:r>
      <w:r w:rsidR="00B05AA4" w:rsidRPr="00B05AA4">
        <w:rPr>
          <w:rFonts w:ascii="Arial" w:hAnsi="Arial" w:cs="Arial"/>
          <w:lang w:val="hr-HR"/>
        </w:rPr>
        <w:t xml:space="preserve"> </w:t>
      </w:r>
      <w:r w:rsidR="005C3B50" w:rsidRPr="00B05AA4">
        <w:rPr>
          <w:rFonts w:ascii="Arial" w:hAnsi="Arial" w:cs="Arial"/>
          <w:lang w:val="hr-HR"/>
        </w:rPr>
        <w:t xml:space="preserve">– </w:t>
      </w:r>
      <w:r w:rsidR="00B05AA4" w:rsidRPr="00B05AA4">
        <w:rPr>
          <w:rFonts w:ascii="Arial" w:hAnsi="Arial" w:cs="Arial"/>
          <w:lang w:val="hr-HR"/>
        </w:rPr>
        <w:t>202</w:t>
      </w:r>
      <w:r w:rsidR="00B05AA4" w:rsidRPr="00445180">
        <w:rPr>
          <w:rFonts w:ascii="Arial" w:hAnsi="Arial" w:cs="Arial"/>
          <w:lang w:val="hr-HR"/>
        </w:rPr>
        <w:t>4</w:t>
      </w:r>
      <w:r w:rsidR="004F6214" w:rsidRPr="00B05AA4">
        <w:rPr>
          <w:rFonts w:ascii="Arial" w:hAnsi="Arial" w:cs="Arial"/>
          <w:lang w:val="hr-HR"/>
        </w:rPr>
        <w:t>.</w:t>
      </w:r>
      <w:r w:rsidRPr="00B05AA4">
        <w:rPr>
          <w:rFonts w:ascii="Arial" w:hAnsi="Arial" w:cs="Arial"/>
          <w:lang w:val="hr-HR"/>
        </w:rPr>
        <w:t xml:space="preserve"> procjenjuju se na </w:t>
      </w:r>
      <w:r w:rsidR="00B05AA4" w:rsidRPr="00B05AA4">
        <w:rPr>
          <w:rFonts w:ascii="Arial" w:hAnsi="Arial" w:cs="Arial"/>
          <w:lang w:val="hr-HR"/>
        </w:rPr>
        <w:t>4</w:t>
      </w:r>
      <w:r w:rsidR="00F931BF" w:rsidRPr="00B05AA4">
        <w:rPr>
          <w:rFonts w:ascii="Arial" w:hAnsi="Arial" w:cs="Arial"/>
          <w:lang w:val="hr-HR"/>
        </w:rPr>
        <w:t>.</w:t>
      </w:r>
      <w:r w:rsidR="00B05AA4" w:rsidRPr="00445180">
        <w:rPr>
          <w:rFonts w:ascii="Arial" w:hAnsi="Arial" w:cs="Arial"/>
          <w:lang w:val="hr-HR"/>
        </w:rPr>
        <w:t>986</w:t>
      </w:r>
      <w:r w:rsidR="00F931BF" w:rsidRPr="00B05AA4">
        <w:rPr>
          <w:rFonts w:ascii="Arial" w:hAnsi="Arial" w:cs="Arial"/>
          <w:lang w:val="hr-HR"/>
        </w:rPr>
        <w:t>,</w:t>
      </w:r>
      <w:r w:rsidR="001B0A03">
        <w:rPr>
          <w:rFonts w:ascii="Arial" w:hAnsi="Arial" w:cs="Arial"/>
          <w:lang w:val="hr-HR"/>
        </w:rPr>
        <w:t>65</w:t>
      </w:r>
      <w:r w:rsidR="00492159" w:rsidRPr="00B05AA4">
        <w:rPr>
          <w:rFonts w:ascii="Arial" w:hAnsi="Arial" w:cs="Arial"/>
          <w:lang w:val="hr-HR"/>
        </w:rPr>
        <w:t xml:space="preserve"> </w:t>
      </w:r>
      <w:r w:rsidR="00E672EB" w:rsidRPr="00B05AA4">
        <w:rPr>
          <w:rFonts w:ascii="Arial" w:hAnsi="Arial" w:cs="Arial"/>
          <w:lang w:val="hr-HR"/>
        </w:rPr>
        <w:t>mil.KM</w:t>
      </w:r>
      <w:r w:rsidR="008E10FA" w:rsidRPr="00B05AA4">
        <w:rPr>
          <w:rStyle w:val="FootnoteReference"/>
          <w:rFonts w:ascii="Arial" w:hAnsi="Arial" w:cs="Arial"/>
          <w:lang w:val="hr-HR"/>
        </w:rPr>
        <w:footnoteReference w:id="12"/>
      </w:r>
      <w:r w:rsidRPr="00B05AA4">
        <w:rPr>
          <w:rFonts w:ascii="Arial" w:hAnsi="Arial" w:cs="Arial"/>
          <w:lang w:val="hr-HR"/>
        </w:rPr>
        <w:t xml:space="preserve"> (</w:t>
      </w:r>
      <w:r w:rsidR="00B05AA4" w:rsidRPr="00445180">
        <w:rPr>
          <w:rFonts w:ascii="Arial" w:hAnsi="Arial" w:cs="Arial"/>
          <w:lang w:val="hr-HR"/>
        </w:rPr>
        <w:t>2</w:t>
      </w:r>
      <w:r w:rsidR="00F931BF" w:rsidRPr="00B05AA4">
        <w:rPr>
          <w:rFonts w:ascii="Arial" w:hAnsi="Arial" w:cs="Arial"/>
          <w:lang w:val="hr-HR"/>
        </w:rPr>
        <w:t>.</w:t>
      </w:r>
      <w:r w:rsidR="00B05AA4" w:rsidRPr="00445180">
        <w:rPr>
          <w:rFonts w:ascii="Arial" w:hAnsi="Arial" w:cs="Arial"/>
          <w:lang w:val="hr-HR"/>
        </w:rPr>
        <w:t>889,75</w:t>
      </w:r>
      <w:r w:rsidR="00492159" w:rsidRPr="00B05AA4">
        <w:rPr>
          <w:rFonts w:ascii="Arial" w:hAnsi="Arial" w:cs="Arial"/>
          <w:lang w:val="hr-HR"/>
        </w:rPr>
        <w:t xml:space="preserve"> </w:t>
      </w:r>
      <w:r w:rsidR="00E72547" w:rsidRPr="00B05AA4">
        <w:rPr>
          <w:rFonts w:ascii="Arial" w:hAnsi="Arial" w:cs="Arial"/>
          <w:lang w:val="hr-HR"/>
        </w:rPr>
        <w:t>mil.</w:t>
      </w:r>
      <w:r w:rsidR="00D945EA" w:rsidRPr="00B05AA4">
        <w:rPr>
          <w:rFonts w:ascii="Arial" w:hAnsi="Arial" w:cs="Arial"/>
          <w:lang w:val="hr-HR"/>
        </w:rPr>
        <w:t xml:space="preserve"> </w:t>
      </w:r>
      <w:r w:rsidR="00E72547" w:rsidRPr="00B05AA4">
        <w:rPr>
          <w:rFonts w:ascii="Arial" w:hAnsi="Arial" w:cs="Arial"/>
          <w:lang w:val="hr-HR"/>
        </w:rPr>
        <w:t>USD</w:t>
      </w:r>
      <w:r w:rsidRPr="00B05AA4">
        <w:rPr>
          <w:rStyle w:val="FootnoteReference"/>
          <w:rFonts w:ascii="Arial" w:hAnsi="Arial" w:cs="Arial"/>
          <w:lang w:val="hr-HR"/>
        </w:rPr>
        <w:footnoteReference w:id="13"/>
      </w:r>
      <w:r w:rsidRPr="00B05AA4">
        <w:rPr>
          <w:rFonts w:ascii="Arial" w:hAnsi="Arial" w:cs="Arial"/>
          <w:lang w:val="hr-HR"/>
        </w:rPr>
        <w:t xml:space="preserve">). Uzimajući u obzir </w:t>
      </w:r>
      <w:r w:rsidR="001B0367" w:rsidRPr="00B05AA4">
        <w:rPr>
          <w:rFonts w:ascii="Arial" w:hAnsi="Arial" w:cs="Arial"/>
          <w:lang w:val="hr-HR"/>
        </w:rPr>
        <w:t xml:space="preserve">ciljeve </w:t>
      </w:r>
      <w:r w:rsidR="00D945EA" w:rsidRPr="00B05AA4">
        <w:rPr>
          <w:rFonts w:ascii="Arial" w:hAnsi="Arial" w:cs="Arial"/>
          <w:lang w:val="hr-HR"/>
        </w:rPr>
        <w:t>definirane</w:t>
      </w:r>
      <w:r w:rsidR="001B0367" w:rsidRPr="00B05AA4">
        <w:rPr>
          <w:rFonts w:ascii="Arial" w:hAnsi="Arial" w:cs="Arial"/>
          <w:lang w:val="hr-HR"/>
        </w:rPr>
        <w:t xml:space="preserve"> ovom Strategijom, </w:t>
      </w:r>
      <w:r w:rsidRPr="00B05AA4">
        <w:rPr>
          <w:rFonts w:ascii="Arial" w:hAnsi="Arial" w:cs="Arial"/>
          <w:lang w:val="hr-HR"/>
        </w:rPr>
        <w:t>troškove i rizike ugovaranja zajmova, F</w:t>
      </w:r>
      <w:r w:rsidR="00C74941" w:rsidRPr="00B05AA4">
        <w:rPr>
          <w:rFonts w:ascii="Arial" w:hAnsi="Arial" w:cs="Arial"/>
          <w:lang w:val="hr-HR"/>
        </w:rPr>
        <w:t xml:space="preserve">ederacija </w:t>
      </w:r>
      <w:r w:rsidR="003E2B23">
        <w:rPr>
          <w:rFonts w:ascii="Arial" w:hAnsi="Arial" w:cs="Arial"/>
          <w:lang w:val="hr-HR"/>
        </w:rPr>
        <w:t>BiH će nastaviti s</w:t>
      </w:r>
      <w:r w:rsidRPr="00B05AA4">
        <w:rPr>
          <w:rFonts w:ascii="Arial" w:hAnsi="Arial" w:cs="Arial"/>
          <w:lang w:val="hr-HR"/>
        </w:rPr>
        <w:t xml:space="preserve"> politikom </w:t>
      </w:r>
      <w:r w:rsidR="00B73EA8" w:rsidRPr="00B05AA4">
        <w:rPr>
          <w:rFonts w:ascii="Arial" w:hAnsi="Arial" w:cs="Arial"/>
          <w:lang w:val="hr-HR"/>
        </w:rPr>
        <w:t xml:space="preserve">maksimiziranja </w:t>
      </w:r>
      <w:r w:rsidRPr="00B05AA4">
        <w:rPr>
          <w:rFonts w:ascii="Arial" w:hAnsi="Arial" w:cs="Arial"/>
          <w:lang w:val="hr-HR"/>
        </w:rPr>
        <w:t xml:space="preserve">zaduživanja kod multilateralnih </w:t>
      </w:r>
      <w:r w:rsidR="009A78EF">
        <w:rPr>
          <w:rFonts w:ascii="Arial" w:hAnsi="Arial" w:cs="Arial"/>
          <w:lang w:val="hr-HR"/>
        </w:rPr>
        <w:t>financ</w:t>
      </w:r>
      <w:r w:rsidR="001B0367" w:rsidRPr="00B05AA4">
        <w:rPr>
          <w:rFonts w:ascii="Arial" w:hAnsi="Arial" w:cs="Arial"/>
          <w:lang w:val="hr-HR"/>
        </w:rPr>
        <w:t xml:space="preserve">ijskih </w:t>
      </w:r>
      <w:r w:rsidRPr="00B05AA4">
        <w:rPr>
          <w:rFonts w:ascii="Arial" w:hAnsi="Arial" w:cs="Arial"/>
          <w:lang w:val="hr-HR"/>
        </w:rPr>
        <w:t xml:space="preserve">institucija, a procjene ukazuju da bi se </w:t>
      </w:r>
      <w:r w:rsidR="00314132" w:rsidRPr="00B05AA4">
        <w:rPr>
          <w:rFonts w:ascii="Arial" w:hAnsi="Arial" w:cs="Arial"/>
          <w:lang w:val="hr-HR"/>
        </w:rPr>
        <w:t xml:space="preserve">približno </w:t>
      </w:r>
      <w:r w:rsidR="00347DA9">
        <w:rPr>
          <w:rFonts w:ascii="Arial" w:hAnsi="Arial" w:cs="Arial"/>
          <w:lang w:val="hr-HR"/>
        </w:rPr>
        <w:t>90</w:t>
      </w:r>
      <w:r w:rsidR="00F931BF" w:rsidRPr="00B05AA4">
        <w:rPr>
          <w:rFonts w:ascii="Arial" w:hAnsi="Arial" w:cs="Arial"/>
          <w:lang w:val="hr-HR"/>
        </w:rPr>
        <w:t>,</w:t>
      </w:r>
      <w:r w:rsidR="00347DA9">
        <w:rPr>
          <w:rFonts w:ascii="Arial" w:hAnsi="Arial" w:cs="Arial"/>
          <w:lang w:val="hr-HR"/>
        </w:rPr>
        <w:t>5</w:t>
      </w:r>
      <w:r w:rsidRPr="00B05AA4">
        <w:rPr>
          <w:rFonts w:ascii="Arial" w:hAnsi="Arial" w:cs="Arial"/>
          <w:lang w:val="hr-HR"/>
        </w:rPr>
        <w:t xml:space="preserve">% </w:t>
      </w:r>
      <w:r w:rsidR="00B73EA8" w:rsidRPr="00B05AA4">
        <w:rPr>
          <w:rFonts w:ascii="Arial" w:hAnsi="Arial" w:cs="Arial"/>
          <w:lang w:val="hr-HR"/>
        </w:rPr>
        <w:t xml:space="preserve">planiranih </w:t>
      </w:r>
      <w:r w:rsidRPr="00B05AA4">
        <w:rPr>
          <w:rFonts w:ascii="Arial" w:hAnsi="Arial" w:cs="Arial"/>
          <w:lang w:val="hr-HR"/>
        </w:rPr>
        <w:t xml:space="preserve">potreba moglo zadovoljiti </w:t>
      </w:r>
      <w:r w:rsidR="009A78EF">
        <w:rPr>
          <w:rFonts w:ascii="Arial" w:hAnsi="Arial" w:cs="Arial"/>
          <w:lang w:val="hr-HR"/>
        </w:rPr>
        <w:t>financ</w:t>
      </w:r>
      <w:r w:rsidRPr="00B05AA4">
        <w:rPr>
          <w:rFonts w:ascii="Arial" w:hAnsi="Arial" w:cs="Arial"/>
          <w:lang w:val="hr-HR"/>
        </w:rPr>
        <w:t xml:space="preserve">iranjem iz </w:t>
      </w:r>
      <w:r w:rsidR="00B73EA8" w:rsidRPr="00B05AA4">
        <w:rPr>
          <w:rFonts w:ascii="Arial" w:hAnsi="Arial" w:cs="Arial"/>
          <w:lang w:val="hr-HR"/>
        </w:rPr>
        <w:t>ovih</w:t>
      </w:r>
      <w:r w:rsidRPr="00B05AA4">
        <w:rPr>
          <w:rFonts w:ascii="Arial" w:hAnsi="Arial" w:cs="Arial"/>
          <w:lang w:val="hr-HR"/>
        </w:rPr>
        <w:t xml:space="preserve"> izvora.</w:t>
      </w:r>
      <w:r w:rsidR="00327E88" w:rsidRPr="00656E8F">
        <w:rPr>
          <w:rFonts w:ascii="Arial" w:hAnsi="Arial" w:cs="Arial"/>
          <w:lang w:val="hr-HR"/>
        </w:rPr>
        <w:t xml:space="preserve"> </w:t>
      </w:r>
    </w:p>
    <w:p w14:paraId="58758D3D" w14:textId="77777777" w:rsidR="003E2B23" w:rsidRDefault="003E2B23" w:rsidP="00ED768D">
      <w:pPr>
        <w:pStyle w:val="NoSpacing"/>
        <w:rPr>
          <w:rFonts w:ascii="Arial" w:hAnsi="Arial" w:cs="Arial"/>
          <w:szCs w:val="24"/>
          <w:lang w:val="hr-HR"/>
        </w:rPr>
      </w:pPr>
    </w:p>
    <w:p w14:paraId="4D6E77C2" w14:textId="77777777" w:rsidR="003E2B23" w:rsidRDefault="003E2B23" w:rsidP="00ED768D">
      <w:pPr>
        <w:pStyle w:val="NoSpacing"/>
        <w:rPr>
          <w:rFonts w:ascii="Arial" w:hAnsi="Arial" w:cs="Arial"/>
          <w:szCs w:val="24"/>
          <w:lang w:val="hr-HR"/>
        </w:rPr>
      </w:pPr>
    </w:p>
    <w:p w14:paraId="1F90FA02" w14:textId="77777777" w:rsidR="003E2B23" w:rsidRDefault="003E2B23" w:rsidP="00ED768D">
      <w:pPr>
        <w:pStyle w:val="NoSpacing"/>
        <w:rPr>
          <w:rFonts w:ascii="Arial" w:hAnsi="Arial" w:cs="Arial"/>
          <w:szCs w:val="24"/>
          <w:lang w:val="hr-HR"/>
        </w:rPr>
      </w:pPr>
    </w:p>
    <w:p w14:paraId="1A638731" w14:textId="77777777" w:rsidR="003E2B23" w:rsidRDefault="003E2B23" w:rsidP="00ED768D">
      <w:pPr>
        <w:pStyle w:val="NoSpacing"/>
        <w:rPr>
          <w:rFonts w:ascii="Arial" w:hAnsi="Arial" w:cs="Arial"/>
          <w:szCs w:val="24"/>
          <w:lang w:val="hr-HR"/>
        </w:rPr>
      </w:pPr>
    </w:p>
    <w:p w14:paraId="191BF7FC" w14:textId="5BC6171A" w:rsidR="00ED69B6" w:rsidRPr="003E2B23" w:rsidRDefault="003E2B23" w:rsidP="00ED768D">
      <w:pPr>
        <w:pStyle w:val="NoSpacing"/>
        <w:rPr>
          <w:rFonts w:ascii="Arial" w:hAnsi="Arial" w:cs="Arial"/>
          <w:szCs w:val="24"/>
          <w:lang w:val="hr-HR"/>
        </w:rPr>
      </w:pPr>
      <w:r>
        <w:rPr>
          <w:rFonts w:ascii="Arial" w:hAnsi="Arial" w:cs="Arial"/>
          <w:szCs w:val="24"/>
          <w:lang w:val="hr-HR"/>
        </w:rPr>
        <w:t>Tablica</w:t>
      </w:r>
      <w:r w:rsidR="00ED768D" w:rsidRPr="00BF7FA5">
        <w:rPr>
          <w:rFonts w:ascii="Arial" w:hAnsi="Arial" w:cs="Arial"/>
          <w:szCs w:val="24"/>
          <w:lang w:val="hr-HR"/>
        </w:rPr>
        <w:t xml:space="preserve"> </w:t>
      </w:r>
      <w:r w:rsidR="005A0B60" w:rsidRPr="00BF7FA5">
        <w:rPr>
          <w:rFonts w:ascii="Arial" w:hAnsi="Arial" w:cs="Arial"/>
          <w:szCs w:val="24"/>
          <w:lang w:val="hr-HR"/>
        </w:rPr>
        <w:t>8</w:t>
      </w:r>
      <w:r w:rsidR="00ED768D" w:rsidRPr="00BF7FA5">
        <w:rPr>
          <w:rFonts w:ascii="Arial" w:hAnsi="Arial" w:cs="Arial"/>
          <w:szCs w:val="24"/>
          <w:lang w:val="hr-HR"/>
        </w:rPr>
        <w:t>: Pregled</w:t>
      </w:r>
      <w:r w:rsidR="00E817A7" w:rsidRPr="00BF7FA5">
        <w:rPr>
          <w:rFonts w:ascii="Arial" w:hAnsi="Arial" w:cs="Arial"/>
          <w:szCs w:val="24"/>
          <w:lang w:val="hr-HR"/>
        </w:rPr>
        <w:t xml:space="preserve"> </w:t>
      </w:r>
      <w:r w:rsidR="00347DA9">
        <w:rPr>
          <w:rFonts w:ascii="Arial" w:hAnsi="Arial" w:cs="Arial"/>
          <w:szCs w:val="24"/>
          <w:lang w:val="hr-HR"/>
        </w:rPr>
        <w:t xml:space="preserve">ugovorenih i planiranih </w:t>
      </w:r>
      <w:r w:rsidR="00C74941" w:rsidRPr="00BF7FA5">
        <w:rPr>
          <w:rFonts w:ascii="Arial" w:hAnsi="Arial" w:cs="Arial"/>
          <w:szCs w:val="24"/>
          <w:lang w:val="hr-HR"/>
        </w:rPr>
        <w:t>vanjskih izvora</w:t>
      </w:r>
      <w:r w:rsidR="00347DA9">
        <w:rPr>
          <w:rFonts w:ascii="Arial" w:hAnsi="Arial" w:cs="Arial"/>
          <w:szCs w:val="24"/>
          <w:lang w:val="hr-HR"/>
        </w:rPr>
        <w:t xml:space="preserve"> </w:t>
      </w:r>
      <w:r w:rsidR="009A78EF">
        <w:rPr>
          <w:rFonts w:ascii="Arial" w:hAnsi="Arial" w:cs="Arial"/>
          <w:szCs w:val="24"/>
          <w:lang w:val="hr-HR"/>
        </w:rPr>
        <w:t>financ</w:t>
      </w:r>
      <w:r w:rsidR="00347DA9">
        <w:rPr>
          <w:rFonts w:ascii="Arial" w:hAnsi="Arial" w:cs="Arial"/>
          <w:szCs w:val="24"/>
          <w:lang w:val="hr-HR"/>
        </w:rPr>
        <w:t>iranja</w:t>
      </w:r>
      <w:r w:rsidR="00C74941" w:rsidRPr="00BF7FA5">
        <w:rPr>
          <w:rFonts w:ascii="Arial" w:hAnsi="Arial" w:cs="Arial"/>
          <w:szCs w:val="24"/>
          <w:lang w:val="hr-HR"/>
        </w:rPr>
        <w:t xml:space="preserve"> </w:t>
      </w:r>
      <w:r w:rsidR="00F4747C" w:rsidRPr="00BF7FA5">
        <w:rPr>
          <w:rFonts w:ascii="Arial" w:hAnsi="Arial" w:cs="Arial"/>
          <w:szCs w:val="24"/>
          <w:lang w:val="hr-HR"/>
        </w:rPr>
        <w:t xml:space="preserve">u </w:t>
      </w:r>
      <w:r w:rsidR="00A31C4D">
        <w:rPr>
          <w:rFonts w:ascii="Arial" w:hAnsi="Arial" w:cs="Arial"/>
          <w:szCs w:val="24"/>
          <w:lang w:val="hr-HR"/>
        </w:rPr>
        <w:t>razdoblju</w:t>
      </w:r>
      <w:r w:rsidR="00F4747C" w:rsidRPr="00BF7FA5">
        <w:rPr>
          <w:rFonts w:ascii="Arial" w:hAnsi="Arial" w:cs="Arial"/>
          <w:szCs w:val="24"/>
          <w:lang w:val="hr-HR"/>
        </w:rPr>
        <w:t xml:space="preserve"> </w:t>
      </w:r>
      <w:r w:rsidR="0050400E" w:rsidRPr="00BF7FA5">
        <w:rPr>
          <w:rFonts w:ascii="Arial" w:hAnsi="Arial" w:cs="Arial"/>
          <w:szCs w:val="24"/>
          <w:lang w:val="hr-HR"/>
        </w:rPr>
        <w:t xml:space="preserve">2022 </w:t>
      </w:r>
      <w:r w:rsidR="006B072E" w:rsidRPr="00BF7FA5">
        <w:rPr>
          <w:rFonts w:ascii="Arial" w:hAnsi="Arial" w:cs="Arial"/>
          <w:szCs w:val="24"/>
          <w:lang w:val="hr-HR"/>
        </w:rPr>
        <w:t xml:space="preserve">– </w:t>
      </w:r>
      <w:r w:rsidR="0050400E" w:rsidRPr="00BF7FA5">
        <w:rPr>
          <w:rFonts w:ascii="Arial" w:hAnsi="Arial" w:cs="Arial"/>
          <w:szCs w:val="24"/>
          <w:lang w:val="hr-HR"/>
        </w:rPr>
        <w:t>2024</w:t>
      </w:r>
      <w:r w:rsidR="00F4747C" w:rsidRPr="00BF7FA5">
        <w:rPr>
          <w:rFonts w:ascii="Arial" w:hAnsi="Arial" w:cs="Arial"/>
          <w:szCs w:val="24"/>
          <w:lang w:val="hr-HR"/>
        </w:rPr>
        <w:t>. godina</w:t>
      </w:r>
      <w:r w:rsidR="00ED768D" w:rsidRPr="00656E8F">
        <w:rPr>
          <w:rFonts w:ascii="Arial" w:hAnsi="Arial" w:cs="Arial"/>
          <w:szCs w:val="24"/>
          <w:lang w:val="hr-HR"/>
        </w:rPr>
        <w:t xml:space="preserve"> </w:t>
      </w:r>
    </w:p>
    <w:tbl>
      <w:tblPr>
        <w:tblW w:w="5000" w:type="pct"/>
        <w:tblLook w:val="04A0" w:firstRow="1" w:lastRow="0" w:firstColumn="1" w:lastColumn="0" w:noHBand="0" w:noVBand="1"/>
      </w:tblPr>
      <w:tblGrid>
        <w:gridCol w:w="1323"/>
        <w:gridCol w:w="1230"/>
        <w:gridCol w:w="894"/>
        <w:gridCol w:w="894"/>
        <w:gridCol w:w="894"/>
        <w:gridCol w:w="1380"/>
        <w:gridCol w:w="927"/>
        <w:gridCol w:w="1771"/>
      </w:tblGrid>
      <w:tr w:rsidR="00ED69B6" w:rsidRPr="00ED69B6" w14:paraId="17C913C5" w14:textId="77777777" w:rsidTr="00445180">
        <w:trPr>
          <w:trHeight w:val="345"/>
        </w:trPr>
        <w:tc>
          <w:tcPr>
            <w:tcW w:w="713" w:type="pct"/>
            <w:vMerge w:val="restart"/>
            <w:tcBorders>
              <w:top w:val="single" w:sz="8" w:space="0" w:color="4F81BD"/>
              <w:left w:val="single" w:sz="8" w:space="0" w:color="4F81BD"/>
              <w:bottom w:val="single" w:sz="8" w:space="0" w:color="4F81BD"/>
              <w:right w:val="single" w:sz="8" w:space="0" w:color="0070C0"/>
            </w:tcBorders>
            <w:shd w:val="clear" w:color="auto" w:fill="auto"/>
            <w:vAlign w:val="center"/>
            <w:hideMark/>
          </w:tcPr>
          <w:p w14:paraId="0DDB61F2" w14:textId="77777777" w:rsidR="00ED69B6" w:rsidRPr="00445180" w:rsidRDefault="00ED69B6" w:rsidP="00ED69B6">
            <w:pPr>
              <w:spacing w:after="0" w:line="240" w:lineRule="auto"/>
              <w:jc w:val="center"/>
              <w:rPr>
                <w:rFonts w:ascii="Arial" w:eastAsia="Times New Roman" w:hAnsi="Arial" w:cs="Arial"/>
                <w:bCs/>
                <w:sz w:val="16"/>
                <w:szCs w:val="16"/>
                <w:lang w:val="en-US"/>
              </w:rPr>
            </w:pPr>
            <w:r w:rsidRPr="00445180">
              <w:rPr>
                <w:rFonts w:ascii="Arial" w:eastAsia="Times New Roman" w:hAnsi="Arial" w:cs="Arial"/>
                <w:bCs/>
                <w:sz w:val="16"/>
                <w:szCs w:val="16"/>
              </w:rPr>
              <w:t>Kreditor</w:t>
            </w:r>
          </w:p>
        </w:tc>
        <w:tc>
          <w:tcPr>
            <w:tcW w:w="663" w:type="pct"/>
            <w:vMerge w:val="restart"/>
            <w:tcBorders>
              <w:top w:val="single" w:sz="8" w:space="0" w:color="4F81BD"/>
              <w:left w:val="single" w:sz="8" w:space="0" w:color="0070C0"/>
              <w:bottom w:val="single" w:sz="8" w:space="0" w:color="4F81BD"/>
              <w:right w:val="single" w:sz="8" w:space="0" w:color="0070C0"/>
            </w:tcBorders>
            <w:shd w:val="clear" w:color="auto" w:fill="auto"/>
            <w:vAlign w:val="center"/>
            <w:hideMark/>
          </w:tcPr>
          <w:p w14:paraId="344931C5" w14:textId="77777777" w:rsidR="00ED69B6" w:rsidRPr="00445180" w:rsidRDefault="00ED69B6" w:rsidP="00ED69B6">
            <w:pPr>
              <w:spacing w:after="0" w:line="240" w:lineRule="auto"/>
              <w:jc w:val="center"/>
              <w:rPr>
                <w:rFonts w:ascii="Arial" w:eastAsia="Times New Roman" w:hAnsi="Arial" w:cs="Arial"/>
                <w:bCs/>
                <w:sz w:val="16"/>
                <w:szCs w:val="16"/>
                <w:lang w:val="en-US"/>
              </w:rPr>
            </w:pPr>
            <w:r w:rsidRPr="00445180">
              <w:rPr>
                <w:rFonts w:ascii="Arial" w:eastAsia="Times New Roman" w:hAnsi="Arial" w:cs="Arial"/>
                <w:bCs/>
                <w:sz w:val="16"/>
                <w:szCs w:val="16"/>
              </w:rPr>
              <w:t>Kamatna stopa</w:t>
            </w:r>
          </w:p>
        </w:tc>
        <w:tc>
          <w:tcPr>
            <w:tcW w:w="482" w:type="pct"/>
            <w:tcBorders>
              <w:top w:val="single" w:sz="8" w:space="0" w:color="4F81BD"/>
              <w:left w:val="nil"/>
              <w:bottom w:val="single" w:sz="8" w:space="0" w:color="0070C0"/>
              <w:right w:val="single" w:sz="8" w:space="0" w:color="0070C0"/>
            </w:tcBorders>
            <w:shd w:val="clear" w:color="auto" w:fill="auto"/>
            <w:vAlign w:val="center"/>
            <w:hideMark/>
          </w:tcPr>
          <w:p w14:paraId="77071686" w14:textId="77777777" w:rsidR="00ED69B6" w:rsidRPr="00445180" w:rsidRDefault="00ED69B6" w:rsidP="00ED69B6">
            <w:pPr>
              <w:spacing w:after="0" w:line="240" w:lineRule="auto"/>
              <w:jc w:val="center"/>
              <w:rPr>
                <w:rFonts w:ascii="Arial" w:eastAsia="Times New Roman" w:hAnsi="Arial" w:cs="Arial"/>
                <w:bCs/>
                <w:sz w:val="16"/>
                <w:szCs w:val="16"/>
                <w:lang w:val="en-US"/>
              </w:rPr>
            </w:pPr>
            <w:r w:rsidRPr="00445180">
              <w:rPr>
                <w:rFonts w:ascii="Arial" w:eastAsia="Times New Roman" w:hAnsi="Arial" w:cs="Arial"/>
                <w:bCs/>
                <w:sz w:val="16"/>
                <w:szCs w:val="16"/>
              </w:rPr>
              <w:t>Grace</w:t>
            </w:r>
          </w:p>
        </w:tc>
        <w:tc>
          <w:tcPr>
            <w:tcW w:w="482" w:type="pct"/>
            <w:vMerge w:val="restart"/>
            <w:tcBorders>
              <w:top w:val="single" w:sz="8" w:space="0" w:color="4F81BD"/>
              <w:left w:val="single" w:sz="8" w:space="0" w:color="0070C0"/>
              <w:bottom w:val="single" w:sz="8" w:space="0" w:color="4F81BD"/>
              <w:right w:val="single" w:sz="8" w:space="0" w:color="0070C0"/>
            </w:tcBorders>
            <w:shd w:val="clear" w:color="auto" w:fill="auto"/>
            <w:vAlign w:val="center"/>
            <w:hideMark/>
          </w:tcPr>
          <w:p w14:paraId="65F80937" w14:textId="77777777" w:rsidR="00ED69B6" w:rsidRPr="00445180" w:rsidRDefault="00ED69B6" w:rsidP="00ED69B6">
            <w:pPr>
              <w:spacing w:after="0" w:line="240" w:lineRule="auto"/>
              <w:jc w:val="center"/>
              <w:rPr>
                <w:rFonts w:ascii="Arial" w:eastAsia="Times New Roman" w:hAnsi="Arial" w:cs="Arial"/>
                <w:bCs/>
                <w:sz w:val="16"/>
                <w:szCs w:val="16"/>
                <w:lang w:val="en-US"/>
              </w:rPr>
            </w:pPr>
            <w:r w:rsidRPr="00445180">
              <w:rPr>
                <w:rFonts w:ascii="Arial" w:eastAsia="Times New Roman" w:hAnsi="Arial" w:cs="Arial"/>
                <w:bCs/>
                <w:sz w:val="16"/>
                <w:szCs w:val="16"/>
              </w:rPr>
              <w:t>Rok otplate</w:t>
            </w:r>
          </w:p>
        </w:tc>
        <w:tc>
          <w:tcPr>
            <w:tcW w:w="482" w:type="pct"/>
            <w:vMerge w:val="restart"/>
            <w:tcBorders>
              <w:top w:val="single" w:sz="8" w:space="0" w:color="4F81BD"/>
              <w:left w:val="single" w:sz="8" w:space="0" w:color="0070C0"/>
              <w:bottom w:val="single" w:sz="8" w:space="0" w:color="4F81BD"/>
              <w:right w:val="single" w:sz="8" w:space="0" w:color="0070C0"/>
            </w:tcBorders>
            <w:shd w:val="clear" w:color="auto" w:fill="auto"/>
            <w:vAlign w:val="center"/>
            <w:hideMark/>
          </w:tcPr>
          <w:p w14:paraId="77866A9A" w14:textId="77777777" w:rsidR="00ED69B6" w:rsidRPr="00445180" w:rsidRDefault="00ED69B6" w:rsidP="00ED69B6">
            <w:pPr>
              <w:spacing w:after="0" w:line="240" w:lineRule="auto"/>
              <w:jc w:val="center"/>
              <w:rPr>
                <w:rFonts w:ascii="Arial" w:eastAsia="Times New Roman" w:hAnsi="Arial" w:cs="Arial"/>
                <w:bCs/>
                <w:sz w:val="16"/>
                <w:szCs w:val="16"/>
                <w:lang w:val="en-US"/>
              </w:rPr>
            </w:pPr>
            <w:r w:rsidRPr="00445180">
              <w:rPr>
                <w:rFonts w:ascii="Arial" w:eastAsia="Times New Roman" w:hAnsi="Arial" w:cs="Arial"/>
                <w:bCs/>
                <w:sz w:val="16"/>
                <w:szCs w:val="16"/>
              </w:rPr>
              <w:t>Valuta</w:t>
            </w:r>
          </w:p>
        </w:tc>
        <w:tc>
          <w:tcPr>
            <w:tcW w:w="743" w:type="pct"/>
            <w:vMerge w:val="restart"/>
            <w:tcBorders>
              <w:top w:val="single" w:sz="8" w:space="0" w:color="4F81BD"/>
              <w:left w:val="nil"/>
              <w:bottom w:val="single" w:sz="8" w:space="0" w:color="4F81BD"/>
              <w:right w:val="single" w:sz="8" w:space="0" w:color="0070C0"/>
            </w:tcBorders>
            <w:shd w:val="clear" w:color="auto" w:fill="auto"/>
            <w:vAlign w:val="center"/>
            <w:hideMark/>
          </w:tcPr>
          <w:p w14:paraId="7AB49E29" w14:textId="4BAA8E56" w:rsidR="00ED69B6" w:rsidRPr="00445180" w:rsidRDefault="009A78EF" w:rsidP="00ED69B6">
            <w:pPr>
              <w:spacing w:after="0" w:line="240" w:lineRule="auto"/>
              <w:jc w:val="center"/>
              <w:rPr>
                <w:rFonts w:ascii="Arial" w:eastAsia="Times New Roman" w:hAnsi="Arial" w:cs="Arial"/>
                <w:bCs/>
                <w:sz w:val="16"/>
                <w:szCs w:val="16"/>
                <w:lang w:val="en-US"/>
              </w:rPr>
            </w:pPr>
            <w:r>
              <w:rPr>
                <w:rFonts w:ascii="Arial" w:eastAsia="Times New Roman" w:hAnsi="Arial" w:cs="Arial"/>
                <w:bCs/>
                <w:sz w:val="16"/>
                <w:szCs w:val="16"/>
              </w:rPr>
              <w:t>Financ</w:t>
            </w:r>
            <w:r w:rsidR="00ED69B6" w:rsidRPr="00445180">
              <w:rPr>
                <w:rFonts w:ascii="Arial" w:eastAsia="Times New Roman" w:hAnsi="Arial" w:cs="Arial"/>
                <w:bCs/>
                <w:sz w:val="16"/>
                <w:szCs w:val="16"/>
              </w:rPr>
              <w:t>iranje mil. USD</w:t>
            </w:r>
          </w:p>
        </w:tc>
        <w:tc>
          <w:tcPr>
            <w:tcW w:w="482" w:type="pct"/>
            <w:vMerge w:val="restart"/>
            <w:tcBorders>
              <w:top w:val="single" w:sz="8" w:space="0" w:color="4F81BD"/>
              <w:left w:val="single" w:sz="8" w:space="0" w:color="0070C0"/>
              <w:bottom w:val="single" w:sz="8" w:space="0" w:color="4F81BD"/>
              <w:right w:val="single" w:sz="8" w:space="0" w:color="0070C0"/>
            </w:tcBorders>
            <w:shd w:val="clear" w:color="auto" w:fill="auto"/>
            <w:vAlign w:val="center"/>
            <w:hideMark/>
          </w:tcPr>
          <w:p w14:paraId="7E2493C9" w14:textId="77777777" w:rsidR="00ED69B6" w:rsidRPr="00445180" w:rsidRDefault="00ED69B6" w:rsidP="00ED69B6">
            <w:pPr>
              <w:spacing w:after="0" w:line="240" w:lineRule="auto"/>
              <w:jc w:val="center"/>
              <w:rPr>
                <w:rFonts w:ascii="Arial" w:eastAsia="Times New Roman" w:hAnsi="Arial" w:cs="Arial"/>
                <w:bCs/>
                <w:sz w:val="16"/>
                <w:szCs w:val="16"/>
                <w:lang w:val="en-US"/>
              </w:rPr>
            </w:pPr>
            <w:r w:rsidRPr="00445180">
              <w:rPr>
                <w:rFonts w:ascii="Arial" w:eastAsia="Times New Roman" w:hAnsi="Arial" w:cs="Arial"/>
                <w:bCs/>
                <w:sz w:val="16"/>
                <w:szCs w:val="16"/>
              </w:rPr>
              <w:t>%</w:t>
            </w:r>
          </w:p>
        </w:tc>
        <w:tc>
          <w:tcPr>
            <w:tcW w:w="954" w:type="pct"/>
            <w:vMerge w:val="restart"/>
            <w:tcBorders>
              <w:top w:val="single" w:sz="8" w:space="0" w:color="4F81BD"/>
              <w:left w:val="nil"/>
              <w:bottom w:val="single" w:sz="8" w:space="0" w:color="4F81BD"/>
              <w:right w:val="single" w:sz="8" w:space="0" w:color="4F81BD"/>
            </w:tcBorders>
            <w:shd w:val="clear" w:color="auto" w:fill="auto"/>
            <w:vAlign w:val="center"/>
            <w:hideMark/>
          </w:tcPr>
          <w:p w14:paraId="5C4680D3" w14:textId="77777777" w:rsidR="00ED69B6" w:rsidRPr="00445180" w:rsidRDefault="00ED69B6" w:rsidP="00ED69B6">
            <w:pPr>
              <w:spacing w:after="0" w:line="240" w:lineRule="auto"/>
              <w:jc w:val="center"/>
              <w:rPr>
                <w:rFonts w:ascii="Arial" w:eastAsia="Times New Roman" w:hAnsi="Arial" w:cs="Arial"/>
                <w:bCs/>
                <w:sz w:val="16"/>
                <w:szCs w:val="16"/>
                <w:lang w:val="en-US"/>
              </w:rPr>
            </w:pPr>
            <w:r w:rsidRPr="00445180">
              <w:rPr>
                <w:rFonts w:ascii="Arial" w:eastAsia="Times New Roman" w:hAnsi="Arial" w:cs="Arial"/>
                <w:bCs/>
                <w:sz w:val="16"/>
                <w:szCs w:val="16"/>
              </w:rPr>
              <w:t>Rizici</w:t>
            </w:r>
          </w:p>
        </w:tc>
      </w:tr>
      <w:tr w:rsidR="00ED69B6" w:rsidRPr="00ED69B6" w14:paraId="3BD3D7BB" w14:textId="77777777" w:rsidTr="00445180">
        <w:trPr>
          <w:trHeight w:val="345"/>
        </w:trPr>
        <w:tc>
          <w:tcPr>
            <w:tcW w:w="713" w:type="pct"/>
            <w:vMerge/>
            <w:tcBorders>
              <w:top w:val="single" w:sz="8" w:space="0" w:color="4F81BD"/>
              <w:left w:val="single" w:sz="8" w:space="0" w:color="4F81BD"/>
              <w:bottom w:val="single" w:sz="8" w:space="0" w:color="4F81BD"/>
              <w:right w:val="single" w:sz="8" w:space="0" w:color="0070C0"/>
            </w:tcBorders>
            <w:vAlign w:val="center"/>
            <w:hideMark/>
          </w:tcPr>
          <w:p w14:paraId="18081C60" w14:textId="77777777" w:rsidR="00ED69B6" w:rsidRPr="00ED69B6" w:rsidRDefault="00ED69B6" w:rsidP="00ED69B6">
            <w:pPr>
              <w:spacing w:after="0" w:line="240" w:lineRule="auto"/>
              <w:rPr>
                <w:rFonts w:ascii="Arial" w:eastAsia="Times New Roman" w:hAnsi="Arial" w:cs="Arial"/>
                <w:b/>
                <w:bCs/>
                <w:sz w:val="16"/>
                <w:szCs w:val="16"/>
                <w:lang w:val="en-US"/>
              </w:rPr>
            </w:pPr>
          </w:p>
        </w:tc>
        <w:tc>
          <w:tcPr>
            <w:tcW w:w="663" w:type="pct"/>
            <w:vMerge/>
            <w:tcBorders>
              <w:top w:val="single" w:sz="8" w:space="0" w:color="4F81BD"/>
              <w:left w:val="single" w:sz="8" w:space="0" w:color="0070C0"/>
              <w:bottom w:val="single" w:sz="8" w:space="0" w:color="4F81BD"/>
              <w:right w:val="single" w:sz="8" w:space="0" w:color="0070C0"/>
            </w:tcBorders>
            <w:vAlign w:val="center"/>
            <w:hideMark/>
          </w:tcPr>
          <w:p w14:paraId="0A353E02" w14:textId="77777777" w:rsidR="00ED69B6" w:rsidRPr="00ED69B6" w:rsidRDefault="00ED69B6" w:rsidP="00ED69B6">
            <w:pPr>
              <w:spacing w:after="0" w:line="240" w:lineRule="auto"/>
              <w:rPr>
                <w:rFonts w:ascii="Arial" w:eastAsia="Times New Roman" w:hAnsi="Arial" w:cs="Arial"/>
                <w:b/>
                <w:bCs/>
                <w:sz w:val="16"/>
                <w:szCs w:val="16"/>
                <w:lang w:val="en-US"/>
              </w:rPr>
            </w:pPr>
          </w:p>
        </w:tc>
        <w:tc>
          <w:tcPr>
            <w:tcW w:w="482" w:type="pct"/>
            <w:tcBorders>
              <w:top w:val="nil"/>
              <w:left w:val="nil"/>
              <w:bottom w:val="single" w:sz="8" w:space="0" w:color="4F81BD"/>
              <w:right w:val="single" w:sz="8" w:space="0" w:color="0070C0"/>
            </w:tcBorders>
            <w:shd w:val="clear" w:color="auto" w:fill="auto"/>
            <w:vAlign w:val="center"/>
            <w:hideMark/>
          </w:tcPr>
          <w:p w14:paraId="37988FDE" w14:textId="77777777" w:rsidR="00ED69B6" w:rsidRPr="00445180" w:rsidRDefault="00ED69B6" w:rsidP="00ED69B6">
            <w:pPr>
              <w:spacing w:after="0" w:line="240" w:lineRule="auto"/>
              <w:jc w:val="center"/>
              <w:rPr>
                <w:rFonts w:ascii="Arial" w:eastAsia="Times New Roman" w:hAnsi="Arial" w:cs="Arial"/>
                <w:bCs/>
                <w:sz w:val="16"/>
                <w:szCs w:val="16"/>
                <w:lang w:val="en-US"/>
              </w:rPr>
            </w:pPr>
            <w:r w:rsidRPr="00445180">
              <w:rPr>
                <w:rFonts w:ascii="Arial" w:eastAsia="Times New Roman" w:hAnsi="Arial" w:cs="Arial"/>
                <w:bCs/>
                <w:sz w:val="16"/>
                <w:szCs w:val="16"/>
              </w:rPr>
              <w:t>period</w:t>
            </w:r>
          </w:p>
        </w:tc>
        <w:tc>
          <w:tcPr>
            <w:tcW w:w="482" w:type="pct"/>
            <w:vMerge/>
            <w:tcBorders>
              <w:top w:val="single" w:sz="8" w:space="0" w:color="4F81BD"/>
              <w:left w:val="single" w:sz="8" w:space="0" w:color="0070C0"/>
              <w:bottom w:val="single" w:sz="8" w:space="0" w:color="4F81BD"/>
              <w:right w:val="single" w:sz="8" w:space="0" w:color="0070C0"/>
            </w:tcBorders>
            <w:vAlign w:val="center"/>
            <w:hideMark/>
          </w:tcPr>
          <w:p w14:paraId="72D419E0" w14:textId="77777777" w:rsidR="00ED69B6" w:rsidRPr="00ED69B6" w:rsidRDefault="00ED69B6" w:rsidP="00ED69B6">
            <w:pPr>
              <w:spacing w:after="0" w:line="240" w:lineRule="auto"/>
              <w:rPr>
                <w:rFonts w:ascii="Arial" w:eastAsia="Times New Roman" w:hAnsi="Arial" w:cs="Arial"/>
                <w:b/>
                <w:bCs/>
                <w:sz w:val="16"/>
                <w:szCs w:val="16"/>
                <w:lang w:val="en-US"/>
              </w:rPr>
            </w:pPr>
          </w:p>
        </w:tc>
        <w:tc>
          <w:tcPr>
            <w:tcW w:w="482" w:type="pct"/>
            <w:vMerge/>
            <w:tcBorders>
              <w:top w:val="single" w:sz="8" w:space="0" w:color="4F81BD"/>
              <w:left w:val="single" w:sz="8" w:space="0" w:color="0070C0"/>
              <w:bottom w:val="single" w:sz="8" w:space="0" w:color="4F81BD"/>
              <w:right w:val="single" w:sz="8" w:space="0" w:color="0070C0"/>
            </w:tcBorders>
            <w:vAlign w:val="center"/>
            <w:hideMark/>
          </w:tcPr>
          <w:p w14:paraId="4DF1AB99" w14:textId="77777777" w:rsidR="00ED69B6" w:rsidRPr="00ED69B6" w:rsidRDefault="00ED69B6" w:rsidP="00ED69B6">
            <w:pPr>
              <w:spacing w:after="0" w:line="240" w:lineRule="auto"/>
              <w:rPr>
                <w:rFonts w:ascii="Arial" w:eastAsia="Times New Roman" w:hAnsi="Arial" w:cs="Arial"/>
                <w:b/>
                <w:bCs/>
                <w:sz w:val="16"/>
                <w:szCs w:val="16"/>
                <w:lang w:val="en-US"/>
              </w:rPr>
            </w:pPr>
          </w:p>
        </w:tc>
        <w:tc>
          <w:tcPr>
            <w:tcW w:w="743" w:type="pct"/>
            <w:vMerge/>
            <w:tcBorders>
              <w:top w:val="single" w:sz="8" w:space="0" w:color="4F81BD"/>
              <w:left w:val="nil"/>
              <w:bottom w:val="single" w:sz="8" w:space="0" w:color="4F81BD"/>
              <w:right w:val="single" w:sz="8" w:space="0" w:color="0070C0"/>
            </w:tcBorders>
            <w:vAlign w:val="center"/>
            <w:hideMark/>
          </w:tcPr>
          <w:p w14:paraId="4B50E4EC" w14:textId="77777777" w:rsidR="00ED69B6" w:rsidRPr="00ED69B6" w:rsidRDefault="00ED69B6" w:rsidP="00ED69B6">
            <w:pPr>
              <w:spacing w:after="0" w:line="240" w:lineRule="auto"/>
              <w:rPr>
                <w:rFonts w:ascii="Arial" w:eastAsia="Times New Roman" w:hAnsi="Arial" w:cs="Arial"/>
                <w:b/>
                <w:bCs/>
                <w:sz w:val="16"/>
                <w:szCs w:val="16"/>
                <w:lang w:val="en-US"/>
              </w:rPr>
            </w:pPr>
          </w:p>
        </w:tc>
        <w:tc>
          <w:tcPr>
            <w:tcW w:w="482" w:type="pct"/>
            <w:vMerge/>
            <w:tcBorders>
              <w:top w:val="single" w:sz="8" w:space="0" w:color="4F81BD"/>
              <w:left w:val="single" w:sz="8" w:space="0" w:color="0070C0"/>
              <w:bottom w:val="single" w:sz="8" w:space="0" w:color="4F81BD"/>
              <w:right w:val="single" w:sz="8" w:space="0" w:color="0070C0"/>
            </w:tcBorders>
            <w:vAlign w:val="center"/>
            <w:hideMark/>
          </w:tcPr>
          <w:p w14:paraId="796B117D" w14:textId="77777777" w:rsidR="00ED69B6" w:rsidRPr="00ED69B6" w:rsidRDefault="00ED69B6" w:rsidP="00ED69B6">
            <w:pPr>
              <w:spacing w:after="0" w:line="240" w:lineRule="auto"/>
              <w:rPr>
                <w:rFonts w:ascii="Arial" w:eastAsia="Times New Roman" w:hAnsi="Arial" w:cs="Arial"/>
                <w:b/>
                <w:bCs/>
                <w:sz w:val="16"/>
                <w:szCs w:val="16"/>
                <w:lang w:val="en-US"/>
              </w:rPr>
            </w:pPr>
          </w:p>
        </w:tc>
        <w:tc>
          <w:tcPr>
            <w:tcW w:w="954" w:type="pct"/>
            <w:vMerge/>
            <w:tcBorders>
              <w:top w:val="single" w:sz="8" w:space="0" w:color="4F81BD"/>
              <w:left w:val="nil"/>
              <w:bottom w:val="single" w:sz="8" w:space="0" w:color="4F81BD"/>
              <w:right w:val="single" w:sz="8" w:space="0" w:color="4F81BD"/>
            </w:tcBorders>
            <w:vAlign w:val="center"/>
            <w:hideMark/>
          </w:tcPr>
          <w:p w14:paraId="1B8AEDDC" w14:textId="77777777" w:rsidR="00ED69B6" w:rsidRPr="00ED69B6" w:rsidRDefault="00ED69B6" w:rsidP="00ED69B6">
            <w:pPr>
              <w:spacing w:after="0" w:line="240" w:lineRule="auto"/>
              <w:rPr>
                <w:rFonts w:ascii="Arial" w:eastAsia="Times New Roman" w:hAnsi="Arial" w:cs="Arial"/>
                <w:b/>
                <w:bCs/>
                <w:sz w:val="16"/>
                <w:szCs w:val="16"/>
                <w:lang w:val="en-US"/>
              </w:rPr>
            </w:pPr>
          </w:p>
        </w:tc>
      </w:tr>
      <w:tr w:rsidR="00ED69B6" w:rsidRPr="00ED69B6" w14:paraId="3E2B9460" w14:textId="77777777" w:rsidTr="00445180">
        <w:trPr>
          <w:trHeight w:val="465"/>
        </w:trPr>
        <w:tc>
          <w:tcPr>
            <w:tcW w:w="713" w:type="pct"/>
            <w:tcBorders>
              <w:top w:val="nil"/>
              <w:left w:val="single" w:sz="8" w:space="0" w:color="4F81BD"/>
              <w:bottom w:val="single" w:sz="8" w:space="0" w:color="4F81BD"/>
              <w:right w:val="single" w:sz="8" w:space="0" w:color="4F81BD"/>
            </w:tcBorders>
            <w:shd w:val="clear" w:color="auto" w:fill="auto"/>
            <w:vAlign w:val="center"/>
            <w:hideMark/>
          </w:tcPr>
          <w:p w14:paraId="4907ED5C" w14:textId="77777777" w:rsidR="00ED69B6" w:rsidRPr="00445180" w:rsidRDefault="00ED69B6" w:rsidP="00ED69B6">
            <w:pPr>
              <w:spacing w:after="0" w:line="240" w:lineRule="auto"/>
              <w:rPr>
                <w:rFonts w:ascii="Arial" w:eastAsia="Times New Roman" w:hAnsi="Arial" w:cs="Arial"/>
                <w:bCs/>
                <w:color w:val="000000"/>
                <w:sz w:val="16"/>
                <w:szCs w:val="16"/>
                <w:lang w:val="en-US"/>
              </w:rPr>
            </w:pPr>
            <w:r w:rsidRPr="00445180">
              <w:rPr>
                <w:rFonts w:ascii="Arial" w:eastAsia="Times New Roman" w:hAnsi="Arial" w:cs="Arial"/>
                <w:bCs/>
                <w:color w:val="000000"/>
                <w:sz w:val="16"/>
                <w:szCs w:val="16"/>
              </w:rPr>
              <w:t>IBRD</w:t>
            </w:r>
          </w:p>
        </w:tc>
        <w:tc>
          <w:tcPr>
            <w:tcW w:w="663" w:type="pct"/>
            <w:tcBorders>
              <w:top w:val="nil"/>
              <w:left w:val="nil"/>
              <w:bottom w:val="single" w:sz="8" w:space="0" w:color="4F81BD"/>
              <w:right w:val="single" w:sz="8" w:space="0" w:color="4F81BD"/>
            </w:tcBorders>
            <w:shd w:val="clear" w:color="auto" w:fill="auto"/>
            <w:vAlign w:val="center"/>
            <w:hideMark/>
          </w:tcPr>
          <w:p w14:paraId="5029C6C0" w14:textId="77777777" w:rsidR="00ED69B6" w:rsidRPr="00ED69B6" w:rsidRDefault="00ED69B6" w:rsidP="00ED69B6">
            <w:pPr>
              <w:spacing w:after="0" w:line="240" w:lineRule="auto"/>
              <w:jc w:val="center"/>
              <w:rPr>
                <w:rFonts w:ascii="Arial" w:eastAsia="Times New Roman" w:hAnsi="Arial" w:cs="Arial"/>
                <w:color w:val="000000"/>
                <w:sz w:val="17"/>
                <w:szCs w:val="17"/>
                <w:lang w:val="en-US"/>
              </w:rPr>
            </w:pPr>
            <w:r w:rsidRPr="00ED69B6">
              <w:rPr>
                <w:rFonts w:ascii="Arial" w:eastAsia="Times New Roman" w:hAnsi="Arial" w:cs="Arial"/>
                <w:color w:val="000000"/>
                <w:sz w:val="17"/>
                <w:szCs w:val="17"/>
              </w:rPr>
              <w:t>Fiksna ili varijabilna</w:t>
            </w:r>
          </w:p>
        </w:tc>
        <w:tc>
          <w:tcPr>
            <w:tcW w:w="482" w:type="pct"/>
            <w:tcBorders>
              <w:top w:val="nil"/>
              <w:left w:val="nil"/>
              <w:bottom w:val="single" w:sz="8" w:space="0" w:color="4F81BD"/>
              <w:right w:val="single" w:sz="8" w:space="0" w:color="0070C0"/>
            </w:tcBorders>
            <w:shd w:val="clear" w:color="auto" w:fill="auto"/>
            <w:vAlign w:val="center"/>
            <w:hideMark/>
          </w:tcPr>
          <w:p w14:paraId="6DBA95E7"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5-10</w:t>
            </w:r>
          </w:p>
        </w:tc>
        <w:tc>
          <w:tcPr>
            <w:tcW w:w="482" w:type="pct"/>
            <w:tcBorders>
              <w:top w:val="nil"/>
              <w:left w:val="nil"/>
              <w:bottom w:val="single" w:sz="8" w:space="0" w:color="4F81BD"/>
              <w:right w:val="single" w:sz="8" w:space="0" w:color="4F81BD"/>
            </w:tcBorders>
            <w:shd w:val="clear" w:color="auto" w:fill="auto"/>
            <w:vAlign w:val="center"/>
            <w:hideMark/>
          </w:tcPr>
          <w:p w14:paraId="2A15BD2C"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18-30</w:t>
            </w:r>
          </w:p>
        </w:tc>
        <w:tc>
          <w:tcPr>
            <w:tcW w:w="482" w:type="pct"/>
            <w:tcBorders>
              <w:top w:val="nil"/>
              <w:left w:val="nil"/>
              <w:bottom w:val="single" w:sz="8" w:space="0" w:color="4F81BD"/>
              <w:right w:val="single" w:sz="8" w:space="0" w:color="4F81BD"/>
            </w:tcBorders>
            <w:shd w:val="clear" w:color="auto" w:fill="auto"/>
            <w:vAlign w:val="center"/>
            <w:hideMark/>
          </w:tcPr>
          <w:p w14:paraId="1F071D60" w14:textId="77777777" w:rsidR="00ED69B6" w:rsidRPr="00ED69B6" w:rsidRDefault="00ED69B6" w:rsidP="00ED69B6">
            <w:pPr>
              <w:spacing w:after="0" w:line="240" w:lineRule="auto"/>
              <w:jc w:val="center"/>
              <w:rPr>
                <w:rFonts w:ascii="Arial" w:eastAsia="Times New Roman" w:hAnsi="Arial" w:cs="Arial"/>
                <w:color w:val="000000"/>
                <w:sz w:val="18"/>
                <w:szCs w:val="18"/>
                <w:lang w:val="en-US"/>
              </w:rPr>
            </w:pPr>
            <w:r w:rsidRPr="00ED69B6">
              <w:rPr>
                <w:rFonts w:ascii="Arial" w:eastAsia="Times New Roman" w:hAnsi="Arial" w:cs="Arial"/>
                <w:color w:val="000000"/>
                <w:sz w:val="18"/>
                <w:szCs w:val="18"/>
              </w:rPr>
              <w:t>EUR</w:t>
            </w:r>
          </w:p>
        </w:tc>
        <w:tc>
          <w:tcPr>
            <w:tcW w:w="743" w:type="pct"/>
            <w:tcBorders>
              <w:top w:val="nil"/>
              <w:left w:val="nil"/>
              <w:bottom w:val="single" w:sz="8" w:space="0" w:color="4F81BD"/>
              <w:right w:val="single" w:sz="8" w:space="0" w:color="0070C0"/>
            </w:tcBorders>
            <w:shd w:val="clear" w:color="auto" w:fill="auto"/>
            <w:vAlign w:val="center"/>
            <w:hideMark/>
          </w:tcPr>
          <w:p w14:paraId="6EFE9DED" w14:textId="77777777" w:rsidR="00ED69B6" w:rsidRPr="00ED69B6" w:rsidRDefault="00ED69B6" w:rsidP="00ED69B6">
            <w:pPr>
              <w:spacing w:after="0" w:line="240" w:lineRule="auto"/>
              <w:jc w:val="right"/>
              <w:rPr>
                <w:rFonts w:ascii="Arial" w:eastAsia="Times New Roman" w:hAnsi="Arial" w:cs="Arial"/>
                <w:color w:val="000000"/>
                <w:sz w:val="18"/>
                <w:szCs w:val="18"/>
                <w:lang w:val="en-US"/>
              </w:rPr>
            </w:pPr>
            <w:r w:rsidRPr="00ED69B6">
              <w:rPr>
                <w:rFonts w:ascii="Arial" w:eastAsia="Times New Roman" w:hAnsi="Arial" w:cs="Arial"/>
                <w:color w:val="000000"/>
                <w:sz w:val="18"/>
                <w:szCs w:val="18"/>
              </w:rPr>
              <w:t>281,01</w:t>
            </w:r>
          </w:p>
        </w:tc>
        <w:tc>
          <w:tcPr>
            <w:tcW w:w="482" w:type="pct"/>
            <w:tcBorders>
              <w:top w:val="nil"/>
              <w:left w:val="nil"/>
              <w:bottom w:val="single" w:sz="8" w:space="0" w:color="4F81BD"/>
              <w:right w:val="single" w:sz="8" w:space="0" w:color="0070C0"/>
            </w:tcBorders>
            <w:shd w:val="clear" w:color="auto" w:fill="auto"/>
            <w:vAlign w:val="center"/>
            <w:hideMark/>
          </w:tcPr>
          <w:p w14:paraId="38FD73D3" w14:textId="77777777" w:rsidR="00ED69B6" w:rsidRPr="00ED69B6" w:rsidRDefault="00ED69B6" w:rsidP="00ED69B6">
            <w:pPr>
              <w:spacing w:after="0" w:line="240" w:lineRule="auto"/>
              <w:jc w:val="right"/>
              <w:rPr>
                <w:rFonts w:ascii="Arial" w:eastAsia="Times New Roman" w:hAnsi="Arial" w:cs="Arial"/>
                <w:color w:val="000000"/>
                <w:sz w:val="18"/>
                <w:szCs w:val="18"/>
                <w:lang w:val="en-US"/>
              </w:rPr>
            </w:pPr>
            <w:r w:rsidRPr="00ED69B6">
              <w:rPr>
                <w:rFonts w:ascii="Arial" w:eastAsia="Times New Roman" w:hAnsi="Arial" w:cs="Arial"/>
                <w:color w:val="000000"/>
                <w:sz w:val="18"/>
                <w:szCs w:val="18"/>
              </w:rPr>
              <w:t>9,72%</w:t>
            </w:r>
          </w:p>
        </w:tc>
        <w:tc>
          <w:tcPr>
            <w:tcW w:w="954" w:type="pct"/>
            <w:tcBorders>
              <w:top w:val="nil"/>
              <w:left w:val="nil"/>
              <w:bottom w:val="single" w:sz="8" w:space="0" w:color="4F81BD"/>
              <w:right w:val="single" w:sz="8" w:space="0" w:color="4F81BD"/>
            </w:tcBorders>
            <w:shd w:val="clear" w:color="auto" w:fill="auto"/>
            <w:vAlign w:val="center"/>
            <w:hideMark/>
          </w:tcPr>
          <w:p w14:paraId="6E5140B0"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Rizik refiksiranja za varijabilnu</w:t>
            </w:r>
          </w:p>
        </w:tc>
      </w:tr>
      <w:tr w:rsidR="00ED69B6" w:rsidRPr="00ED69B6" w14:paraId="23FA4B36" w14:textId="77777777" w:rsidTr="00445180">
        <w:trPr>
          <w:trHeight w:val="465"/>
        </w:trPr>
        <w:tc>
          <w:tcPr>
            <w:tcW w:w="713" w:type="pct"/>
            <w:tcBorders>
              <w:top w:val="nil"/>
              <w:left w:val="single" w:sz="8" w:space="0" w:color="4F81BD"/>
              <w:bottom w:val="single" w:sz="8" w:space="0" w:color="4F81BD"/>
              <w:right w:val="single" w:sz="8" w:space="0" w:color="4F81BD"/>
            </w:tcBorders>
            <w:shd w:val="clear" w:color="auto" w:fill="auto"/>
            <w:vAlign w:val="center"/>
            <w:hideMark/>
          </w:tcPr>
          <w:p w14:paraId="28E80B35" w14:textId="77777777" w:rsidR="00ED69B6" w:rsidRPr="00445180" w:rsidRDefault="00ED69B6" w:rsidP="00ED69B6">
            <w:pPr>
              <w:spacing w:after="0" w:line="240" w:lineRule="auto"/>
              <w:rPr>
                <w:rFonts w:ascii="Arial" w:eastAsia="Times New Roman" w:hAnsi="Arial" w:cs="Arial"/>
                <w:bCs/>
                <w:color w:val="000000"/>
                <w:sz w:val="16"/>
                <w:szCs w:val="16"/>
                <w:lang w:val="en-US"/>
              </w:rPr>
            </w:pPr>
            <w:r w:rsidRPr="00445180">
              <w:rPr>
                <w:rFonts w:ascii="Arial" w:eastAsia="Times New Roman" w:hAnsi="Arial" w:cs="Arial"/>
                <w:bCs/>
                <w:color w:val="000000"/>
                <w:sz w:val="16"/>
                <w:szCs w:val="16"/>
              </w:rPr>
              <w:t>EIB</w:t>
            </w:r>
          </w:p>
        </w:tc>
        <w:tc>
          <w:tcPr>
            <w:tcW w:w="663" w:type="pct"/>
            <w:tcBorders>
              <w:top w:val="nil"/>
              <w:left w:val="nil"/>
              <w:bottom w:val="single" w:sz="8" w:space="0" w:color="4F81BD"/>
              <w:right w:val="single" w:sz="8" w:space="0" w:color="4F81BD"/>
            </w:tcBorders>
            <w:shd w:val="clear" w:color="auto" w:fill="auto"/>
            <w:vAlign w:val="center"/>
            <w:hideMark/>
          </w:tcPr>
          <w:p w14:paraId="6902AC0B" w14:textId="77777777" w:rsidR="00ED69B6" w:rsidRPr="00ED69B6" w:rsidRDefault="00ED69B6" w:rsidP="00ED69B6">
            <w:pPr>
              <w:spacing w:after="0" w:line="240" w:lineRule="auto"/>
              <w:jc w:val="center"/>
              <w:rPr>
                <w:rFonts w:ascii="Arial" w:eastAsia="Times New Roman" w:hAnsi="Arial" w:cs="Arial"/>
                <w:color w:val="000000"/>
                <w:sz w:val="17"/>
                <w:szCs w:val="17"/>
                <w:lang w:val="en-US"/>
              </w:rPr>
            </w:pPr>
            <w:r w:rsidRPr="00ED69B6">
              <w:rPr>
                <w:rFonts w:ascii="Arial" w:eastAsia="Times New Roman" w:hAnsi="Arial" w:cs="Arial"/>
                <w:color w:val="000000"/>
                <w:sz w:val="17"/>
                <w:szCs w:val="17"/>
              </w:rPr>
              <w:t>Fiksna ili varijabilna</w:t>
            </w:r>
          </w:p>
        </w:tc>
        <w:tc>
          <w:tcPr>
            <w:tcW w:w="482" w:type="pct"/>
            <w:tcBorders>
              <w:top w:val="nil"/>
              <w:left w:val="nil"/>
              <w:bottom w:val="single" w:sz="8" w:space="0" w:color="4F81BD"/>
              <w:right w:val="single" w:sz="8" w:space="0" w:color="4F81BD"/>
            </w:tcBorders>
            <w:shd w:val="clear" w:color="auto" w:fill="auto"/>
            <w:vAlign w:val="center"/>
            <w:hideMark/>
          </w:tcPr>
          <w:p w14:paraId="268F2041"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4-5</w:t>
            </w:r>
          </w:p>
        </w:tc>
        <w:tc>
          <w:tcPr>
            <w:tcW w:w="482" w:type="pct"/>
            <w:tcBorders>
              <w:top w:val="nil"/>
              <w:left w:val="nil"/>
              <w:bottom w:val="single" w:sz="8" w:space="0" w:color="4F81BD"/>
              <w:right w:val="single" w:sz="8" w:space="0" w:color="4F81BD"/>
            </w:tcBorders>
            <w:shd w:val="clear" w:color="auto" w:fill="auto"/>
            <w:vAlign w:val="center"/>
            <w:hideMark/>
          </w:tcPr>
          <w:p w14:paraId="5BD5138F"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25</w:t>
            </w:r>
          </w:p>
        </w:tc>
        <w:tc>
          <w:tcPr>
            <w:tcW w:w="482" w:type="pct"/>
            <w:tcBorders>
              <w:top w:val="nil"/>
              <w:left w:val="nil"/>
              <w:bottom w:val="single" w:sz="8" w:space="0" w:color="4F81BD"/>
              <w:right w:val="single" w:sz="8" w:space="0" w:color="4F81BD"/>
            </w:tcBorders>
            <w:shd w:val="clear" w:color="auto" w:fill="auto"/>
            <w:vAlign w:val="center"/>
            <w:hideMark/>
          </w:tcPr>
          <w:p w14:paraId="185C4CC3" w14:textId="77777777" w:rsidR="00ED69B6" w:rsidRPr="00ED69B6" w:rsidRDefault="00ED69B6" w:rsidP="00ED69B6">
            <w:pPr>
              <w:spacing w:after="0" w:line="240" w:lineRule="auto"/>
              <w:jc w:val="center"/>
              <w:rPr>
                <w:rFonts w:ascii="Arial" w:eastAsia="Times New Roman" w:hAnsi="Arial" w:cs="Arial"/>
                <w:color w:val="000000"/>
                <w:sz w:val="18"/>
                <w:szCs w:val="18"/>
                <w:lang w:val="en-US"/>
              </w:rPr>
            </w:pPr>
            <w:r w:rsidRPr="00ED69B6">
              <w:rPr>
                <w:rFonts w:ascii="Arial" w:eastAsia="Times New Roman" w:hAnsi="Arial" w:cs="Arial"/>
                <w:color w:val="000000"/>
                <w:sz w:val="18"/>
                <w:szCs w:val="18"/>
              </w:rPr>
              <w:t>EUR</w:t>
            </w:r>
          </w:p>
        </w:tc>
        <w:tc>
          <w:tcPr>
            <w:tcW w:w="743" w:type="pct"/>
            <w:tcBorders>
              <w:top w:val="nil"/>
              <w:left w:val="nil"/>
              <w:bottom w:val="single" w:sz="8" w:space="0" w:color="4F81BD"/>
              <w:right w:val="single" w:sz="8" w:space="0" w:color="4F81BD"/>
            </w:tcBorders>
            <w:shd w:val="clear" w:color="auto" w:fill="auto"/>
            <w:vAlign w:val="center"/>
            <w:hideMark/>
          </w:tcPr>
          <w:p w14:paraId="27F99953" w14:textId="77777777" w:rsidR="00ED69B6" w:rsidRPr="00ED69B6" w:rsidRDefault="00ED69B6" w:rsidP="00ED69B6">
            <w:pPr>
              <w:spacing w:after="0" w:line="240" w:lineRule="auto"/>
              <w:jc w:val="right"/>
              <w:rPr>
                <w:rFonts w:ascii="Arial" w:eastAsia="Times New Roman" w:hAnsi="Arial" w:cs="Arial"/>
                <w:color w:val="000000"/>
                <w:sz w:val="18"/>
                <w:szCs w:val="18"/>
                <w:lang w:val="en-US"/>
              </w:rPr>
            </w:pPr>
            <w:r w:rsidRPr="00ED69B6">
              <w:rPr>
                <w:rFonts w:ascii="Arial" w:eastAsia="Times New Roman" w:hAnsi="Arial" w:cs="Arial"/>
                <w:color w:val="000000"/>
                <w:sz w:val="18"/>
                <w:szCs w:val="18"/>
              </w:rPr>
              <w:t>1.260,74</w:t>
            </w:r>
          </w:p>
        </w:tc>
        <w:tc>
          <w:tcPr>
            <w:tcW w:w="482" w:type="pct"/>
            <w:tcBorders>
              <w:top w:val="nil"/>
              <w:left w:val="nil"/>
              <w:bottom w:val="single" w:sz="8" w:space="0" w:color="4F81BD"/>
              <w:right w:val="single" w:sz="8" w:space="0" w:color="4F81BD"/>
            </w:tcBorders>
            <w:shd w:val="clear" w:color="auto" w:fill="auto"/>
            <w:vAlign w:val="center"/>
            <w:hideMark/>
          </w:tcPr>
          <w:p w14:paraId="2D7BDFBE" w14:textId="77777777" w:rsidR="00ED69B6" w:rsidRPr="00ED69B6" w:rsidRDefault="00ED69B6" w:rsidP="00ED69B6">
            <w:pPr>
              <w:spacing w:after="0" w:line="240" w:lineRule="auto"/>
              <w:jc w:val="right"/>
              <w:rPr>
                <w:rFonts w:ascii="Arial" w:eastAsia="Times New Roman" w:hAnsi="Arial" w:cs="Arial"/>
                <w:color w:val="000000"/>
                <w:sz w:val="18"/>
                <w:szCs w:val="18"/>
                <w:lang w:val="en-US"/>
              </w:rPr>
            </w:pPr>
            <w:r w:rsidRPr="00ED69B6">
              <w:rPr>
                <w:rFonts w:ascii="Arial" w:eastAsia="Times New Roman" w:hAnsi="Arial" w:cs="Arial"/>
                <w:color w:val="000000"/>
                <w:sz w:val="18"/>
                <w:szCs w:val="18"/>
              </w:rPr>
              <w:t>43,63%</w:t>
            </w:r>
          </w:p>
        </w:tc>
        <w:tc>
          <w:tcPr>
            <w:tcW w:w="954" w:type="pct"/>
            <w:tcBorders>
              <w:top w:val="nil"/>
              <w:left w:val="nil"/>
              <w:bottom w:val="single" w:sz="8" w:space="0" w:color="4F81BD"/>
              <w:right w:val="single" w:sz="8" w:space="0" w:color="4F81BD"/>
            </w:tcBorders>
            <w:shd w:val="clear" w:color="auto" w:fill="auto"/>
            <w:vAlign w:val="center"/>
            <w:hideMark/>
          </w:tcPr>
          <w:p w14:paraId="044346A8"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Rizik refiksiranja za varijabilnu</w:t>
            </w:r>
          </w:p>
        </w:tc>
      </w:tr>
      <w:tr w:rsidR="00ED69B6" w:rsidRPr="00ED69B6" w14:paraId="6742B53B" w14:textId="77777777" w:rsidTr="00445180">
        <w:trPr>
          <w:trHeight w:val="465"/>
        </w:trPr>
        <w:tc>
          <w:tcPr>
            <w:tcW w:w="713" w:type="pct"/>
            <w:tcBorders>
              <w:top w:val="nil"/>
              <w:left w:val="single" w:sz="8" w:space="0" w:color="4F81BD"/>
              <w:bottom w:val="single" w:sz="8" w:space="0" w:color="4F81BD"/>
              <w:right w:val="single" w:sz="8" w:space="0" w:color="4F81BD"/>
            </w:tcBorders>
            <w:shd w:val="clear" w:color="auto" w:fill="auto"/>
            <w:vAlign w:val="center"/>
            <w:hideMark/>
          </w:tcPr>
          <w:p w14:paraId="54242896" w14:textId="77777777" w:rsidR="00ED69B6" w:rsidRPr="00445180" w:rsidRDefault="00ED69B6" w:rsidP="00ED69B6">
            <w:pPr>
              <w:spacing w:after="0" w:line="240" w:lineRule="auto"/>
              <w:rPr>
                <w:rFonts w:ascii="Arial" w:eastAsia="Times New Roman" w:hAnsi="Arial" w:cs="Arial"/>
                <w:bCs/>
                <w:color w:val="000000"/>
                <w:sz w:val="16"/>
                <w:szCs w:val="16"/>
                <w:lang w:val="en-US"/>
              </w:rPr>
            </w:pPr>
            <w:r w:rsidRPr="00445180">
              <w:rPr>
                <w:rFonts w:ascii="Arial" w:eastAsia="Times New Roman" w:hAnsi="Arial" w:cs="Arial"/>
                <w:bCs/>
                <w:color w:val="000000"/>
                <w:sz w:val="16"/>
                <w:szCs w:val="16"/>
              </w:rPr>
              <w:t>EBRD</w:t>
            </w:r>
          </w:p>
        </w:tc>
        <w:tc>
          <w:tcPr>
            <w:tcW w:w="663" w:type="pct"/>
            <w:tcBorders>
              <w:top w:val="nil"/>
              <w:left w:val="nil"/>
              <w:bottom w:val="single" w:sz="8" w:space="0" w:color="4F81BD"/>
              <w:right w:val="single" w:sz="8" w:space="0" w:color="4F81BD"/>
            </w:tcBorders>
            <w:shd w:val="clear" w:color="auto" w:fill="auto"/>
            <w:vAlign w:val="center"/>
            <w:hideMark/>
          </w:tcPr>
          <w:p w14:paraId="0A35F7C2" w14:textId="77777777" w:rsidR="00ED69B6" w:rsidRPr="00ED69B6" w:rsidRDefault="00ED69B6" w:rsidP="00ED69B6">
            <w:pPr>
              <w:spacing w:after="0" w:line="240" w:lineRule="auto"/>
              <w:jc w:val="center"/>
              <w:rPr>
                <w:rFonts w:ascii="Arial" w:eastAsia="Times New Roman" w:hAnsi="Arial" w:cs="Arial"/>
                <w:color w:val="000000"/>
                <w:sz w:val="17"/>
                <w:szCs w:val="17"/>
                <w:lang w:val="en-US"/>
              </w:rPr>
            </w:pPr>
            <w:r w:rsidRPr="00ED69B6">
              <w:rPr>
                <w:rFonts w:ascii="Arial" w:eastAsia="Times New Roman" w:hAnsi="Arial" w:cs="Arial"/>
                <w:color w:val="000000"/>
                <w:sz w:val="17"/>
                <w:szCs w:val="17"/>
              </w:rPr>
              <w:t>Fiksna ili varijabilna</w:t>
            </w:r>
          </w:p>
        </w:tc>
        <w:tc>
          <w:tcPr>
            <w:tcW w:w="482" w:type="pct"/>
            <w:tcBorders>
              <w:top w:val="nil"/>
              <w:left w:val="nil"/>
              <w:bottom w:val="single" w:sz="8" w:space="0" w:color="4F81BD"/>
              <w:right w:val="single" w:sz="8" w:space="0" w:color="4F81BD"/>
            </w:tcBorders>
            <w:shd w:val="clear" w:color="auto" w:fill="auto"/>
            <w:vAlign w:val="center"/>
            <w:hideMark/>
          </w:tcPr>
          <w:p w14:paraId="536E8B37"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3-5</w:t>
            </w:r>
          </w:p>
        </w:tc>
        <w:tc>
          <w:tcPr>
            <w:tcW w:w="482" w:type="pct"/>
            <w:tcBorders>
              <w:top w:val="nil"/>
              <w:left w:val="nil"/>
              <w:bottom w:val="single" w:sz="8" w:space="0" w:color="4F81BD"/>
              <w:right w:val="single" w:sz="8" w:space="0" w:color="4F81BD"/>
            </w:tcBorders>
            <w:shd w:val="clear" w:color="auto" w:fill="auto"/>
            <w:vAlign w:val="center"/>
            <w:hideMark/>
          </w:tcPr>
          <w:p w14:paraId="52DFB098"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12-15</w:t>
            </w:r>
          </w:p>
        </w:tc>
        <w:tc>
          <w:tcPr>
            <w:tcW w:w="482" w:type="pct"/>
            <w:tcBorders>
              <w:top w:val="nil"/>
              <w:left w:val="nil"/>
              <w:bottom w:val="single" w:sz="8" w:space="0" w:color="4F81BD"/>
              <w:right w:val="single" w:sz="8" w:space="0" w:color="4F81BD"/>
            </w:tcBorders>
            <w:shd w:val="clear" w:color="auto" w:fill="auto"/>
            <w:vAlign w:val="center"/>
            <w:hideMark/>
          </w:tcPr>
          <w:p w14:paraId="6A869B78" w14:textId="77777777" w:rsidR="00ED69B6" w:rsidRPr="00ED69B6" w:rsidRDefault="00ED69B6" w:rsidP="00ED69B6">
            <w:pPr>
              <w:spacing w:after="0" w:line="240" w:lineRule="auto"/>
              <w:jc w:val="center"/>
              <w:rPr>
                <w:rFonts w:ascii="Arial" w:eastAsia="Times New Roman" w:hAnsi="Arial" w:cs="Arial"/>
                <w:color w:val="000000"/>
                <w:sz w:val="18"/>
                <w:szCs w:val="18"/>
                <w:lang w:val="en-US"/>
              </w:rPr>
            </w:pPr>
            <w:r w:rsidRPr="00ED69B6">
              <w:rPr>
                <w:rFonts w:ascii="Arial" w:eastAsia="Times New Roman" w:hAnsi="Arial" w:cs="Arial"/>
                <w:color w:val="000000"/>
                <w:sz w:val="18"/>
                <w:szCs w:val="18"/>
              </w:rPr>
              <w:t>EUR</w:t>
            </w:r>
          </w:p>
        </w:tc>
        <w:tc>
          <w:tcPr>
            <w:tcW w:w="743" w:type="pct"/>
            <w:tcBorders>
              <w:top w:val="nil"/>
              <w:left w:val="nil"/>
              <w:bottom w:val="single" w:sz="8" w:space="0" w:color="4F81BD"/>
              <w:right w:val="single" w:sz="8" w:space="0" w:color="4F81BD"/>
            </w:tcBorders>
            <w:shd w:val="clear" w:color="auto" w:fill="auto"/>
            <w:vAlign w:val="center"/>
            <w:hideMark/>
          </w:tcPr>
          <w:p w14:paraId="49074C25" w14:textId="77777777" w:rsidR="00ED69B6" w:rsidRPr="00ED69B6" w:rsidRDefault="00ED69B6" w:rsidP="00ED69B6">
            <w:pPr>
              <w:spacing w:after="0" w:line="240" w:lineRule="auto"/>
              <w:jc w:val="right"/>
              <w:rPr>
                <w:rFonts w:ascii="Arial" w:eastAsia="Times New Roman" w:hAnsi="Arial" w:cs="Arial"/>
                <w:color w:val="000000"/>
                <w:sz w:val="18"/>
                <w:szCs w:val="18"/>
                <w:lang w:val="en-US"/>
              </w:rPr>
            </w:pPr>
            <w:r w:rsidRPr="00ED69B6">
              <w:rPr>
                <w:rFonts w:ascii="Arial" w:eastAsia="Times New Roman" w:hAnsi="Arial" w:cs="Arial"/>
                <w:color w:val="000000"/>
                <w:sz w:val="18"/>
                <w:szCs w:val="18"/>
              </w:rPr>
              <w:t>978,26</w:t>
            </w:r>
          </w:p>
        </w:tc>
        <w:tc>
          <w:tcPr>
            <w:tcW w:w="482" w:type="pct"/>
            <w:tcBorders>
              <w:top w:val="nil"/>
              <w:left w:val="nil"/>
              <w:bottom w:val="single" w:sz="8" w:space="0" w:color="4F81BD"/>
              <w:right w:val="single" w:sz="8" w:space="0" w:color="4F81BD"/>
            </w:tcBorders>
            <w:shd w:val="clear" w:color="auto" w:fill="auto"/>
            <w:vAlign w:val="center"/>
            <w:hideMark/>
          </w:tcPr>
          <w:p w14:paraId="38010374" w14:textId="77777777" w:rsidR="00ED69B6" w:rsidRPr="00ED69B6" w:rsidRDefault="00ED69B6" w:rsidP="00ED69B6">
            <w:pPr>
              <w:spacing w:after="0" w:line="240" w:lineRule="auto"/>
              <w:jc w:val="right"/>
              <w:rPr>
                <w:rFonts w:ascii="Arial" w:eastAsia="Times New Roman" w:hAnsi="Arial" w:cs="Arial"/>
                <w:color w:val="000000"/>
                <w:sz w:val="18"/>
                <w:szCs w:val="18"/>
                <w:lang w:val="en-US"/>
              </w:rPr>
            </w:pPr>
            <w:r w:rsidRPr="00ED69B6">
              <w:rPr>
                <w:rFonts w:ascii="Arial" w:eastAsia="Times New Roman" w:hAnsi="Arial" w:cs="Arial"/>
                <w:color w:val="000000"/>
                <w:sz w:val="18"/>
                <w:szCs w:val="18"/>
              </w:rPr>
              <w:t>33,85%</w:t>
            </w:r>
          </w:p>
        </w:tc>
        <w:tc>
          <w:tcPr>
            <w:tcW w:w="954" w:type="pct"/>
            <w:tcBorders>
              <w:top w:val="nil"/>
              <w:left w:val="nil"/>
              <w:bottom w:val="single" w:sz="8" w:space="0" w:color="4F81BD"/>
              <w:right w:val="single" w:sz="8" w:space="0" w:color="4F81BD"/>
            </w:tcBorders>
            <w:shd w:val="clear" w:color="auto" w:fill="auto"/>
            <w:vAlign w:val="center"/>
            <w:hideMark/>
          </w:tcPr>
          <w:p w14:paraId="19EE5515"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Rizik refiksiranja za varijabilnu</w:t>
            </w:r>
          </w:p>
        </w:tc>
      </w:tr>
      <w:tr w:rsidR="00ED69B6" w:rsidRPr="00ED69B6" w14:paraId="2562EAEC" w14:textId="77777777" w:rsidTr="00445180">
        <w:trPr>
          <w:trHeight w:val="315"/>
        </w:trPr>
        <w:tc>
          <w:tcPr>
            <w:tcW w:w="713" w:type="pct"/>
            <w:tcBorders>
              <w:top w:val="nil"/>
              <w:left w:val="single" w:sz="8" w:space="0" w:color="4F81BD"/>
              <w:bottom w:val="single" w:sz="8" w:space="0" w:color="4F81BD"/>
              <w:right w:val="single" w:sz="8" w:space="0" w:color="4F81BD"/>
            </w:tcBorders>
            <w:shd w:val="clear" w:color="auto" w:fill="auto"/>
            <w:vAlign w:val="center"/>
            <w:hideMark/>
          </w:tcPr>
          <w:p w14:paraId="052F97E4" w14:textId="77777777" w:rsidR="00ED69B6" w:rsidRPr="00445180" w:rsidRDefault="00ED69B6" w:rsidP="00ED69B6">
            <w:pPr>
              <w:spacing w:after="0" w:line="240" w:lineRule="auto"/>
              <w:rPr>
                <w:rFonts w:ascii="Arial" w:eastAsia="Times New Roman" w:hAnsi="Arial" w:cs="Arial"/>
                <w:bCs/>
                <w:color w:val="000000"/>
                <w:sz w:val="16"/>
                <w:szCs w:val="16"/>
                <w:lang w:val="en-US"/>
              </w:rPr>
            </w:pPr>
            <w:r w:rsidRPr="00445180">
              <w:rPr>
                <w:rFonts w:ascii="Arial" w:eastAsia="Times New Roman" w:hAnsi="Arial" w:cs="Arial"/>
                <w:bCs/>
                <w:color w:val="000000"/>
                <w:sz w:val="16"/>
                <w:szCs w:val="16"/>
              </w:rPr>
              <w:t>Kuvajtski fond</w:t>
            </w:r>
          </w:p>
        </w:tc>
        <w:tc>
          <w:tcPr>
            <w:tcW w:w="663" w:type="pct"/>
            <w:tcBorders>
              <w:top w:val="nil"/>
              <w:left w:val="nil"/>
              <w:bottom w:val="single" w:sz="8" w:space="0" w:color="4F81BD"/>
              <w:right w:val="single" w:sz="8" w:space="0" w:color="4F81BD"/>
            </w:tcBorders>
            <w:shd w:val="clear" w:color="auto" w:fill="auto"/>
            <w:vAlign w:val="center"/>
            <w:hideMark/>
          </w:tcPr>
          <w:p w14:paraId="0DE2B82F" w14:textId="77777777" w:rsidR="00ED69B6" w:rsidRPr="00ED69B6" w:rsidRDefault="00ED69B6" w:rsidP="00ED69B6">
            <w:pPr>
              <w:spacing w:after="0" w:line="240" w:lineRule="auto"/>
              <w:jc w:val="center"/>
              <w:rPr>
                <w:rFonts w:ascii="Arial" w:eastAsia="Times New Roman" w:hAnsi="Arial" w:cs="Arial"/>
                <w:color w:val="000000"/>
                <w:sz w:val="17"/>
                <w:szCs w:val="17"/>
                <w:lang w:val="en-US"/>
              </w:rPr>
            </w:pPr>
            <w:r w:rsidRPr="00ED69B6">
              <w:rPr>
                <w:rFonts w:ascii="Arial" w:eastAsia="Times New Roman" w:hAnsi="Arial" w:cs="Arial"/>
                <w:color w:val="000000"/>
                <w:sz w:val="17"/>
                <w:szCs w:val="17"/>
              </w:rPr>
              <w:t>Fiksna</w:t>
            </w:r>
          </w:p>
        </w:tc>
        <w:tc>
          <w:tcPr>
            <w:tcW w:w="482" w:type="pct"/>
            <w:tcBorders>
              <w:top w:val="nil"/>
              <w:left w:val="nil"/>
              <w:bottom w:val="single" w:sz="8" w:space="0" w:color="4F81BD"/>
              <w:right w:val="single" w:sz="8" w:space="0" w:color="4F81BD"/>
            </w:tcBorders>
            <w:shd w:val="clear" w:color="auto" w:fill="auto"/>
            <w:vAlign w:val="center"/>
            <w:hideMark/>
          </w:tcPr>
          <w:p w14:paraId="4DC098F2"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5</w:t>
            </w:r>
          </w:p>
        </w:tc>
        <w:tc>
          <w:tcPr>
            <w:tcW w:w="482" w:type="pct"/>
            <w:tcBorders>
              <w:top w:val="nil"/>
              <w:left w:val="nil"/>
              <w:bottom w:val="single" w:sz="8" w:space="0" w:color="4F81BD"/>
              <w:right w:val="single" w:sz="8" w:space="0" w:color="4F81BD"/>
            </w:tcBorders>
            <w:shd w:val="clear" w:color="auto" w:fill="auto"/>
            <w:vAlign w:val="center"/>
            <w:hideMark/>
          </w:tcPr>
          <w:p w14:paraId="70B86CC1"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25</w:t>
            </w:r>
          </w:p>
        </w:tc>
        <w:tc>
          <w:tcPr>
            <w:tcW w:w="482" w:type="pct"/>
            <w:tcBorders>
              <w:top w:val="nil"/>
              <w:left w:val="nil"/>
              <w:bottom w:val="single" w:sz="8" w:space="0" w:color="4F81BD"/>
              <w:right w:val="single" w:sz="8" w:space="0" w:color="4F81BD"/>
            </w:tcBorders>
            <w:shd w:val="clear" w:color="auto" w:fill="auto"/>
            <w:vAlign w:val="center"/>
            <w:hideMark/>
          </w:tcPr>
          <w:p w14:paraId="6E311714" w14:textId="77777777" w:rsidR="00ED69B6" w:rsidRPr="00ED69B6" w:rsidRDefault="00ED69B6" w:rsidP="00ED69B6">
            <w:pPr>
              <w:spacing w:after="0" w:line="240" w:lineRule="auto"/>
              <w:jc w:val="center"/>
              <w:rPr>
                <w:rFonts w:ascii="Arial" w:eastAsia="Times New Roman" w:hAnsi="Arial" w:cs="Arial"/>
                <w:color w:val="000000"/>
                <w:sz w:val="18"/>
                <w:szCs w:val="18"/>
                <w:lang w:val="en-US"/>
              </w:rPr>
            </w:pPr>
            <w:r w:rsidRPr="00ED69B6">
              <w:rPr>
                <w:rFonts w:ascii="Arial" w:eastAsia="Times New Roman" w:hAnsi="Arial" w:cs="Arial"/>
                <w:color w:val="000000"/>
                <w:sz w:val="18"/>
                <w:szCs w:val="18"/>
              </w:rPr>
              <w:t>KWD</w:t>
            </w:r>
          </w:p>
        </w:tc>
        <w:tc>
          <w:tcPr>
            <w:tcW w:w="743" w:type="pct"/>
            <w:tcBorders>
              <w:top w:val="nil"/>
              <w:left w:val="nil"/>
              <w:bottom w:val="single" w:sz="8" w:space="0" w:color="4F81BD"/>
              <w:right w:val="single" w:sz="8" w:space="0" w:color="4F81BD"/>
            </w:tcBorders>
            <w:shd w:val="clear" w:color="auto" w:fill="auto"/>
            <w:vAlign w:val="center"/>
            <w:hideMark/>
          </w:tcPr>
          <w:p w14:paraId="6C4F5AEA" w14:textId="77777777" w:rsidR="00ED69B6" w:rsidRPr="00ED69B6" w:rsidRDefault="00ED69B6" w:rsidP="00ED69B6">
            <w:pPr>
              <w:spacing w:after="0" w:line="240" w:lineRule="auto"/>
              <w:jc w:val="right"/>
              <w:rPr>
                <w:rFonts w:ascii="Arial" w:eastAsia="Times New Roman" w:hAnsi="Arial" w:cs="Arial"/>
                <w:color w:val="000000"/>
                <w:sz w:val="18"/>
                <w:szCs w:val="18"/>
                <w:lang w:val="en-US"/>
              </w:rPr>
            </w:pPr>
            <w:r w:rsidRPr="00ED69B6">
              <w:rPr>
                <w:rFonts w:ascii="Arial" w:eastAsia="Times New Roman" w:hAnsi="Arial" w:cs="Arial"/>
                <w:color w:val="000000"/>
                <w:sz w:val="18"/>
                <w:szCs w:val="18"/>
              </w:rPr>
              <w:t>62,67</w:t>
            </w:r>
          </w:p>
        </w:tc>
        <w:tc>
          <w:tcPr>
            <w:tcW w:w="482" w:type="pct"/>
            <w:tcBorders>
              <w:top w:val="nil"/>
              <w:left w:val="nil"/>
              <w:bottom w:val="single" w:sz="8" w:space="0" w:color="4F81BD"/>
              <w:right w:val="single" w:sz="8" w:space="0" w:color="4F81BD"/>
            </w:tcBorders>
            <w:shd w:val="clear" w:color="auto" w:fill="auto"/>
            <w:vAlign w:val="center"/>
            <w:hideMark/>
          </w:tcPr>
          <w:p w14:paraId="3B5FBE91" w14:textId="77777777" w:rsidR="00ED69B6" w:rsidRPr="00ED69B6" w:rsidRDefault="00ED69B6" w:rsidP="00ED69B6">
            <w:pPr>
              <w:spacing w:after="0" w:line="240" w:lineRule="auto"/>
              <w:jc w:val="right"/>
              <w:rPr>
                <w:rFonts w:ascii="Arial" w:eastAsia="Times New Roman" w:hAnsi="Arial" w:cs="Arial"/>
                <w:color w:val="000000"/>
                <w:sz w:val="18"/>
                <w:szCs w:val="18"/>
                <w:lang w:val="en-US"/>
              </w:rPr>
            </w:pPr>
            <w:r w:rsidRPr="00ED69B6">
              <w:rPr>
                <w:rFonts w:ascii="Arial" w:eastAsia="Times New Roman" w:hAnsi="Arial" w:cs="Arial"/>
                <w:color w:val="000000"/>
                <w:sz w:val="18"/>
                <w:szCs w:val="18"/>
              </w:rPr>
              <w:t>2,17%</w:t>
            </w:r>
          </w:p>
        </w:tc>
        <w:tc>
          <w:tcPr>
            <w:tcW w:w="954" w:type="pct"/>
            <w:tcBorders>
              <w:top w:val="nil"/>
              <w:left w:val="nil"/>
              <w:bottom w:val="single" w:sz="8" w:space="0" w:color="4F81BD"/>
              <w:right w:val="single" w:sz="8" w:space="0" w:color="4F81BD"/>
            </w:tcBorders>
            <w:shd w:val="clear" w:color="auto" w:fill="auto"/>
            <w:vAlign w:val="center"/>
            <w:hideMark/>
          </w:tcPr>
          <w:p w14:paraId="631E8861"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Valutni rizik</w:t>
            </w:r>
          </w:p>
        </w:tc>
      </w:tr>
      <w:tr w:rsidR="00ED69B6" w:rsidRPr="00ED69B6" w14:paraId="1CB1D37E" w14:textId="77777777" w:rsidTr="00445180">
        <w:trPr>
          <w:trHeight w:val="315"/>
        </w:trPr>
        <w:tc>
          <w:tcPr>
            <w:tcW w:w="713" w:type="pct"/>
            <w:tcBorders>
              <w:top w:val="nil"/>
              <w:left w:val="single" w:sz="8" w:space="0" w:color="4F81BD"/>
              <w:bottom w:val="single" w:sz="8" w:space="0" w:color="4F81BD"/>
              <w:right w:val="single" w:sz="8" w:space="0" w:color="4F81BD"/>
            </w:tcBorders>
            <w:shd w:val="clear" w:color="auto" w:fill="auto"/>
            <w:vAlign w:val="center"/>
            <w:hideMark/>
          </w:tcPr>
          <w:p w14:paraId="5EDB38F9" w14:textId="77777777" w:rsidR="00ED69B6" w:rsidRPr="00445180" w:rsidRDefault="00ED69B6" w:rsidP="00ED69B6">
            <w:pPr>
              <w:spacing w:after="0" w:line="240" w:lineRule="auto"/>
              <w:rPr>
                <w:rFonts w:ascii="Arial" w:eastAsia="Times New Roman" w:hAnsi="Arial" w:cs="Arial"/>
                <w:bCs/>
                <w:color w:val="000000"/>
                <w:sz w:val="16"/>
                <w:szCs w:val="16"/>
                <w:lang w:val="en-US"/>
              </w:rPr>
            </w:pPr>
            <w:r w:rsidRPr="00445180">
              <w:rPr>
                <w:rFonts w:ascii="Arial" w:eastAsia="Times New Roman" w:hAnsi="Arial" w:cs="Arial"/>
                <w:bCs/>
                <w:color w:val="000000"/>
                <w:sz w:val="16"/>
                <w:szCs w:val="16"/>
              </w:rPr>
              <w:t>Saudijski fond</w:t>
            </w:r>
          </w:p>
        </w:tc>
        <w:tc>
          <w:tcPr>
            <w:tcW w:w="663" w:type="pct"/>
            <w:tcBorders>
              <w:top w:val="nil"/>
              <w:left w:val="nil"/>
              <w:bottom w:val="single" w:sz="8" w:space="0" w:color="4F81BD"/>
              <w:right w:val="single" w:sz="8" w:space="0" w:color="4F81BD"/>
            </w:tcBorders>
            <w:shd w:val="clear" w:color="auto" w:fill="auto"/>
            <w:vAlign w:val="center"/>
            <w:hideMark/>
          </w:tcPr>
          <w:p w14:paraId="1B258F1D" w14:textId="77777777" w:rsidR="00ED69B6" w:rsidRPr="00ED69B6" w:rsidRDefault="00ED69B6" w:rsidP="00ED69B6">
            <w:pPr>
              <w:spacing w:after="0" w:line="240" w:lineRule="auto"/>
              <w:jc w:val="center"/>
              <w:rPr>
                <w:rFonts w:ascii="Arial" w:eastAsia="Times New Roman" w:hAnsi="Arial" w:cs="Arial"/>
                <w:color w:val="000000"/>
                <w:sz w:val="17"/>
                <w:szCs w:val="17"/>
                <w:lang w:val="en-US"/>
              </w:rPr>
            </w:pPr>
            <w:r w:rsidRPr="00ED69B6">
              <w:rPr>
                <w:rFonts w:ascii="Arial" w:eastAsia="Times New Roman" w:hAnsi="Arial" w:cs="Arial"/>
                <w:color w:val="000000"/>
                <w:sz w:val="17"/>
                <w:szCs w:val="17"/>
              </w:rPr>
              <w:t>Fiksna</w:t>
            </w:r>
          </w:p>
        </w:tc>
        <w:tc>
          <w:tcPr>
            <w:tcW w:w="482" w:type="pct"/>
            <w:tcBorders>
              <w:top w:val="nil"/>
              <w:left w:val="nil"/>
              <w:bottom w:val="single" w:sz="8" w:space="0" w:color="4F81BD"/>
              <w:right w:val="single" w:sz="8" w:space="0" w:color="4F81BD"/>
            </w:tcBorders>
            <w:shd w:val="clear" w:color="auto" w:fill="auto"/>
            <w:vAlign w:val="center"/>
            <w:hideMark/>
          </w:tcPr>
          <w:p w14:paraId="0AEFF92C"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5</w:t>
            </w:r>
          </w:p>
        </w:tc>
        <w:tc>
          <w:tcPr>
            <w:tcW w:w="482" w:type="pct"/>
            <w:tcBorders>
              <w:top w:val="nil"/>
              <w:left w:val="nil"/>
              <w:bottom w:val="single" w:sz="8" w:space="0" w:color="4F81BD"/>
              <w:right w:val="single" w:sz="8" w:space="0" w:color="4F81BD"/>
            </w:tcBorders>
            <w:shd w:val="clear" w:color="auto" w:fill="auto"/>
            <w:vAlign w:val="center"/>
            <w:hideMark/>
          </w:tcPr>
          <w:p w14:paraId="3336B1DA"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25</w:t>
            </w:r>
          </w:p>
        </w:tc>
        <w:tc>
          <w:tcPr>
            <w:tcW w:w="482" w:type="pct"/>
            <w:tcBorders>
              <w:top w:val="nil"/>
              <w:left w:val="nil"/>
              <w:bottom w:val="single" w:sz="8" w:space="0" w:color="4F81BD"/>
              <w:right w:val="single" w:sz="8" w:space="0" w:color="4F81BD"/>
            </w:tcBorders>
            <w:shd w:val="clear" w:color="auto" w:fill="auto"/>
            <w:vAlign w:val="center"/>
            <w:hideMark/>
          </w:tcPr>
          <w:p w14:paraId="5451B9C2" w14:textId="77777777" w:rsidR="00ED69B6" w:rsidRPr="00ED69B6" w:rsidRDefault="00ED69B6" w:rsidP="00ED69B6">
            <w:pPr>
              <w:spacing w:after="0" w:line="240" w:lineRule="auto"/>
              <w:jc w:val="center"/>
              <w:rPr>
                <w:rFonts w:ascii="Arial" w:eastAsia="Times New Roman" w:hAnsi="Arial" w:cs="Arial"/>
                <w:color w:val="000000"/>
                <w:sz w:val="18"/>
                <w:szCs w:val="18"/>
                <w:lang w:val="en-US"/>
              </w:rPr>
            </w:pPr>
            <w:r w:rsidRPr="00ED69B6">
              <w:rPr>
                <w:rFonts w:ascii="Arial" w:eastAsia="Times New Roman" w:hAnsi="Arial" w:cs="Arial"/>
                <w:color w:val="000000"/>
                <w:sz w:val="18"/>
                <w:szCs w:val="18"/>
              </w:rPr>
              <w:t>SAR</w:t>
            </w:r>
          </w:p>
        </w:tc>
        <w:tc>
          <w:tcPr>
            <w:tcW w:w="743" w:type="pct"/>
            <w:tcBorders>
              <w:top w:val="nil"/>
              <w:left w:val="nil"/>
              <w:bottom w:val="single" w:sz="8" w:space="0" w:color="4F81BD"/>
              <w:right w:val="single" w:sz="8" w:space="0" w:color="4F81BD"/>
            </w:tcBorders>
            <w:shd w:val="clear" w:color="auto" w:fill="auto"/>
            <w:vAlign w:val="center"/>
            <w:hideMark/>
          </w:tcPr>
          <w:p w14:paraId="5E501ED7" w14:textId="77777777" w:rsidR="00ED69B6" w:rsidRPr="00ED69B6" w:rsidRDefault="00ED69B6" w:rsidP="00ED69B6">
            <w:pPr>
              <w:spacing w:after="0" w:line="240" w:lineRule="auto"/>
              <w:jc w:val="right"/>
              <w:rPr>
                <w:rFonts w:ascii="Arial" w:eastAsia="Times New Roman" w:hAnsi="Arial" w:cs="Arial"/>
                <w:color w:val="000000"/>
                <w:sz w:val="18"/>
                <w:szCs w:val="18"/>
                <w:lang w:val="en-US"/>
              </w:rPr>
            </w:pPr>
            <w:r w:rsidRPr="00ED69B6">
              <w:rPr>
                <w:rFonts w:ascii="Arial" w:eastAsia="Times New Roman" w:hAnsi="Arial" w:cs="Arial"/>
                <w:color w:val="000000"/>
                <w:sz w:val="18"/>
                <w:szCs w:val="18"/>
              </w:rPr>
              <w:t>23,45</w:t>
            </w:r>
          </w:p>
        </w:tc>
        <w:tc>
          <w:tcPr>
            <w:tcW w:w="482" w:type="pct"/>
            <w:tcBorders>
              <w:top w:val="nil"/>
              <w:left w:val="nil"/>
              <w:bottom w:val="single" w:sz="8" w:space="0" w:color="4F81BD"/>
              <w:right w:val="single" w:sz="8" w:space="0" w:color="4F81BD"/>
            </w:tcBorders>
            <w:shd w:val="clear" w:color="auto" w:fill="auto"/>
            <w:vAlign w:val="center"/>
            <w:hideMark/>
          </w:tcPr>
          <w:p w14:paraId="42BC165E" w14:textId="77777777" w:rsidR="00ED69B6" w:rsidRPr="00ED69B6" w:rsidRDefault="00ED69B6" w:rsidP="00ED69B6">
            <w:pPr>
              <w:spacing w:after="0" w:line="240" w:lineRule="auto"/>
              <w:jc w:val="right"/>
              <w:rPr>
                <w:rFonts w:ascii="Arial" w:eastAsia="Times New Roman" w:hAnsi="Arial" w:cs="Arial"/>
                <w:color w:val="000000"/>
                <w:sz w:val="18"/>
                <w:szCs w:val="18"/>
                <w:lang w:val="en-US"/>
              </w:rPr>
            </w:pPr>
            <w:r w:rsidRPr="00ED69B6">
              <w:rPr>
                <w:rFonts w:ascii="Arial" w:eastAsia="Times New Roman" w:hAnsi="Arial" w:cs="Arial"/>
                <w:color w:val="000000"/>
                <w:sz w:val="18"/>
                <w:szCs w:val="18"/>
              </w:rPr>
              <w:t>0,81%</w:t>
            </w:r>
          </w:p>
        </w:tc>
        <w:tc>
          <w:tcPr>
            <w:tcW w:w="954" w:type="pct"/>
            <w:tcBorders>
              <w:top w:val="nil"/>
              <w:left w:val="nil"/>
              <w:bottom w:val="single" w:sz="8" w:space="0" w:color="4F81BD"/>
              <w:right w:val="single" w:sz="8" w:space="0" w:color="4F81BD"/>
            </w:tcBorders>
            <w:shd w:val="clear" w:color="auto" w:fill="auto"/>
            <w:vAlign w:val="center"/>
            <w:hideMark/>
          </w:tcPr>
          <w:p w14:paraId="44B2DC14"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Valutni rizik</w:t>
            </w:r>
          </w:p>
        </w:tc>
      </w:tr>
      <w:tr w:rsidR="00ED69B6" w:rsidRPr="00ED69B6" w14:paraId="6D4AB64A" w14:textId="77777777" w:rsidTr="00445180">
        <w:trPr>
          <w:trHeight w:val="315"/>
        </w:trPr>
        <w:tc>
          <w:tcPr>
            <w:tcW w:w="713" w:type="pct"/>
            <w:tcBorders>
              <w:top w:val="nil"/>
              <w:left w:val="single" w:sz="8" w:space="0" w:color="4F81BD"/>
              <w:bottom w:val="single" w:sz="8" w:space="0" w:color="4F81BD"/>
              <w:right w:val="single" w:sz="8" w:space="0" w:color="4F81BD"/>
            </w:tcBorders>
            <w:shd w:val="clear" w:color="auto" w:fill="auto"/>
            <w:vAlign w:val="center"/>
            <w:hideMark/>
          </w:tcPr>
          <w:p w14:paraId="6D0B55A6" w14:textId="77777777" w:rsidR="00ED69B6" w:rsidRPr="00445180" w:rsidRDefault="00ED69B6" w:rsidP="00ED69B6">
            <w:pPr>
              <w:spacing w:after="0" w:line="240" w:lineRule="auto"/>
              <w:rPr>
                <w:rFonts w:ascii="Arial" w:eastAsia="Times New Roman" w:hAnsi="Arial" w:cs="Arial"/>
                <w:bCs/>
                <w:color w:val="000000"/>
                <w:sz w:val="16"/>
                <w:szCs w:val="16"/>
                <w:lang w:val="en-US"/>
              </w:rPr>
            </w:pPr>
            <w:r w:rsidRPr="00445180">
              <w:rPr>
                <w:rFonts w:ascii="Arial" w:eastAsia="Times New Roman" w:hAnsi="Arial" w:cs="Arial"/>
                <w:bCs/>
                <w:color w:val="000000"/>
                <w:sz w:val="16"/>
                <w:szCs w:val="16"/>
              </w:rPr>
              <w:t>OPEC fond</w:t>
            </w:r>
          </w:p>
        </w:tc>
        <w:tc>
          <w:tcPr>
            <w:tcW w:w="663" w:type="pct"/>
            <w:tcBorders>
              <w:top w:val="nil"/>
              <w:left w:val="nil"/>
              <w:bottom w:val="single" w:sz="8" w:space="0" w:color="4F81BD"/>
              <w:right w:val="single" w:sz="8" w:space="0" w:color="4F81BD"/>
            </w:tcBorders>
            <w:shd w:val="clear" w:color="auto" w:fill="auto"/>
            <w:vAlign w:val="center"/>
            <w:hideMark/>
          </w:tcPr>
          <w:p w14:paraId="66E1A914" w14:textId="77777777" w:rsidR="00ED69B6" w:rsidRPr="00ED69B6" w:rsidRDefault="00ED69B6" w:rsidP="00ED69B6">
            <w:pPr>
              <w:spacing w:after="0" w:line="240" w:lineRule="auto"/>
              <w:jc w:val="center"/>
              <w:rPr>
                <w:rFonts w:ascii="Arial" w:eastAsia="Times New Roman" w:hAnsi="Arial" w:cs="Arial"/>
                <w:color w:val="000000"/>
                <w:sz w:val="17"/>
                <w:szCs w:val="17"/>
                <w:lang w:val="en-US"/>
              </w:rPr>
            </w:pPr>
            <w:r w:rsidRPr="00ED69B6">
              <w:rPr>
                <w:rFonts w:ascii="Arial" w:eastAsia="Times New Roman" w:hAnsi="Arial" w:cs="Arial"/>
                <w:color w:val="000000"/>
                <w:sz w:val="17"/>
                <w:szCs w:val="17"/>
              </w:rPr>
              <w:t>Fiksna</w:t>
            </w:r>
          </w:p>
        </w:tc>
        <w:tc>
          <w:tcPr>
            <w:tcW w:w="482" w:type="pct"/>
            <w:tcBorders>
              <w:top w:val="nil"/>
              <w:left w:val="nil"/>
              <w:bottom w:val="single" w:sz="8" w:space="0" w:color="4F81BD"/>
              <w:right w:val="single" w:sz="8" w:space="0" w:color="4F81BD"/>
            </w:tcBorders>
            <w:shd w:val="clear" w:color="auto" w:fill="auto"/>
            <w:vAlign w:val="center"/>
            <w:hideMark/>
          </w:tcPr>
          <w:p w14:paraId="7A205421"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10</w:t>
            </w:r>
          </w:p>
        </w:tc>
        <w:tc>
          <w:tcPr>
            <w:tcW w:w="482" w:type="pct"/>
            <w:tcBorders>
              <w:top w:val="nil"/>
              <w:left w:val="nil"/>
              <w:bottom w:val="single" w:sz="8" w:space="0" w:color="4F81BD"/>
              <w:right w:val="single" w:sz="8" w:space="0" w:color="4F81BD"/>
            </w:tcBorders>
            <w:shd w:val="clear" w:color="auto" w:fill="auto"/>
            <w:vAlign w:val="center"/>
            <w:hideMark/>
          </w:tcPr>
          <w:p w14:paraId="45487D75"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20</w:t>
            </w:r>
          </w:p>
        </w:tc>
        <w:tc>
          <w:tcPr>
            <w:tcW w:w="482" w:type="pct"/>
            <w:tcBorders>
              <w:top w:val="nil"/>
              <w:left w:val="nil"/>
              <w:bottom w:val="single" w:sz="8" w:space="0" w:color="4F81BD"/>
              <w:right w:val="single" w:sz="8" w:space="0" w:color="4F81BD"/>
            </w:tcBorders>
            <w:shd w:val="clear" w:color="auto" w:fill="auto"/>
            <w:vAlign w:val="center"/>
            <w:hideMark/>
          </w:tcPr>
          <w:p w14:paraId="0901DAEF" w14:textId="77777777" w:rsidR="00ED69B6" w:rsidRPr="00ED69B6" w:rsidRDefault="00ED69B6" w:rsidP="00ED69B6">
            <w:pPr>
              <w:spacing w:after="0" w:line="240" w:lineRule="auto"/>
              <w:jc w:val="center"/>
              <w:rPr>
                <w:rFonts w:ascii="Arial" w:eastAsia="Times New Roman" w:hAnsi="Arial" w:cs="Arial"/>
                <w:color w:val="000000"/>
                <w:sz w:val="18"/>
                <w:szCs w:val="18"/>
                <w:lang w:val="en-US"/>
              </w:rPr>
            </w:pPr>
            <w:r w:rsidRPr="00ED69B6">
              <w:rPr>
                <w:rFonts w:ascii="Arial" w:eastAsia="Times New Roman" w:hAnsi="Arial" w:cs="Arial"/>
                <w:color w:val="000000"/>
                <w:sz w:val="18"/>
                <w:szCs w:val="18"/>
              </w:rPr>
              <w:t>USD</w:t>
            </w:r>
          </w:p>
        </w:tc>
        <w:tc>
          <w:tcPr>
            <w:tcW w:w="743" w:type="pct"/>
            <w:tcBorders>
              <w:top w:val="nil"/>
              <w:left w:val="nil"/>
              <w:bottom w:val="single" w:sz="8" w:space="0" w:color="4F81BD"/>
              <w:right w:val="single" w:sz="8" w:space="0" w:color="4F81BD"/>
            </w:tcBorders>
            <w:shd w:val="clear" w:color="auto" w:fill="auto"/>
            <w:vAlign w:val="center"/>
            <w:hideMark/>
          </w:tcPr>
          <w:p w14:paraId="2738A5BE" w14:textId="77777777" w:rsidR="00ED69B6" w:rsidRPr="00ED69B6" w:rsidRDefault="00ED69B6" w:rsidP="00ED69B6">
            <w:pPr>
              <w:spacing w:after="0" w:line="240" w:lineRule="auto"/>
              <w:jc w:val="right"/>
              <w:rPr>
                <w:rFonts w:ascii="Arial" w:eastAsia="Times New Roman" w:hAnsi="Arial" w:cs="Arial"/>
                <w:color w:val="000000"/>
                <w:sz w:val="18"/>
                <w:szCs w:val="18"/>
                <w:lang w:val="en-US"/>
              </w:rPr>
            </w:pPr>
            <w:r w:rsidRPr="00ED69B6">
              <w:rPr>
                <w:rFonts w:ascii="Arial" w:eastAsia="Times New Roman" w:hAnsi="Arial" w:cs="Arial"/>
                <w:color w:val="000000"/>
                <w:sz w:val="18"/>
                <w:szCs w:val="18"/>
              </w:rPr>
              <w:t>30,66</w:t>
            </w:r>
          </w:p>
        </w:tc>
        <w:tc>
          <w:tcPr>
            <w:tcW w:w="482" w:type="pct"/>
            <w:tcBorders>
              <w:top w:val="nil"/>
              <w:left w:val="nil"/>
              <w:bottom w:val="single" w:sz="8" w:space="0" w:color="4F81BD"/>
              <w:right w:val="single" w:sz="8" w:space="0" w:color="4F81BD"/>
            </w:tcBorders>
            <w:shd w:val="clear" w:color="auto" w:fill="auto"/>
            <w:vAlign w:val="center"/>
            <w:hideMark/>
          </w:tcPr>
          <w:p w14:paraId="433B363A" w14:textId="77777777" w:rsidR="00ED69B6" w:rsidRPr="00ED69B6" w:rsidRDefault="00ED69B6" w:rsidP="00ED69B6">
            <w:pPr>
              <w:spacing w:after="0" w:line="240" w:lineRule="auto"/>
              <w:jc w:val="right"/>
              <w:rPr>
                <w:rFonts w:ascii="Arial" w:eastAsia="Times New Roman" w:hAnsi="Arial" w:cs="Arial"/>
                <w:color w:val="000000"/>
                <w:sz w:val="18"/>
                <w:szCs w:val="18"/>
                <w:lang w:val="en-US"/>
              </w:rPr>
            </w:pPr>
            <w:r w:rsidRPr="00ED69B6">
              <w:rPr>
                <w:rFonts w:ascii="Arial" w:eastAsia="Times New Roman" w:hAnsi="Arial" w:cs="Arial"/>
                <w:color w:val="000000"/>
                <w:sz w:val="18"/>
                <w:szCs w:val="18"/>
              </w:rPr>
              <w:t>1,06%</w:t>
            </w:r>
          </w:p>
        </w:tc>
        <w:tc>
          <w:tcPr>
            <w:tcW w:w="954" w:type="pct"/>
            <w:tcBorders>
              <w:top w:val="nil"/>
              <w:left w:val="nil"/>
              <w:bottom w:val="single" w:sz="8" w:space="0" w:color="4F81BD"/>
              <w:right w:val="single" w:sz="8" w:space="0" w:color="4F81BD"/>
            </w:tcBorders>
            <w:shd w:val="clear" w:color="auto" w:fill="auto"/>
            <w:vAlign w:val="center"/>
            <w:hideMark/>
          </w:tcPr>
          <w:p w14:paraId="519C1E7E"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Valutni rizik</w:t>
            </w:r>
          </w:p>
        </w:tc>
      </w:tr>
      <w:tr w:rsidR="00ED69B6" w:rsidRPr="00ED69B6" w14:paraId="371B4365" w14:textId="77777777" w:rsidTr="00445180">
        <w:trPr>
          <w:trHeight w:val="465"/>
        </w:trPr>
        <w:tc>
          <w:tcPr>
            <w:tcW w:w="713" w:type="pct"/>
            <w:tcBorders>
              <w:top w:val="nil"/>
              <w:left w:val="single" w:sz="8" w:space="0" w:color="4F81BD"/>
              <w:bottom w:val="single" w:sz="8" w:space="0" w:color="4F81BD"/>
              <w:right w:val="single" w:sz="8" w:space="0" w:color="4F81BD"/>
            </w:tcBorders>
            <w:shd w:val="clear" w:color="auto" w:fill="auto"/>
            <w:vAlign w:val="center"/>
            <w:hideMark/>
          </w:tcPr>
          <w:p w14:paraId="66403203" w14:textId="77777777" w:rsidR="00ED69B6" w:rsidRPr="00445180" w:rsidRDefault="00ED69B6" w:rsidP="00ED69B6">
            <w:pPr>
              <w:spacing w:after="0" w:line="240" w:lineRule="auto"/>
              <w:rPr>
                <w:rFonts w:ascii="Arial" w:eastAsia="Times New Roman" w:hAnsi="Arial" w:cs="Arial"/>
                <w:bCs/>
                <w:color w:val="000000"/>
                <w:sz w:val="16"/>
                <w:szCs w:val="16"/>
                <w:lang w:val="en-US"/>
              </w:rPr>
            </w:pPr>
            <w:r w:rsidRPr="00445180">
              <w:rPr>
                <w:rFonts w:ascii="Arial" w:eastAsia="Times New Roman" w:hAnsi="Arial" w:cs="Arial"/>
                <w:bCs/>
                <w:color w:val="000000"/>
                <w:sz w:val="16"/>
                <w:szCs w:val="16"/>
              </w:rPr>
              <w:t>CEB</w:t>
            </w:r>
          </w:p>
        </w:tc>
        <w:tc>
          <w:tcPr>
            <w:tcW w:w="663" w:type="pct"/>
            <w:tcBorders>
              <w:top w:val="nil"/>
              <w:left w:val="nil"/>
              <w:bottom w:val="single" w:sz="8" w:space="0" w:color="4F81BD"/>
              <w:right w:val="single" w:sz="8" w:space="0" w:color="4F81BD"/>
            </w:tcBorders>
            <w:shd w:val="clear" w:color="auto" w:fill="auto"/>
            <w:vAlign w:val="center"/>
            <w:hideMark/>
          </w:tcPr>
          <w:p w14:paraId="47CB841E" w14:textId="77777777" w:rsidR="00ED69B6" w:rsidRPr="00ED69B6" w:rsidRDefault="00ED69B6" w:rsidP="00ED69B6">
            <w:pPr>
              <w:spacing w:after="0" w:line="240" w:lineRule="auto"/>
              <w:jc w:val="center"/>
              <w:rPr>
                <w:rFonts w:ascii="Arial" w:eastAsia="Times New Roman" w:hAnsi="Arial" w:cs="Arial"/>
                <w:color w:val="000000"/>
                <w:sz w:val="17"/>
                <w:szCs w:val="17"/>
                <w:lang w:val="en-US"/>
              </w:rPr>
            </w:pPr>
            <w:r w:rsidRPr="00ED69B6">
              <w:rPr>
                <w:rFonts w:ascii="Arial" w:eastAsia="Times New Roman" w:hAnsi="Arial" w:cs="Arial"/>
                <w:color w:val="000000"/>
                <w:sz w:val="17"/>
                <w:szCs w:val="17"/>
              </w:rPr>
              <w:t>Fiksna ili varijabilna</w:t>
            </w:r>
          </w:p>
        </w:tc>
        <w:tc>
          <w:tcPr>
            <w:tcW w:w="482" w:type="pct"/>
            <w:tcBorders>
              <w:top w:val="nil"/>
              <w:left w:val="nil"/>
              <w:bottom w:val="single" w:sz="8" w:space="0" w:color="4F81BD"/>
              <w:right w:val="single" w:sz="8" w:space="0" w:color="4F81BD"/>
            </w:tcBorders>
            <w:shd w:val="clear" w:color="auto" w:fill="auto"/>
            <w:vAlign w:val="center"/>
            <w:hideMark/>
          </w:tcPr>
          <w:p w14:paraId="6598435F"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5</w:t>
            </w:r>
          </w:p>
        </w:tc>
        <w:tc>
          <w:tcPr>
            <w:tcW w:w="482" w:type="pct"/>
            <w:tcBorders>
              <w:top w:val="nil"/>
              <w:left w:val="nil"/>
              <w:bottom w:val="single" w:sz="8" w:space="0" w:color="4F81BD"/>
              <w:right w:val="single" w:sz="8" w:space="0" w:color="4F81BD"/>
            </w:tcBorders>
            <w:shd w:val="clear" w:color="auto" w:fill="auto"/>
            <w:vAlign w:val="center"/>
            <w:hideMark/>
          </w:tcPr>
          <w:p w14:paraId="1D5D7080"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10</w:t>
            </w:r>
          </w:p>
        </w:tc>
        <w:tc>
          <w:tcPr>
            <w:tcW w:w="482" w:type="pct"/>
            <w:tcBorders>
              <w:top w:val="nil"/>
              <w:left w:val="nil"/>
              <w:bottom w:val="single" w:sz="8" w:space="0" w:color="4F81BD"/>
              <w:right w:val="single" w:sz="8" w:space="0" w:color="4F81BD"/>
            </w:tcBorders>
            <w:shd w:val="clear" w:color="auto" w:fill="auto"/>
            <w:vAlign w:val="center"/>
            <w:hideMark/>
          </w:tcPr>
          <w:p w14:paraId="24B1A1F0" w14:textId="77777777" w:rsidR="00ED69B6" w:rsidRPr="00ED69B6" w:rsidRDefault="00ED69B6" w:rsidP="00ED69B6">
            <w:pPr>
              <w:spacing w:after="0" w:line="240" w:lineRule="auto"/>
              <w:jc w:val="center"/>
              <w:rPr>
                <w:rFonts w:ascii="Arial" w:eastAsia="Times New Roman" w:hAnsi="Arial" w:cs="Arial"/>
                <w:color w:val="000000"/>
                <w:sz w:val="18"/>
                <w:szCs w:val="18"/>
                <w:lang w:val="en-US"/>
              </w:rPr>
            </w:pPr>
            <w:r w:rsidRPr="00ED69B6">
              <w:rPr>
                <w:rFonts w:ascii="Arial" w:eastAsia="Times New Roman" w:hAnsi="Arial" w:cs="Arial"/>
                <w:color w:val="000000"/>
                <w:sz w:val="18"/>
                <w:szCs w:val="18"/>
              </w:rPr>
              <w:t>EUR</w:t>
            </w:r>
          </w:p>
        </w:tc>
        <w:tc>
          <w:tcPr>
            <w:tcW w:w="743" w:type="pct"/>
            <w:tcBorders>
              <w:top w:val="nil"/>
              <w:left w:val="nil"/>
              <w:bottom w:val="single" w:sz="8" w:space="0" w:color="4F81BD"/>
              <w:right w:val="single" w:sz="8" w:space="0" w:color="4F81BD"/>
            </w:tcBorders>
            <w:shd w:val="clear" w:color="auto" w:fill="auto"/>
            <w:vAlign w:val="center"/>
            <w:hideMark/>
          </w:tcPr>
          <w:p w14:paraId="4D9E39F2" w14:textId="77777777" w:rsidR="00ED69B6" w:rsidRPr="00ED69B6" w:rsidRDefault="00ED69B6" w:rsidP="00ED69B6">
            <w:pPr>
              <w:spacing w:after="0" w:line="240" w:lineRule="auto"/>
              <w:jc w:val="right"/>
              <w:rPr>
                <w:rFonts w:ascii="Arial" w:eastAsia="Times New Roman" w:hAnsi="Arial" w:cs="Arial"/>
                <w:color w:val="000000"/>
                <w:sz w:val="18"/>
                <w:szCs w:val="18"/>
                <w:lang w:val="en-US"/>
              </w:rPr>
            </w:pPr>
            <w:r w:rsidRPr="00ED69B6">
              <w:rPr>
                <w:rFonts w:ascii="Arial" w:eastAsia="Times New Roman" w:hAnsi="Arial" w:cs="Arial"/>
                <w:color w:val="000000"/>
                <w:sz w:val="18"/>
                <w:szCs w:val="18"/>
              </w:rPr>
              <w:t>12,47</w:t>
            </w:r>
          </w:p>
        </w:tc>
        <w:tc>
          <w:tcPr>
            <w:tcW w:w="482" w:type="pct"/>
            <w:tcBorders>
              <w:top w:val="nil"/>
              <w:left w:val="nil"/>
              <w:bottom w:val="single" w:sz="8" w:space="0" w:color="4F81BD"/>
              <w:right w:val="single" w:sz="8" w:space="0" w:color="4F81BD"/>
            </w:tcBorders>
            <w:shd w:val="clear" w:color="auto" w:fill="auto"/>
            <w:vAlign w:val="center"/>
            <w:hideMark/>
          </w:tcPr>
          <w:p w14:paraId="4A21D6E0" w14:textId="77777777" w:rsidR="00ED69B6" w:rsidRPr="00ED69B6" w:rsidRDefault="00ED69B6" w:rsidP="00ED69B6">
            <w:pPr>
              <w:spacing w:after="0" w:line="240" w:lineRule="auto"/>
              <w:jc w:val="right"/>
              <w:rPr>
                <w:rFonts w:ascii="Arial" w:eastAsia="Times New Roman" w:hAnsi="Arial" w:cs="Arial"/>
                <w:color w:val="000000"/>
                <w:sz w:val="18"/>
                <w:szCs w:val="18"/>
                <w:lang w:val="en-US"/>
              </w:rPr>
            </w:pPr>
            <w:r w:rsidRPr="00ED69B6">
              <w:rPr>
                <w:rFonts w:ascii="Arial" w:eastAsia="Times New Roman" w:hAnsi="Arial" w:cs="Arial"/>
                <w:color w:val="000000"/>
                <w:sz w:val="18"/>
                <w:szCs w:val="18"/>
              </w:rPr>
              <w:t>0,43%</w:t>
            </w:r>
          </w:p>
        </w:tc>
        <w:tc>
          <w:tcPr>
            <w:tcW w:w="954" w:type="pct"/>
            <w:tcBorders>
              <w:top w:val="nil"/>
              <w:left w:val="nil"/>
              <w:bottom w:val="single" w:sz="8" w:space="0" w:color="4F81BD"/>
              <w:right w:val="single" w:sz="8" w:space="0" w:color="4F81BD"/>
            </w:tcBorders>
            <w:shd w:val="clear" w:color="auto" w:fill="auto"/>
            <w:vAlign w:val="center"/>
            <w:hideMark/>
          </w:tcPr>
          <w:p w14:paraId="0F3D20AD"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Rizik refiksiranja za varijabilnu</w:t>
            </w:r>
          </w:p>
        </w:tc>
      </w:tr>
      <w:tr w:rsidR="00ED69B6" w:rsidRPr="00ED69B6" w14:paraId="4809079A" w14:textId="77777777" w:rsidTr="00445180">
        <w:trPr>
          <w:trHeight w:val="690"/>
        </w:trPr>
        <w:tc>
          <w:tcPr>
            <w:tcW w:w="713" w:type="pct"/>
            <w:tcBorders>
              <w:top w:val="nil"/>
              <w:left w:val="single" w:sz="8" w:space="0" w:color="4F81BD"/>
              <w:bottom w:val="single" w:sz="8" w:space="0" w:color="4F81BD"/>
              <w:right w:val="single" w:sz="8" w:space="0" w:color="4F81BD"/>
            </w:tcBorders>
            <w:shd w:val="clear" w:color="auto" w:fill="auto"/>
            <w:vAlign w:val="center"/>
            <w:hideMark/>
          </w:tcPr>
          <w:p w14:paraId="2BF55C86" w14:textId="77777777" w:rsidR="00ED69B6" w:rsidRPr="00445180" w:rsidRDefault="00ED69B6" w:rsidP="00ED69B6">
            <w:pPr>
              <w:spacing w:after="0" w:line="240" w:lineRule="auto"/>
              <w:rPr>
                <w:rFonts w:ascii="Arial" w:eastAsia="Times New Roman" w:hAnsi="Arial" w:cs="Arial"/>
                <w:bCs/>
                <w:color w:val="000000"/>
                <w:sz w:val="16"/>
                <w:szCs w:val="16"/>
                <w:lang w:val="en-US"/>
              </w:rPr>
            </w:pPr>
            <w:r w:rsidRPr="00445180">
              <w:rPr>
                <w:rFonts w:ascii="Arial" w:eastAsia="Times New Roman" w:hAnsi="Arial" w:cs="Arial"/>
                <w:bCs/>
                <w:color w:val="000000"/>
                <w:sz w:val="16"/>
                <w:szCs w:val="16"/>
              </w:rPr>
              <w:t>IFAD</w:t>
            </w:r>
          </w:p>
        </w:tc>
        <w:tc>
          <w:tcPr>
            <w:tcW w:w="663" w:type="pct"/>
            <w:tcBorders>
              <w:top w:val="nil"/>
              <w:left w:val="nil"/>
              <w:bottom w:val="single" w:sz="8" w:space="0" w:color="4F81BD"/>
              <w:right w:val="single" w:sz="8" w:space="0" w:color="4F81BD"/>
            </w:tcBorders>
            <w:shd w:val="clear" w:color="auto" w:fill="auto"/>
            <w:vAlign w:val="center"/>
            <w:hideMark/>
          </w:tcPr>
          <w:p w14:paraId="7EEB4A8E" w14:textId="77777777" w:rsidR="00ED69B6" w:rsidRPr="00ED69B6" w:rsidRDefault="00ED69B6" w:rsidP="00ED69B6">
            <w:pPr>
              <w:spacing w:after="0" w:line="240" w:lineRule="auto"/>
              <w:jc w:val="center"/>
              <w:rPr>
                <w:rFonts w:ascii="Arial" w:eastAsia="Times New Roman" w:hAnsi="Arial" w:cs="Arial"/>
                <w:color w:val="000000"/>
                <w:sz w:val="17"/>
                <w:szCs w:val="17"/>
                <w:lang w:val="en-US"/>
              </w:rPr>
            </w:pPr>
            <w:r w:rsidRPr="00ED69B6">
              <w:rPr>
                <w:rFonts w:ascii="Arial" w:eastAsia="Times New Roman" w:hAnsi="Arial" w:cs="Arial"/>
                <w:color w:val="000000"/>
                <w:sz w:val="17"/>
                <w:szCs w:val="17"/>
              </w:rPr>
              <w:t>Fiksna</w:t>
            </w:r>
          </w:p>
        </w:tc>
        <w:tc>
          <w:tcPr>
            <w:tcW w:w="482" w:type="pct"/>
            <w:tcBorders>
              <w:top w:val="nil"/>
              <w:left w:val="nil"/>
              <w:bottom w:val="single" w:sz="8" w:space="0" w:color="4F81BD"/>
              <w:right w:val="single" w:sz="8" w:space="0" w:color="4F81BD"/>
            </w:tcBorders>
            <w:shd w:val="clear" w:color="auto" w:fill="auto"/>
            <w:vAlign w:val="center"/>
            <w:hideMark/>
          </w:tcPr>
          <w:p w14:paraId="23982D89"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10</w:t>
            </w:r>
          </w:p>
        </w:tc>
        <w:tc>
          <w:tcPr>
            <w:tcW w:w="482" w:type="pct"/>
            <w:tcBorders>
              <w:top w:val="nil"/>
              <w:left w:val="nil"/>
              <w:bottom w:val="single" w:sz="8" w:space="0" w:color="4F81BD"/>
              <w:right w:val="single" w:sz="8" w:space="0" w:color="4F81BD"/>
            </w:tcBorders>
            <w:shd w:val="clear" w:color="auto" w:fill="auto"/>
            <w:vAlign w:val="center"/>
            <w:hideMark/>
          </w:tcPr>
          <w:p w14:paraId="2017B5AA"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30</w:t>
            </w:r>
          </w:p>
        </w:tc>
        <w:tc>
          <w:tcPr>
            <w:tcW w:w="482" w:type="pct"/>
            <w:tcBorders>
              <w:top w:val="nil"/>
              <w:left w:val="nil"/>
              <w:bottom w:val="single" w:sz="8" w:space="0" w:color="4F81BD"/>
              <w:right w:val="single" w:sz="8" w:space="0" w:color="4F81BD"/>
            </w:tcBorders>
            <w:shd w:val="clear" w:color="auto" w:fill="auto"/>
            <w:vAlign w:val="center"/>
            <w:hideMark/>
          </w:tcPr>
          <w:p w14:paraId="48A10CE1" w14:textId="77777777" w:rsidR="00ED69B6" w:rsidRPr="00ED69B6" w:rsidRDefault="00ED69B6" w:rsidP="00ED69B6">
            <w:pPr>
              <w:spacing w:after="0" w:line="240" w:lineRule="auto"/>
              <w:jc w:val="center"/>
              <w:rPr>
                <w:rFonts w:ascii="Arial" w:eastAsia="Times New Roman" w:hAnsi="Arial" w:cs="Arial"/>
                <w:color w:val="000000"/>
                <w:sz w:val="18"/>
                <w:szCs w:val="18"/>
                <w:lang w:val="en-US"/>
              </w:rPr>
            </w:pPr>
            <w:r w:rsidRPr="00ED69B6">
              <w:rPr>
                <w:rFonts w:ascii="Arial" w:eastAsia="Times New Roman" w:hAnsi="Arial" w:cs="Arial"/>
                <w:color w:val="000000"/>
                <w:sz w:val="18"/>
                <w:szCs w:val="18"/>
              </w:rPr>
              <w:t>SDR</w:t>
            </w:r>
          </w:p>
        </w:tc>
        <w:tc>
          <w:tcPr>
            <w:tcW w:w="743" w:type="pct"/>
            <w:tcBorders>
              <w:top w:val="nil"/>
              <w:left w:val="nil"/>
              <w:bottom w:val="single" w:sz="8" w:space="0" w:color="4F81BD"/>
              <w:right w:val="single" w:sz="8" w:space="0" w:color="4F81BD"/>
            </w:tcBorders>
            <w:shd w:val="clear" w:color="auto" w:fill="auto"/>
            <w:vAlign w:val="center"/>
            <w:hideMark/>
          </w:tcPr>
          <w:p w14:paraId="6577F093" w14:textId="77777777" w:rsidR="00ED69B6" w:rsidRPr="00ED69B6" w:rsidRDefault="00ED69B6" w:rsidP="00ED69B6">
            <w:pPr>
              <w:spacing w:after="0" w:line="240" w:lineRule="auto"/>
              <w:jc w:val="right"/>
              <w:rPr>
                <w:rFonts w:ascii="Arial" w:eastAsia="Times New Roman" w:hAnsi="Arial" w:cs="Arial"/>
                <w:color w:val="000000"/>
                <w:sz w:val="18"/>
                <w:szCs w:val="18"/>
                <w:lang w:val="en-US"/>
              </w:rPr>
            </w:pPr>
            <w:r w:rsidRPr="00ED69B6">
              <w:rPr>
                <w:rFonts w:ascii="Arial" w:eastAsia="Times New Roman" w:hAnsi="Arial" w:cs="Arial"/>
                <w:color w:val="000000"/>
                <w:sz w:val="18"/>
                <w:szCs w:val="18"/>
              </w:rPr>
              <w:t>13,06</w:t>
            </w:r>
          </w:p>
        </w:tc>
        <w:tc>
          <w:tcPr>
            <w:tcW w:w="482" w:type="pct"/>
            <w:tcBorders>
              <w:top w:val="nil"/>
              <w:left w:val="nil"/>
              <w:bottom w:val="single" w:sz="8" w:space="0" w:color="4F81BD"/>
              <w:right w:val="single" w:sz="8" w:space="0" w:color="4F81BD"/>
            </w:tcBorders>
            <w:shd w:val="clear" w:color="auto" w:fill="auto"/>
            <w:vAlign w:val="center"/>
            <w:hideMark/>
          </w:tcPr>
          <w:p w14:paraId="45551344" w14:textId="77777777" w:rsidR="00ED69B6" w:rsidRPr="00ED69B6" w:rsidRDefault="00ED69B6" w:rsidP="00ED69B6">
            <w:pPr>
              <w:spacing w:after="0" w:line="240" w:lineRule="auto"/>
              <w:jc w:val="right"/>
              <w:rPr>
                <w:rFonts w:ascii="Arial" w:eastAsia="Times New Roman" w:hAnsi="Arial" w:cs="Arial"/>
                <w:color w:val="000000"/>
                <w:sz w:val="18"/>
                <w:szCs w:val="18"/>
                <w:lang w:val="en-US"/>
              </w:rPr>
            </w:pPr>
            <w:r w:rsidRPr="00ED69B6">
              <w:rPr>
                <w:rFonts w:ascii="Arial" w:eastAsia="Times New Roman" w:hAnsi="Arial" w:cs="Arial"/>
                <w:color w:val="000000"/>
                <w:sz w:val="18"/>
                <w:szCs w:val="18"/>
              </w:rPr>
              <w:t>0,45%</w:t>
            </w:r>
          </w:p>
        </w:tc>
        <w:tc>
          <w:tcPr>
            <w:tcW w:w="954" w:type="pct"/>
            <w:tcBorders>
              <w:top w:val="nil"/>
              <w:left w:val="nil"/>
              <w:bottom w:val="single" w:sz="8" w:space="0" w:color="4F81BD"/>
              <w:right w:val="single" w:sz="8" w:space="0" w:color="4F81BD"/>
            </w:tcBorders>
            <w:shd w:val="clear" w:color="auto" w:fill="auto"/>
            <w:vAlign w:val="center"/>
            <w:hideMark/>
          </w:tcPr>
          <w:p w14:paraId="6BD0E5B3" w14:textId="0E6D3951"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Rizik re</w:t>
            </w:r>
            <w:r w:rsidR="009A78EF">
              <w:rPr>
                <w:rFonts w:ascii="Arial" w:eastAsia="Times New Roman" w:hAnsi="Arial" w:cs="Arial"/>
                <w:color w:val="000000"/>
                <w:sz w:val="16"/>
                <w:szCs w:val="16"/>
              </w:rPr>
              <w:t>financ</w:t>
            </w:r>
            <w:r w:rsidRPr="00ED69B6">
              <w:rPr>
                <w:rFonts w:ascii="Arial" w:eastAsia="Times New Roman" w:hAnsi="Arial" w:cs="Arial"/>
                <w:color w:val="000000"/>
                <w:sz w:val="16"/>
                <w:szCs w:val="16"/>
              </w:rPr>
              <w:t>iranja i valutni rizik</w:t>
            </w:r>
          </w:p>
        </w:tc>
      </w:tr>
      <w:tr w:rsidR="00ED69B6" w:rsidRPr="00ED69B6" w14:paraId="00745EE2" w14:textId="77777777" w:rsidTr="00445180">
        <w:trPr>
          <w:trHeight w:val="465"/>
        </w:trPr>
        <w:tc>
          <w:tcPr>
            <w:tcW w:w="713" w:type="pct"/>
            <w:tcBorders>
              <w:top w:val="nil"/>
              <w:left w:val="single" w:sz="8" w:space="0" w:color="4F81BD"/>
              <w:bottom w:val="single" w:sz="8" w:space="0" w:color="4F81BD"/>
              <w:right w:val="single" w:sz="8" w:space="0" w:color="4F81BD"/>
            </w:tcBorders>
            <w:shd w:val="clear" w:color="auto" w:fill="auto"/>
            <w:vAlign w:val="center"/>
            <w:hideMark/>
          </w:tcPr>
          <w:p w14:paraId="1D75774A" w14:textId="77777777" w:rsidR="00ED69B6" w:rsidRPr="00445180" w:rsidRDefault="00ED69B6" w:rsidP="00ED69B6">
            <w:pPr>
              <w:spacing w:after="0" w:line="240" w:lineRule="auto"/>
              <w:rPr>
                <w:rFonts w:ascii="Arial" w:eastAsia="Times New Roman" w:hAnsi="Arial" w:cs="Arial"/>
                <w:bCs/>
                <w:color w:val="000000"/>
                <w:sz w:val="16"/>
                <w:szCs w:val="16"/>
                <w:lang w:val="en-US"/>
              </w:rPr>
            </w:pPr>
            <w:r w:rsidRPr="00445180">
              <w:rPr>
                <w:rFonts w:ascii="Arial" w:eastAsia="Times New Roman" w:hAnsi="Arial" w:cs="Arial"/>
                <w:bCs/>
                <w:color w:val="000000"/>
                <w:sz w:val="16"/>
                <w:szCs w:val="16"/>
              </w:rPr>
              <w:t>KfW</w:t>
            </w:r>
          </w:p>
        </w:tc>
        <w:tc>
          <w:tcPr>
            <w:tcW w:w="663" w:type="pct"/>
            <w:tcBorders>
              <w:top w:val="nil"/>
              <w:left w:val="nil"/>
              <w:bottom w:val="single" w:sz="8" w:space="0" w:color="4F81BD"/>
              <w:right w:val="single" w:sz="8" w:space="0" w:color="4F81BD"/>
            </w:tcBorders>
            <w:shd w:val="clear" w:color="auto" w:fill="auto"/>
            <w:vAlign w:val="center"/>
            <w:hideMark/>
          </w:tcPr>
          <w:p w14:paraId="3E6E0B47" w14:textId="77777777" w:rsidR="00ED69B6" w:rsidRPr="00ED69B6" w:rsidRDefault="00ED69B6" w:rsidP="00ED69B6">
            <w:pPr>
              <w:spacing w:after="0" w:line="240" w:lineRule="auto"/>
              <w:jc w:val="center"/>
              <w:rPr>
                <w:rFonts w:ascii="Arial" w:eastAsia="Times New Roman" w:hAnsi="Arial" w:cs="Arial"/>
                <w:color w:val="000000"/>
                <w:sz w:val="17"/>
                <w:szCs w:val="17"/>
                <w:lang w:val="en-US"/>
              </w:rPr>
            </w:pPr>
            <w:r w:rsidRPr="00ED69B6">
              <w:rPr>
                <w:rFonts w:ascii="Arial" w:eastAsia="Times New Roman" w:hAnsi="Arial" w:cs="Arial"/>
                <w:color w:val="000000"/>
                <w:sz w:val="17"/>
                <w:szCs w:val="17"/>
              </w:rPr>
              <w:t>Fiksna ili varijabilna</w:t>
            </w:r>
          </w:p>
        </w:tc>
        <w:tc>
          <w:tcPr>
            <w:tcW w:w="482" w:type="pct"/>
            <w:tcBorders>
              <w:top w:val="nil"/>
              <w:left w:val="nil"/>
              <w:bottom w:val="single" w:sz="8" w:space="0" w:color="4F81BD"/>
              <w:right w:val="single" w:sz="8" w:space="0" w:color="4F81BD"/>
            </w:tcBorders>
            <w:shd w:val="clear" w:color="auto" w:fill="auto"/>
            <w:vAlign w:val="center"/>
            <w:hideMark/>
          </w:tcPr>
          <w:p w14:paraId="1EB381E1"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2,5 - 10</w:t>
            </w:r>
          </w:p>
        </w:tc>
        <w:tc>
          <w:tcPr>
            <w:tcW w:w="482" w:type="pct"/>
            <w:tcBorders>
              <w:top w:val="nil"/>
              <w:left w:val="nil"/>
              <w:bottom w:val="single" w:sz="8" w:space="0" w:color="4F81BD"/>
              <w:right w:val="single" w:sz="8" w:space="0" w:color="4F81BD"/>
            </w:tcBorders>
            <w:shd w:val="clear" w:color="auto" w:fill="auto"/>
            <w:vAlign w:val="center"/>
            <w:hideMark/>
          </w:tcPr>
          <w:p w14:paraId="678A5B78"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12-20</w:t>
            </w:r>
          </w:p>
        </w:tc>
        <w:tc>
          <w:tcPr>
            <w:tcW w:w="482" w:type="pct"/>
            <w:tcBorders>
              <w:top w:val="nil"/>
              <w:left w:val="nil"/>
              <w:bottom w:val="single" w:sz="8" w:space="0" w:color="4F81BD"/>
              <w:right w:val="single" w:sz="8" w:space="0" w:color="4F81BD"/>
            </w:tcBorders>
            <w:shd w:val="clear" w:color="auto" w:fill="auto"/>
            <w:vAlign w:val="center"/>
            <w:hideMark/>
          </w:tcPr>
          <w:p w14:paraId="41E3F66A" w14:textId="77777777" w:rsidR="00ED69B6" w:rsidRPr="00ED69B6" w:rsidRDefault="00ED69B6" w:rsidP="00ED69B6">
            <w:pPr>
              <w:spacing w:after="0" w:line="240" w:lineRule="auto"/>
              <w:jc w:val="center"/>
              <w:rPr>
                <w:rFonts w:ascii="Arial" w:eastAsia="Times New Roman" w:hAnsi="Arial" w:cs="Arial"/>
                <w:color w:val="000000"/>
                <w:sz w:val="18"/>
                <w:szCs w:val="18"/>
                <w:lang w:val="en-US"/>
              </w:rPr>
            </w:pPr>
            <w:r w:rsidRPr="00ED69B6">
              <w:rPr>
                <w:rFonts w:ascii="Arial" w:eastAsia="Times New Roman" w:hAnsi="Arial" w:cs="Arial"/>
                <w:color w:val="000000"/>
                <w:sz w:val="18"/>
                <w:szCs w:val="18"/>
              </w:rPr>
              <w:t>EUR</w:t>
            </w:r>
          </w:p>
        </w:tc>
        <w:tc>
          <w:tcPr>
            <w:tcW w:w="743" w:type="pct"/>
            <w:tcBorders>
              <w:top w:val="nil"/>
              <w:left w:val="nil"/>
              <w:bottom w:val="single" w:sz="8" w:space="0" w:color="4F81BD"/>
              <w:right w:val="single" w:sz="8" w:space="0" w:color="4F81BD"/>
            </w:tcBorders>
            <w:shd w:val="clear" w:color="auto" w:fill="auto"/>
            <w:vAlign w:val="center"/>
            <w:hideMark/>
          </w:tcPr>
          <w:p w14:paraId="617128F5" w14:textId="77777777" w:rsidR="00ED69B6" w:rsidRPr="00ED69B6" w:rsidRDefault="00ED69B6" w:rsidP="00ED69B6">
            <w:pPr>
              <w:spacing w:after="0" w:line="240" w:lineRule="auto"/>
              <w:jc w:val="right"/>
              <w:rPr>
                <w:rFonts w:ascii="Arial" w:eastAsia="Times New Roman" w:hAnsi="Arial" w:cs="Arial"/>
                <w:color w:val="000000"/>
                <w:sz w:val="18"/>
                <w:szCs w:val="18"/>
                <w:lang w:val="en-US"/>
              </w:rPr>
            </w:pPr>
            <w:r w:rsidRPr="00ED69B6">
              <w:rPr>
                <w:rFonts w:ascii="Arial" w:eastAsia="Times New Roman" w:hAnsi="Arial" w:cs="Arial"/>
                <w:color w:val="000000"/>
                <w:sz w:val="18"/>
                <w:szCs w:val="18"/>
              </w:rPr>
              <w:t>57,42</w:t>
            </w:r>
          </w:p>
        </w:tc>
        <w:tc>
          <w:tcPr>
            <w:tcW w:w="482" w:type="pct"/>
            <w:tcBorders>
              <w:top w:val="nil"/>
              <w:left w:val="nil"/>
              <w:bottom w:val="single" w:sz="8" w:space="0" w:color="4F81BD"/>
              <w:right w:val="single" w:sz="8" w:space="0" w:color="4F81BD"/>
            </w:tcBorders>
            <w:shd w:val="clear" w:color="auto" w:fill="auto"/>
            <w:vAlign w:val="center"/>
            <w:hideMark/>
          </w:tcPr>
          <w:p w14:paraId="4D3D20C9" w14:textId="77777777" w:rsidR="00ED69B6" w:rsidRPr="00ED69B6" w:rsidRDefault="00ED69B6" w:rsidP="00ED69B6">
            <w:pPr>
              <w:spacing w:after="0" w:line="240" w:lineRule="auto"/>
              <w:jc w:val="right"/>
              <w:rPr>
                <w:rFonts w:ascii="Arial" w:eastAsia="Times New Roman" w:hAnsi="Arial" w:cs="Arial"/>
                <w:color w:val="000000"/>
                <w:sz w:val="18"/>
                <w:szCs w:val="18"/>
                <w:lang w:val="en-US"/>
              </w:rPr>
            </w:pPr>
            <w:r w:rsidRPr="00ED69B6">
              <w:rPr>
                <w:rFonts w:ascii="Arial" w:eastAsia="Times New Roman" w:hAnsi="Arial" w:cs="Arial"/>
                <w:color w:val="000000"/>
                <w:sz w:val="18"/>
                <w:szCs w:val="18"/>
              </w:rPr>
              <w:t>1,99%</w:t>
            </w:r>
          </w:p>
        </w:tc>
        <w:tc>
          <w:tcPr>
            <w:tcW w:w="954" w:type="pct"/>
            <w:tcBorders>
              <w:top w:val="nil"/>
              <w:left w:val="nil"/>
              <w:bottom w:val="single" w:sz="8" w:space="0" w:color="4F81BD"/>
              <w:right w:val="single" w:sz="8" w:space="0" w:color="4F81BD"/>
            </w:tcBorders>
            <w:shd w:val="clear" w:color="auto" w:fill="auto"/>
            <w:vAlign w:val="center"/>
            <w:hideMark/>
          </w:tcPr>
          <w:p w14:paraId="3D1F9A6F" w14:textId="2256DD01"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Rizik re</w:t>
            </w:r>
            <w:r w:rsidR="009A78EF">
              <w:rPr>
                <w:rFonts w:ascii="Arial" w:eastAsia="Times New Roman" w:hAnsi="Arial" w:cs="Arial"/>
                <w:color w:val="000000"/>
                <w:sz w:val="16"/>
                <w:szCs w:val="16"/>
              </w:rPr>
              <w:t>financ</w:t>
            </w:r>
            <w:r w:rsidRPr="00ED69B6">
              <w:rPr>
                <w:rFonts w:ascii="Arial" w:eastAsia="Times New Roman" w:hAnsi="Arial" w:cs="Arial"/>
                <w:color w:val="000000"/>
                <w:sz w:val="16"/>
                <w:szCs w:val="16"/>
              </w:rPr>
              <w:t>iranja</w:t>
            </w:r>
          </w:p>
        </w:tc>
      </w:tr>
      <w:tr w:rsidR="00ED69B6" w:rsidRPr="00ED69B6" w14:paraId="608AC310" w14:textId="77777777" w:rsidTr="00445180">
        <w:trPr>
          <w:trHeight w:val="525"/>
        </w:trPr>
        <w:tc>
          <w:tcPr>
            <w:tcW w:w="713" w:type="pct"/>
            <w:tcBorders>
              <w:top w:val="nil"/>
              <w:left w:val="single" w:sz="8" w:space="0" w:color="4F81BD"/>
              <w:bottom w:val="single" w:sz="8" w:space="0" w:color="4F81BD"/>
              <w:right w:val="single" w:sz="8" w:space="0" w:color="4F81BD"/>
            </w:tcBorders>
            <w:shd w:val="clear" w:color="auto" w:fill="auto"/>
            <w:vAlign w:val="center"/>
            <w:hideMark/>
          </w:tcPr>
          <w:p w14:paraId="0B68AD51" w14:textId="77777777" w:rsidR="00ED69B6" w:rsidRPr="00445180" w:rsidRDefault="00ED69B6" w:rsidP="00ED69B6">
            <w:pPr>
              <w:spacing w:after="0" w:line="240" w:lineRule="auto"/>
              <w:rPr>
                <w:rFonts w:ascii="Arial" w:eastAsia="Times New Roman" w:hAnsi="Arial" w:cs="Arial"/>
                <w:bCs/>
                <w:color w:val="000000"/>
                <w:sz w:val="16"/>
                <w:szCs w:val="16"/>
                <w:lang w:val="en-US"/>
              </w:rPr>
            </w:pPr>
            <w:r w:rsidRPr="00445180">
              <w:rPr>
                <w:rFonts w:ascii="Arial" w:eastAsia="Times New Roman" w:hAnsi="Arial" w:cs="Arial"/>
                <w:bCs/>
                <w:color w:val="000000"/>
                <w:sz w:val="16"/>
                <w:szCs w:val="16"/>
              </w:rPr>
              <w:t>Ostala sredstva</w:t>
            </w:r>
          </w:p>
        </w:tc>
        <w:tc>
          <w:tcPr>
            <w:tcW w:w="663" w:type="pct"/>
            <w:tcBorders>
              <w:top w:val="nil"/>
              <w:left w:val="nil"/>
              <w:bottom w:val="single" w:sz="8" w:space="0" w:color="4F81BD"/>
              <w:right w:val="single" w:sz="8" w:space="0" w:color="4F81BD"/>
            </w:tcBorders>
            <w:shd w:val="clear" w:color="auto" w:fill="auto"/>
            <w:vAlign w:val="center"/>
            <w:hideMark/>
          </w:tcPr>
          <w:p w14:paraId="49CDAC28" w14:textId="77777777" w:rsidR="00ED69B6" w:rsidRPr="00ED69B6" w:rsidRDefault="00ED69B6" w:rsidP="00ED69B6">
            <w:pPr>
              <w:spacing w:after="0" w:line="240" w:lineRule="auto"/>
              <w:jc w:val="center"/>
              <w:rPr>
                <w:rFonts w:ascii="Arial" w:eastAsia="Times New Roman" w:hAnsi="Arial" w:cs="Arial"/>
                <w:color w:val="000000"/>
                <w:sz w:val="17"/>
                <w:szCs w:val="17"/>
                <w:lang w:val="en-US"/>
              </w:rPr>
            </w:pPr>
            <w:r w:rsidRPr="00ED69B6">
              <w:rPr>
                <w:rFonts w:ascii="Arial" w:eastAsia="Times New Roman" w:hAnsi="Arial" w:cs="Arial"/>
                <w:color w:val="000000"/>
                <w:sz w:val="17"/>
                <w:szCs w:val="17"/>
              </w:rPr>
              <w:t>Fiksna ili varijabilna</w:t>
            </w:r>
          </w:p>
        </w:tc>
        <w:tc>
          <w:tcPr>
            <w:tcW w:w="482" w:type="pct"/>
            <w:tcBorders>
              <w:top w:val="nil"/>
              <w:left w:val="nil"/>
              <w:bottom w:val="single" w:sz="8" w:space="0" w:color="4F81BD"/>
              <w:right w:val="single" w:sz="8" w:space="0" w:color="4F81BD"/>
            </w:tcBorders>
            <w:shd w:val="clear" w:color="auto" w:fill="auto"/>
            <w:vAlign w:val="center"/>
            <w:hideMark/>
          </w:tcPr>
          <w:p w14:paraId="7252548E"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3-5</w:t>
            </w:r>
          </w:p>
        </w:tc>
        <w:tc>
          <w:tcPr>
            <w:tcW w:w="482" w:type="pct"/>
            <w:tcBorders>
              <w:top w:val="nil"/>
              <w:left w:val="nil"/>
              <w:bottom w:val="single" w:sz="8" w:space="0" w:color="4F81BD"/>
              <w:right w:val="single" w:sz="8" w:space="0" w:color="4F81BD"/>
            </w:tcBorders>
            <w:shd w:val="clear" w:color="auto" w:fill="auto"/>
            <w:vAlign w:val="center"/>
            <w:hideMark/>
          </w:tcPr>
          <w:p w14:paraId="5B82C1D2"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10-15</w:t>
            </w:r>
          </w:p>
        </w:tc>
        <w:tc>
          <w:tcPr>
            <w:tcW w:w="482" w:type="pct"/>
            <w:tcBorders>
              <w:top w:val="nil"/>
              <w:left w:val="nil"/>
              <w:bottom w:val="single" w:sz="8" w:space="0" w:color="4F81BD"/>
              <w:right w:val="single" w:sz="8" w:space="0" w:color="4F81BD"/>
            </w:tcBorders>
            <w:shd w:val="clear" w:color="auto" w:fill="auto"/>
            <w:vAlign w:val="center"/>
            <w:hideMark/>
          </w:tcPr>
          <w:p w14:paraId="42528768" w14:textId="77777777" w:rsidR="00ED69B6" w:rsidRPr="00ED69B6" w:rsidRDefault="00ED69B6" w:rsidP="00ED69B6">
            <w:pPr>
              <w:spacing w:after="0" w:line="240" w:lineRule="auto"/>
              <w:jc w:val="center"/>
              <w:rPr>
                <w:rFonts w:ascii="Arial" w:eastAsia="Times New Roman" w:hAnsi="Arial" w:cs="Arial"/>
                <w:color w:val="000000"/>
                <w:sz w:val="18"/>
                <w:szCs w:val="18"/>
                <w:lang w:val="en-US"/>
              </w:rPr>
            </w:pPr>
            <w:r w:rsidRPr="00ED69B6">
              <w:rPr>
                <w:rFonts w:ascii="Arial" w:eastAsia="Times New Roman" w:hAnsi="Arial" w:cs="Arial"/>
                <w:color w:val="000000"/>
                <w:sz w:val="18"/>
                <w:szCs w:val="18"/>
              </w:rPr>
              <w:t>EUR</w:t>
            </w:r>
          </w:p>
        </w:tc>
        <w:tc>
          <w:tcPr>
            <w:tcW w:w="743" w:type="pct"/>
            <w:tcBorders>
              <w:top w:val="nil"/>
              <w:left w:val="nil"/>
              <w:bottom w:val="single" w:sz="8" w:space="0" w:color="4F81BD"/>
              <w:right w:val="single" w:sz="8" w:space="0" w:color="4F81BD"/>
            </w:tcBorders>
            <w:shd w:val="clear" w:color="auto" w:fill="auto"/>
            <w:vAlign w:val="center"/>
            <w:hideMark/>
          </w:tcPr>
          <w:p w14:paraId="73216CC1" w14:textId="77777777" w:rsidR="00ED69B6" w:rsidRPr="00ED69B6" w:rsidRDefault="00ED69B6" w:rsidP="00ED69B6">
            <w:pPr>
              <w:spacing w:after="0" w:line="240" w:lineRule="auto"/>
              <w:jc w:val="right"/>
              <w:rPr>
                <w:rFonts w:ascii="Arial" w:eastAsia="Times New Roman" w:hAnsi="Arial" w:cs="Arial"/>
                <w:color w:val="000000"/>
                <w:sz w:val="18"/>
                <w:szCs w:val="18"/>
                <w:lang w:val="en-US"/>
              </w:rPr>
            </w:pPr>
            <w:r w:rsidRPr="00ED69B6">
              <w:rPr>
                <w:rFonts w:ascii="Arial" w:eastAsia="Times New Roman" w:hAnsi="Arial" w:cs="Arial"/>
                <w:color w:val="000000"/>
                <w:sz w:val="18"/>
                <w:szCs w:val="18"/>
              </w:rPr>
              <w:t>170,01</w:t>
            </w:r>
          </w:p>
        </w:tc>
        <w:tc>
          <w:tcPr>
            <w:tcW w:w="482" w:type="pct"/>
            <w:tcBorders>
              <w:top w:val="nil"/>
              <w:left w:val="nil"/>
              <w:bottom w:val="single" w:sz="8" w:space="0" w:color="4F81BD"/>
              <w:right w:val="single" w:sz="8" w:space="0" w:color="4F81BD"/>
            </w:tcBorders>
            <w:shd w:val="clear" w:color="auto" w:fill="auto"/>
            <w:vAlign w:val="center"/>
            <w:hideMark/>
          </w:tcPr>
          <w:p w14:paraId="64562F5B" w14:textId="77777777" w:rsidR="00ED69B6" w:rsidRPr="00ED69B6" w:rsidRDefault="00ED69B6" w:rsidP="00ED69B6">
            <w:pPr>
              <w:spacing w:after="0" w:line="240" w:lineRule="auto"/>
              <w:jc w:val="right"/>
              <w:rPr>
                <w:rFonts w:ascii="Arial" w:eastAsia="Times New Roman" w:hAnsi="Arial" w:cs="Arial"/>
                <w:color w:val="000000"/>
                <w:sz w:val="18"/>
                <w:szCs w:val="18"/>
                <w:lang w:val="en-US"/>
              </w:rPr>
            </w:pPr>
            <w:r w:rsidRPr="00ED69B6">
              <w:rPr>
                <w:rFonts w:ascii="Arial" w:eastAsia="Times New Roman" w:hAnsi="Arial" w:cs="Arial"/>
                <w:color w:val="000000"/>
                <w:sz w:val="18"/>
                <w:szCs w:val="18"/>
              </w:rPr>
              <w:t>5,88%</w:t>
            </w:r>
          </w:p>
        </w:tc>
        <w:tc>
          <w:tcPr>
            <w:tcW w:w="954" w:type="pct"/>
            <w:tcBorders>
              <w:top w:val="nil"/>
              <w:left w:val="nil"/>
              <w:bottom w:val="single" w:sz="8" w:space="0" w:color="4F81BD"/>
              <w:right w:val="single" w:sz="8" w:space="0" w:color="4F81BD"/>
            </w:tcBorders>
            <w:shd w:val="clear" w:color="auto" w:fill="auto"/>
            <w:vAlign w:val="center"/>
            <w:hideMark/>
          </w:tcPr>
          <w:p w14:paraId="5963B104" w14:textId="53980AB0"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Rizik re</w:t>
            </w:r>
            <w:r w:rsidR="009A78EF">
              <w:rPr>
                <w:rFonts w:ascii="Arial" w:eastAsia="Times New Roman" w:hAnsi="Arial" w:cs="Arial"/>
                <w:color w:val="000000"/>
                <w:sz w:val="16"/>
                <w:szCs w:val="16"/>
              </w:rPr>
              <w:t>financ</w:t>
            </w:r>
            <w:r w:rsidRPr="00ED69B6">
              <w:rPr>
                <w:rFonts w:ascii="Arial" w:eastAsia="Times New Roman" w:hAnsi="Arial" w:cs="Arial"/>
                <w:color w:val="000000"/>
                <w:sz w:val="16"/>
                <w:szCs w:val="16"/>
              </w:rPr>
              <w:t>iranja i refiksiranja za varijabilnu</w:t>
            </w:r>
          </w:p>
        </w:tc>
      </w:tr>
      <w:tr w:rsidR="00ED69B6" w:rsidRPr="00ED69B6" w14:paraId="59AE91CB" w14:textId="77777777" w:rsidTr="00445180">
        <w:trPr>
          <w:trHeight w:val="315"/>
        </w:trPr>
        <w:tc>
          <w:tcPr>
            <w:tcW w:w="713" w:type="pct"/>
            <w:tcBorders>
              <w:top w:val="nil"/>
              <w:left w:val="single" w:sz="8" w:space="0" w:color="4F81BD"/>
              <w:bottom w:val="single" w:sz="8" w:space="0" w:color="4F81BD"/>
              <w:right w:val="single" w:sz="8" w:space="0" w:color="4F81BD"/>
            </w:tcBorders>
            <w:shd w:val="clear" w:color="auto" w:fill="auto"/>
            <w:vAlign w:val="center"/>
            <w:hideMark/>
          </w:tcPr>
          <w:p w14:paraId="466A2A22" w14:textId="77777777" w:rsidR="00ED69B6" w:rsidRPr="00445180" w:rsidRDefault="00ED69B6" w:rsidP="00ED69B6">
            <w:pPr>
              <w:spacing w:after="0" w:line="240" w:lineRule="auto"/>
              <w:rPr>
                <w:rFonts w:ascii="Arial" w:eastAsia="Times New Roman" w:hAnsi="Arial" w:cs="Arial"/>
                <w:bCs/>
                <w:color w:val="000000"/>
                <w:sz w:val="16"/>
                <w:szCs w:val="16"/>
                <w:lang w:val="en-US"/>
              </w:rPr>
            </w:pPr>
            <w:r w:rsidRPr="00445180">
              <w:rPr>
                <w:rFonts w:ascii="Arial" w:eastAsia="Times New Roman" w:hAnsi="Arial" w:cs="Arial"/>
                <w:bCs/>
                <w:color w:val="000000"/>
                <w:sz w:val="16"/>
                <w:szCs w:val="16"/>
              </w:rPr>
              <w:t>UKUPNO</w:t>
            </w:r>
          </w:p>
        </w:tc>
        <w:tc>
          <w:tcPr>
            <w:tcW w:w="663" w:type="pct"/>
            <w:tcBorders>
              <w:top w:val="nil"/>
              <w:left w:val="nil"/>
              <w:bottom w:val="single" w:sz="8" w:space="0" w:color="4F81BD"/>
              <w:right w:val="single" w:sz="8" w:space="0" w:color="4F81BD"/>
            </w:tcBorders>
            <w:shd w:val="clear" w:color="auto" w:fill="auto"/>
            <w:vAlign w:val="center"/>
            <w:hideMark/>
          </w:tcPr>
          <w:p w14:paraId="71DF34B6" w14:textId="77777777" w:rsidR="00ED69B6" w:rsidRPr="00ED69B6" w:rsidRDefault="00ED69B6" w:rsidP="00ED69B6">
            <w:pPr>
              <w:spacing w:after="0" w:line="240" w:lineRule="auto"/>
              <w:jc w:val="center"/>
              <w:rPr>
                <w:rFonts w:ascii="Arial" w:eastAsia="Times New Roman" w:hAnsi="Arial" w:cs="Arial"/>
                <w:color w:val="000000"/>
                <w:sz w:val="18"/>
                <w:szCs w:val="18"/>
                <w:lang w:val="en-US"/>
              </w:rPr>
            </w:pPr>
            <w:r w:rsidRPr="00ED69B6">
              <w:rPr>
                <w:rFonts w:ascii="Arial" w:eastAsia="Times New Roman" w:hAnsi="Arial" w:cs="Arial"/>
                <w:color w:val="000000"/>
                <w:sz w:val="18"/>
                <w:szCs w:val="18"/>
              </w:rPr>
              <w:t> </w:t>
            </w:r>
          </w:p>
        </w:tc>
        <w:tc>
          <w:tcPr>
            <w:tcW w:w="482" w:type="pct"/>
            <w:tcBorders>
              <w:top w:val="nil"/>
              <w:left w:val="nil"/>
              <w:bottom w:val="single" w:sz="8" w:space="0" w:color="4F81BD"/>
              <w:right w:val="single" w:sz="8" w:space="0" w:color="4F81BD"/>
            </w:tcBorders>
            <w:shd w:val="clear" w:color="auto" w:fill="auto"/>
            <w:vAlign w:val="center"/>
            <w:hideMark/>
          </w:tcPr>
          <w:p w14:paraId="1AF62C92" w14:textId="77777777" w:rsidR="00ED69B6" w:rsidRPr="00ED69B6" w:rsidRDefault="00ED69B6" w:rsidP="00ED69B6">
            <w:pPr>
              <w:spacing w:after="0" w:line="240" w:lineRule="auto"/>
              <w:jc w:val="center"/>
              <w:rPr>
                <w:rFonts w:ascii="Arial" w:eastAsia="Times New Roman" w:hAnsi="Arial" w:cs="Arial"/>
                <w:color w:val="000000"/>
                <w:sz w:val="18"/>
                <w:szCs w:val="18"/>
                <w:lang w:val="en-US"/>
              </w:rPr>
            </w:pPr>
            <w:r w:rsidRPr="00ED69B6">
              <w:rPr>
                <w:rFonts w:ascii="Arial" w:eastAsia="Times New Roman" w:hAnsi="Arial" w:cs="Arial"/>
                <w:color w:val="000000"/>
                <w:sz w:val="18"/>
                <w:szCs w:val="18"/>
              </w:rPr>
              <w:t> </w:t>
            </w:r>
          </w:p>
        </w:tc>
        <w:tc>
          <w:tcPr>
            <w:tcW w:w="482" w:type="pct"/>
            <w:tcBorders>
              <w:top w:val="nil"/>
              <w:left w:val="nil"/>
              <w:bottom w:val="single" w:sz="8" w:space="0" w:color="4F81BD"/>
              <w:right w:val="single" w:sz="8" w:space="0" w:color="4F81BD"/>
            </w:tcBorders>
            <w:shd w:val="clear" w:color="auto" w:fill="auto"/>
            <w:vAlign w:val="center"/>
            <w:hideMark/>
          </w:tcPr>
          <w:p w14:paraId="711899A7" w14:textId="77777777" w:rsidR="00ED69B6" w:rsidRPr="00ED69B6" w:rsidRDefault="00ED69B6" w:rsidP="00ED69B6">
            <w:pPr>
              <w:spacing w:after="0" w:line="240" w:lineRule="auto"/>
              <w:jc w:val="center"/>
              <w:rPr>
                <w:rFonts w:ascii="Arial" w:eastAsia="Times New Roman" w:hAnsi="Arial" w:cs="Arial"/>
                <w:color w:val="000000"/>
                <w:sz w:val="18"/>
                <w:szCs w:val="18"/>
                <w:lang w:val="en-US"/>
              </w:rPr>
            </w:pPr>
            <w:r w:rsidRPr="00ED69B6">
              <w:rPr>
                <w:rFonts w:ascii="Arial" w:eastAsia="Times New Roman" w:hAnsi="Arial" w:cs="Arial"/>
                <w:color w:val="000000"/>
                <w:sz w:val="18"/>
                <w:szCs w:val="18"/>
              </w:rPr>
              <w:t> </w:t>
            </w:r>
          </w:p>
        </w:tc>
        <w:tc>
          <w:tcPr>
            <w:tcW w:w="482" w:type="pct"/>
            <w:tcBorders>
              <w:top w:val="nil"/>
              <w:left w:val="nil"/>
              <w:bottom w:val="single" w:sz="8" w:space="0" w:color="4F81BD"/>
              <w:right w:val="single" w:sz="8" w:space="0" w:color="4F81BD"/>
            </w:tcBorders>
            <w:shd w:val="clear" w:color="auto" w:fill="auto"/>
            <w:vAlign w:val="center"/>
            <w:hideMark/>
          </w:tcPr>
          <w:p w14:paraId="57CB99D9" w14:textId="77777777" w:rsidR="00ED69B6" w:rsidRPr="00ED69B6" w:rsidRDefault="00ED69B6" w:rsidP="00ED69B6">
            <w:pPr>
              <w:spacing w:after="0" w:line="240" w:lineRule="auto"/>
              <w:rPr>
                <w:rFonts w:ascii="Arial" w:eastAsia="Times New Roman" w:hAnsi="Arial" w:cs="Arial"/>
                <w:color w:val="000000"/>
                <w:sz w:val="18"/>
                <w:szCs w:val="18"/>
                <w:lang w:val="en-US"/>
              </w:rPr>
            </w:pPr>
            <w:r w:rsidRPr="00ED69B6">
              <w:rPr>
                <w:rFonts w:ascii="Arial" w:eastAsia="Times New Roman" w:hAnsi="Arial" w:cs="Arial"/>
                <w:color w:val="000000"/>
                <w:sz w:val="18"/>
                <w:szCs w:val="18"/>
              </w:rPr>
              <w:t> </w:t>
            </w:r>
          </w:p>
        </w:tc>
        <w:tc>
          <w:tcPr>
            <w:tcW w:w="743" w:type="pct"/>
            <w:tcBorders>
              <w:top w:val="nil"/>
              <w:left w:val="nil"/>
              <w:bottom w:val="single" w:sz="8" w:space="0" w:color="4F81BD"/>
              <w:right w:val="single" w:sz="8" w:space="0" w:color="4F81BD"/>
            </w:tcBorders>
            <w:shd w:val="clear" w:color="auto" w:fill="auto"/>
            <w:vAlign w:val="center"/>
            <w:hideMark/>
          </w:tcPr>
          <w:p w14:paraId="38D9EF2D" w14:textId="77777777" w:rsidR="00ED69B6" w:rsidRPr="00ED69B6" w:rsidRDefault="00ED69B6" w:rsidP="00ED69B6">
            <w:pPr>
              <w:spacing w:after="0" w:line="240" w:lineRule="auto"/>
              <w:jc w:val="right"/>
              <w:rPr>
                <w:rFonts w:ascii="Arial" w:eastAsia="Times New Roman" w:hAnsi="Arial" w:cs="Arial"/>
                <w:color w:val="000000"/>
                <w:sz w:val="18"/>
                <w:szCs w:val="18"/>
                <w:lang w:val="en-US"/>
              </w:rPr>
            </w:pPr>
            <w:r w:rsidRPr="00ED69B6">
              <w:rPr>
                <w:rFonts w:ascii="Arial" w:eastAsia="Times New Roman" w:hAnsi="Arial" w:cs="Arial"/>
                <w:color w:val="000000"/>
                <w:sz w:val="18"/>
                <w:szCs w:val="18"/>
              </w:rPr>
              <w:t>2.889,75</w:t>
            </w:r>
          </w:p>
        </w:tc>
        <w:tc>
          <w:tcPr>
            <w:tcW w:w="482" w:type="pct"/>
            <w:tcBorders>
              <w:top w:val="nil"/>
              <w:left w:val="nil"/>
              <w:bottom w:val="single" w:sz="8" w:space="0" w:color="4F81BD"/>
              <w:right w:val="single" w:sz="8" w:space="0" w:color="4F81BD"/>
            </w:tcBorders>
            <w:shd w:val="clear" w:color="auto" w:fill="auto"/>
            <w:vAlign w:val="center"/>
            <w:hideMark/>
          </w:tcPr>
          <w:p w14:paraId="1BB966EB" w14:textId="77777777" w:rsidR="00ED69B6" w:rsidRPr="00ED69B6" w:rsidRDefault="00ED69B6" w:rsidP="00ED69B6">
            <w:pPr>
              <w:spacing w:after="0" w:line="240" w:lineRule="auto"/>
              <w:jc w:val="right"/>
              <w:rPr>
                <w:rFonts w:ascii="Arial" w:eastAsia="Times New Roman" w:hAnsi="Arial" w:cs="Arial"/>
                <w:color w:val="000000"/>
                <w:sz w:val="18"/>
                <w:szCs w:val="18"/>
                <w:lang w:val="en-US"/>
              </w:rPr>
            </w:pPr>
            <w:r w:rsidRPr="00ED69B6">
              <w:rPr>
                <w:rFonts w:ascii="Arial" w:eastAsia="Times New Roman" w:hAnsi="Arial" w:cs="Arial"/>
                <w:color w:val="000000"/>
                <w:sz w:val="18"/>
                <w:szCs w:val="18"/>
              </w:rPr>
              <w:t>100,00%</w:t>
            </w:r>
          </w:p>
        </w:tc>
        <w:tc>
          <w:tcPr>
            <w:tcW w:w="954" w:type="pct"/>
            <w:tcBorders>
              <w:top w:val="nil"/>
              <w:left w:val="nil"/>
              <w:bottom w:val="single" w:sz="8" w:space="0" w:color="4F81BD"/>
              <w:right w:val="single" w:sz="8" w:space="0" w:color="4F81BD"/>
            </w:tcBorders>
            <w:shd w:val="clear" w:color="auto" w:fill="auto"/>
            <w:vAlign w:val="center"/>
            <w:hideMark/>
          </w:tcPr>
          <w:p w14:paraId="32AE097B" w14:textId="77777777" w:rsidR="00ED69B6" w:rsidRPr="00ED69B6" w:rsidRDefault="00ED69B6" w:rsidP="00ED69B6">
            <w:pPr>
              <w:spacing w:after="0" w:line="240" w:lineRule="auto"/>
              <w:jc w:val="center"/>
              <w:rPr>
                <w:rFonts w:ascii="Arial" w:eastAsia="Times New Roman" w:hAnsi="Arial" w:cs="Arial"/>
                <w:color w:val="000000"/>
                <w:sz w:val="16"/>
                <w:szCs w:val="16"/>
                <w:lang w:val="en-US"/>
              </w:rPr>
            </w:pPr>
            <w:r w:rsidRPr="00ED69B6">
              <w:rPr>
                <w:rFonts w:ascii="Arial" w:eastAsia="Times New Roman" w:hAnsi="Arial" w:cs="Arial"/>
                <w:color w:val="000000"/>
                <w:sz w:val="16"/>
                <w:szCs w:val="16"/>
              </w:rPr>
              <w:t> </w:t>
            </w:r>
          </w:p>
        </w:tc>
      </w:tr>
    </w:tbl>
    <w:p w14:paraId="06345D07" w14:textId="77777777" w:rsidR="00BF7FA5" w:rsidRDefault="00BF7FA5" w:rsidP="00ED768D">
      <w:pPr>
        <w:pStyle w:val="NoSpacing"/>
        <w:rPr>
          <w:rFonts w:ascii="Arial" w:hAnsi="Arial" w:cs="Arial"/>
          <w:lang w:val="hr-HR"/>
        </w:rPr>
      </w:pPr>
    </w:p>
    <w:p w14:paraId="65A5873A" w14:textId="5259D600" w:rsidR="00BF7FA5" w:rsidRPr="00AF7CAC" w:rsidRDefault="00BF7FA5" w:rsidP="00ED768D">
      <w:pPr>
        <w:pStyle w:val="NoSpacing"/>
        <w:rPr>
          <w:rFonts w:ascii="Arial" w:hAnsi="Arial" w:cs="Arial"/>
          <w:lang w:val="hr-HR"/>
        </w:rPr>
      </w:pPr>
    </w:p>
    <w:p w14:paraId="4C830C51" w14:textId="237CA923" w:rsidR="00ED768D" w:rsidRPr="006B6B10" w:rsidRDefault="00ED768D" w:rsidP="00627D74">
      <w:pPr>
        <w:pStyle w:val="Heading3"/>
        <w:numPr>
          <w:ilvl w:val="1"/>
          <w:numId w:val="10"/>
        </w:numPr>
        <w:rPr>
          <w:rFonts w:ascii="Arial" w:hAnsi="Arial" w:cs="Arial"/>
          <w:b w:val="0"/>
          <w:color w:val="auto"/>
        </w:rPr>
      </w:pPr>
      <w:bookmarkStart w:id="125" w:name="_Toc100823760"/>
      <w:r w:rsidRPr="006B6B10">
        <w:rPr>
          <w:rFonts w:ascii="Arial" w:hAnsi="Arial" w:cs="Arial"/>
          <w:b w:val="0"/>
          <w:color w:val="auto"/>
          <w:sz w:val="24"/>
        </w:rPr>
        <w:t xml:space="preserve">Domaći izvori </w:t>
      </w:r>
      <w:r w:rsidR="009A78EF">
        <w:rPr>
          <w:rFonts w:ascii="Arial" w:hAnsi="Arial" w:cs="Arial"/>
          <w:b w:val="0"/>
          <w:color w:val="auto"/>
          <w:sz w:val="24"/>
        </w:rPr>
        <w:t>financ</w:t>
      </w:r>
      <w:r w:rsidRPr="006B6B10">
        <w:rPr>
          <w:rFonts w:ascii="Arial" w:hAnsi="Arial" w:cs="Arial"/>
          <w:b w:val="0"/>
          <w:color w:val="auto"/>
          <w:sz w:val="24"/>
        </w:rPr>
        <w:t>iranja</w:t>
      </w:r>
      <w:bookmarkEnd w:id="125"/>
    </w:p>
    <w:p w14:paraId="5A7C6FAB" w14:textId="77777777" w:rsidR="00205074" w:rsidRPr="006B6B10" w:rsidRDefault="00205074" w:rsidP="006F06B8">
      <w:pPr>
        <w:spacing w:after="0"/>
      </w:pPr>
    </w:p>
    <w:p w14:paraId="72D4D0B4" w14:textId="2DAA4A2B" w:rsidR="00B60AE7" w:rsidRPr="00692BDF" w:rsidRDefault="00ED768D" w:rsidP="006F06B8">
      <w:pPr>
        <w:pStyle w:val="NoSpacing"/>
        <w:spacing w:line="276" w:lineRule="auto"/>
        <w:ind w:firstLine="284"/>
        <w:jc w:val="both"/>
        <w:rPr>
          <w:rFonts w:ascii="Arial" w:eastAsia="Times New Roman" w:hAnsi="Arial" w:cs="Arial"/>
          <w:lang w:val="hr-HR"/>
        </w:rPr>
      </w:pPr>
      <w:r w:rsidRPr="00692BDF">
        <w:rPr>
          <w:rFonts w:ascii="Arial" w:eastAsia="Times New Roman" w:hAnsi="Arial" w:cs="Arial"/>
          <w:lang w:val="hr-HR"/>
        </w:rPr>
        <w:t xml:space="preserve">Domaće tržište </w:t>
      </w:r>
      <w:r w:rsidR="002B6A7D" w:rsidRPr="00692BDF">
        <w:rPr>
          <w:rFonts w:ascii="Arial" w:eastAsia="Times New Roman" w:hAnsi="Arial" w:cs="Arial"/>
          <w:lang w:val="hr-HR"/>
        </w:rPr>
        <w:t>vrijednosnih papira</w:t>
      </w:r>
      <w:r w:rsidRPr="00692BDF">
        <w:rPr>
          <w:rFonts w:ascii="Arial" w:eastAsia="Times New Roman" w:hAnsi="Arial" w:cs="Arial"/>
          <w:lang w:val="hr-HR"/>
        </w:rPr>
        <w:t xml:space="preserve"> je relativno malo i nerazvijeno, ali </w:t>
      </w:r>
      <w:r w:rsidR="001B198A" w:rsidRPr="00692BDF">
        <w:rPr>
          <w:rFonts w:ascii="Arial" w:eastAsia="Times New Roman" w:hAnsi="Arial" w:cs="Arial"/>
          <w:lang w:val="hr-HR"/>
        </w:rPr>
        <w:t>ima trend</w:t>
      </w:r>
      <w:r w:rsidRPr="00692BDF">
        <w:rPr>
          <w:rFonts w:ascii="Arial" w:eastAsia="Times New Roman" w:hAnsi="Arial" w:cs="Arial"/>
          <w:lang w:val="hr-HR"/>
        </w:rPr>
        <w:t xml:space="preserve"> rast</w:t>
      </w:r>
      <w:r w:rsidR="001B198A" w:rsidRPr="00692BDF">
        <w:rPr>
          <w:rFonts w:ascii="Arial" w:eastAsia="Times New Roman" w:hAnsi="Arial" w:cs="Arial"/>
          <w:lang w:val="hr-HR"/>
        </w:rPr>
        <w:t>a</w:t>
      </w:r>
      <w:r w:rsidRPr="00692BDF">
        <w:rPr>
          <w:rFonts w:ascii="Arial" w:eastAsia="Times New Roman" w:hAnsi="Arial" w:cs="Arial"/>
          <w:lang w:val="hr-HR"/>
        </w:rPr>
        <w:t xml:space="preserve"> prilagođavajući se </w:t>
      </w:r>
      <w:r w:rsidR="009A78EF">
        <w:rPr>
          <w:rFonts w:ascii="Arial" w:eastAsia="Times New Roman" w:hAnsi="Arial" w:cs="Arial"/>
          <w:lang w:val="hr-HR"/>
        </w:rPr>
        <w:t>financ</w:t>
      </w:r>
      <w:r w:rsidRPr="00692BDF">
        <w:rPr>
          <w:rFonts w:ascii="Arial" w:eastAsia="Times New Roman" w:hAnsi="Arial" w:cs="Arial"/>
          <w:lang w:val="hr-HR"/>
        </w:rPr>
        <w:t>ijskim potre</w:t>
      </w:r>
      <w:r w:rsidR="00E672EB" w:rsidRPr="00692BDF">
        <w:rPr>
          <w:rFonts w:ascii="Arial" w:eastAsia="Times New Roman" w:hAnsi="Arial" w:cs="Arial"/>
          <w:lang w:val="hr-HR"/>
        </w:rPr>
        <w:t>bam</w:t>
      </w:r>
      <w:r w:rsidRPr="00692BDF">
        <w:rPr>
          <w:rFonts w:ascii="Arial" w:eastAsia="Times New Roman" w:hAnsi="Arial" w:cs="Arial"/>
          <w:lang w:val="hr-HR"/>
        </w:rPr>
        <w:t>a Vlade F</w:t>
      </w:r>
      <w:r w:rsidR="001B198A" w:rsidRPr="00692BDF">
        <w:rPr>
          <w:rFonts w:ascii="Arial" w:eastAsia="Times New Roman" w:hAnsi="Arial" w:cs="Arial"/>
          <w:lang w:val="hr-HR"/>
        </w:rPr>
        <w:t xml:space="preserve">ederacije </w:t>
      </w:r>
      <w:r w:rsidRPr="00692BDF">
        <w:rPr>
          <w:rFonts w:ascii="Arial" w:eastAsia="Times New Roman" w:hAnsi="Arial" w:cs="Arial"/>
          <w:lang w:val="hr-HR"/>
        </w:rPr>
        <w:t xml:space="preserve">BiH. </w:t>
      </w:r>
    </w:p>
    <w:p w14:paraId="69578492" w14:textId="77777777" w:rsidR="00D450C0" w:rsidRPr="006B6B10" w:rsidRDefault="00ED768D" w:rsidP="006F06B8">
      <w:pPr>
        <w:pStyle w:val="NoSpacing"/>
        <w:spacing w:line="276" w:lineRule="auto"/>
        <w:ind w:firstLine="284"/>
        <w:jc w:val="both"/>
        <w:rPr>
          <w:rFonts w:ascii="Arial" w:eastAsia="MS Mincho" w:hAnsi="Arial" w:cs="Arial"/>
          <w:kern w:val="24"/>
          <w:lang w:val="hr-HR" w:eastAsia="fr-FR"/>
        </w:rPr>
      </w:pPr>
      <w:r w:rsidRPr="00692BDF">
        <w:rPr>
          <w:rFonts w:ascii="Arial" w:eastAsia="Times New Roman" w:hAnsi="Arial" w:cs="Arial"/>
          <w:lang w:val="hr-HR"/>
        </w:rPr>
        <w:t>Domaće k</w:t>
      </w:r>
      <w:r w:rsidRPr="00692BDF">
        <w:rPr>
          <w:rFonts w:ascii="Arial" w:eastAsia="MS Mincho" w:hAnsi="Arial" w:cs="Arial"/>
          <w:kern w:val="24"/>
          <w:lang w:val="hr-HR" w:eastAsia="fr-FR"/>
        </w:rPr>
        <w:t>omercijalne banke su najveći investitori u trezorske zapise i tržišne obveznice Vlade F</w:t>
      </w:r>
      <w:r w:rsidR="001B198A" w:rsidRPr="00692BDF">
        <w:rPr>
          <w:rFonts w:ascii="Arial" w:eastAsia="MS Mincho" w:hAnsi="Arial" w:cs="Arial"/>
          <w:kern w:val="24"/>
          <w:lang w:val="hr-HR" w:eastAsia="fr-FR"/>
        </w:rPr>
        <w:t xml:space="preserve">ederacije </w:t>
      </w:r>
      <w:r w:rsidRPr="00692BDF">
        <w:rPr>
          <w:rFonts w:ascii="Arial" w:eastAsia="MS Mincho" w:hAnsi="Arial" w:cs="Arial"/>
          <w:kern w:val="24"/>
          <w:lang w:val="hr-HR" w:eastAsia="fr-FR"/>
        </w:rPr>
        <w:t>BiH</w:t>
      </w:r>
      <w:r w:rsidR="00D94844" w:rsidRPr="00692BDF">
        <w:rPr>
          <w:rFonts w:ascii="Arial" w:eastAsia="MS Mincho" w:hAnsi="Arial" w:cs="Arial"/>
          <w:kern w:val="24"/>
          <w:lang w:val="hr-HR" w:eastAsia="fr-FR"/>
        </w:rPr>
        <w:t xml:space="preserve"> i</w:t>
      </w:r>
      <w:r w:rsidR="00894709" w:rsidRPr="00692BDF">
        <w:rPr>
          <w:rFonts w:ascii="Arial" w:eastAsia="MS Mincho" w:hAnsi="Arial" w:cs="Arial"/>
          <w:kern w:val="24"/>
          <w:lang w:val="hr-HR" w:eastAsia="fr-FR"/>
        </w:rPr>
        <w:t xml:space="preserve"> </w:t>
      </w:r>
      <w:r w:rsidRPr="00692BDF">
        <w:rPr>
          <w:rFonts w:ascii="Arial" w:eastAsia="MS Mincho" w:hAnsi="Arial" w:cs="Arial"/>
          <w:kern w:val="24"/>
          <w:lang w:val="hr-HR" w:eastAsia="fr-FR"/>
        </w:rPr>
        <w:t xml:space="preserve">uglavnom </w:t>
      </w:r>
      <w:r w:rsidR="00D94844" w:rsidRPr="00692BDF">
        <w:rPr>
          <w:rFonts w:ascii="Arial" w:eastAsia="MS Mincho" w:hAnsi="Arial" w:cs="Arial"/>
          <w:kern w:val="24"/>
          <w:lang w:val="hr-HR" w:eastAsia="fr-FR"/>
        </w:rPr>
        <w:t xml:space="preserve">ih </w:t>
      </w:r>
      <w:r w:rsidRPr="00692BDF">
        <w:rPr>
          <w:rFonts w:ascii="Arial" w:eastAsia="MS Mincho" w:hAnsi="Arial" w:cs="Arial"/>
          <w:kern w:val="24"/>
          <w:lang w:val="hr-HR" w:eastAsia="fr-FR"/>
        </w:rPr>
        <w:t>čuvaju do dospijeća</w:t>
      </w:r>
      <w:r w:rsidR="00186026" w:rsidRPr="00692BDF">
        <w:rPr>
          <w:rFonts w:ascii="Arial" w:eastAsia="MS Mincho" w:hAnsi="Arial" w:cs="Arial"/>
          <w:kern w:val="24"/>
          <w:lang w:val="hr-HR" w:eastAsia="fr-FR"/>
        </w:rPr>
        <w:t>.</w:t>
      </w:r>
    </w:p>
    <w:p w14:paraId="5D85C68E" w14:textId="77777777" w:rsidR="00AF5BF0" w:rsidRPr="006B6B10" w:rsidRDefault="00AF5BF0" w:rsidP="006F06B8">
      <w:pPr>
        <w:pStyle w:val="NoSpacing"/>
        <w:spacing w:line="276" w:lineRule="auto"/>
        <w:jc w:val="both"/>
        <w:rPr>
          <w:rFonts w:ascii="Arial" w:eastAsia="Times New Roman" w:hAnsi="Arial" w:cs="Arial"/>
          <w:lang w:val="hr-HR"/>
        </w:rPr>
      </w:pPr>
    </w:p>
    <w:p w14:paraId="701F168A" w14:textId="3AE4182E" w:rsidR="00314132" w:rsidRDefault="00ED768D" w:rsidP="006F06B8">
      <w:pPr>
        <w:pStyle w:val="NoSpacing"/>
        <w:spacing w:line="276" w:lineRule="auto"/>
        <w:jc w:val="both"/>
        <w:rPr>
          <w:rFonts w:ascii="Arial" w:eastAsia="Times New Roman" w:hAnsi="Arial" w:cs="Arial"/>
          <w:lang w:val="hr-HR"/>
        </w:rPr>
      </w:pPr>
      <w:r w:rsidRPr="00D912D1">
        <w:rPr>
          <w:rFonts w:ascii="Arial" w:eastAsia="Times New Roman" w:hAnsi="Arial" w:cs="Arial"/>
          <w:lang w:val="hr-HR"/>
        </w:rPr>
        <w:t xml:space="preserve">Slika </w:t>
      </w:r>
      <w:r w:rsidR="008A7690" w:rsidRPr="00D912D1">
        <w:rPr>
          <w:rFonts w:ascii="Arial" w:eastAsia="Times New Roman" w:hAnsi="Arial" w:cs="Arial"/>
          <w:lang w:val="hr-HR"/>
        </w:rPr>
        <w:t>8</w:t>
      </w:r>
      <w:r w:rsidRPr="00073673">
        <w:rPr>
          <w:rFonts w:ascii="Arial" w:eastAsia="Times New Roman" w:hAnsi="Arial" w:cs="Arial"/>
          <w:lang w:val="hr-HR"/>
        </w:rPr>
        <w:t xml:space="preserve">. </w:t>
      </w:r>
      <w:r w:rsidR="00FE4D1A" w:rsidRPr="00073673">
        <w:rPr>
          <w:rFonts w:ascii="Arial" w:eastAsia="Times New Roman" w:hAnsi="Arial" w:cs="Arial"/>
          <w:lang w:val="hr-HR"/>
        </w:rPr>
        <w:t xml:space="preserve">Kretanje </w:t>
      </w:r>
      <w:r w:rsidR="009A78EF">
        <w:rPr>
          <w:rFonts w:ascii="Arial" w:eastAsia="Times New Roman" w:hAnsi="Arial" w:cs="Arial"/>
          <w:lang w:val="hr-HR"/>
        </w:rPr>
        <w:t>unutarnjeg</w:t>
      </w:r>
      <w:r w:rsidRPr="00073673">
        <w:rPr>
          <w:rFonts w:ascii="Arial" w:eastAsia="Times New Roman" w:hAnsi="Arial" w:cs="Arial"/>
          <w:lang w:val="hr-HR"/>
        </w:rPr>
        <w:t xml:space="preserve"> duga </w:t>
      </w:r>
      <w:r w:rsidRPr="00073673">
        <w:rPr>
          <w:rFonts w:ascii="Arial" w:hAnsi="Arial" w:cs="Arial"/>
          <w:lang w:val="hr-HR"/>
        </w:rPr>
        <w:t>F</w:t>
      </w:r>
      <w:r w:rsidR="00C65506" w:rsidRPr="00073673">
        <w:rPr>
          <w:rFonts w:ascii="Arial" w:hAnsi="Arial" w:cs="Arial"/>
          <w:lang w:val="hr-HR"/>
        </w:rPr>
        <w:t xml:space="preserve">ederacije </w:t>
      </w:r>
      <w:r w:rsidRPr="00073673">
        <w:rPr>
          <w:rFonts w:ascii="Arial" w:hAnsi="Arial" w:cs="Arial"/>
          <w:lang w:val="hr-HR"/>
        </w:rPr>
        <w:t>BiH</w:t>
      </w:r>
      <w:r w:rsidRPr="00073673">
        <w:rPr>
          <w:rFonts w:ascii="Arial" w:hAnsi="Arial" w:cs="Arial"/>
          <w:bCs/>
          <w:lang w:val="hr-HR"/>
        </w:rPr>
        <w:t xml:space="preserve"> </w:t>
      </w:r>
      <w:r w:rsidRPr="00073673">
        <w:rPr>
          <w:rFonts w:ascii="Arial" w:eastAsia="Times New Roman" w:hAnsi="Arial" w:cs="Arial"/>
          <w:lang w:val="hr-HR"/>
        </w:rPr>
        <w:t>po osnov</w:t>
      </w:r>
      <w:r w:rsidR="003E2B23">
        <w:rPr>
          <w:rFonts w:ascii="Arial" w:eastAsia="Times New Roman" w:hAnsi="Arial" w:cs="Arial"/>
          <w:lang w:val="hr-HR"/>
        </w:rPr>
        <w:t>i</w:t>
      </w:r>
      <w:r w:rsidRPr="00073673">
        <w:rPr>
          <w:rFonts w:ascii="Arial" w:eastAsia="Times New Roman" w:hAnsi="Arial" w:cs="Arial"/>
          <w:lang w:val="hr-HR"/>
        </w:rPr>
        <w:t xml:space="preserve"> tržišnih vrijednosnih papira </w:t>
      </w:r>
      <w:r w:rsidR="00FE4D1A" w:rsidRPr="00073673">
        <w:rPr>
          <w:rFonts w:ascii="Arial" w:eastAsia="Times New Roman" w:hAnsi="Arial" w:cs="Arial"/>
          <w:lang w:val="hr-HR"/>
        </w:rPr>
        <w:t xml:space="preserve">u </w:t>
      </w:r>
      <w:r w:rsidR="00A31C4D">
        <w:rPr>
          <w:rFonts w:ascii="Arial" w:eastAsia="Times New Roman" w:hAnsi="Arial" w:cs="Arial"/>
          <w:lang w:val="hr-HR"/>
        </w:rPr>
        <w:t>razdoblju</w:t>
      </w:r>
      <w:r w:rsidR="00FE4D1A" w:rsidRPr="00073673">
        <w:rPr>
          <w:rFonts w:ascii="Arial" w:eastAsia="Times New Roman" w:hAnsi="Arial" w:cs="Arial"/>
          <w:lang w:val="hr-HR"/>
        </w:rPr>
        <w:t xml:space="preserve"> </w:t>
      </w:r>
      <w:r w:rsidRPr="00073673">
        <w:rPr>
          <w:rFonts w:ascii="Arial" w:eastAsia="Times New Roman" w:hAnsi="Arial" w:cs="Arial"/>
          <w:lang w:val="hr-HR"/>
        </w:rPr>
        <w:t>2012</w:t>
      </w:r>
      <w:r w:rsidR="006B072E" w:rsidRPr="00073673">
        <w:rPr>
          <w:rFonts w:ascii="Arial" w:eastAsia="Times New Roman" w:hAnsi="Arial" w:cs="Arial"/>
          <w:lang w:val="hr-HR"/>
        </w:rPr>
        <w:t xml:space="preserve"> – </w:t>
      </w:r>
      <w:r w:rsidR="00271FF1" w:rsidRPr="00073673">
        <w:rPr>
          <w:rFonts w:ascii="Arial" w:eastAsia="Times New Roman" w:hAnsi="Arial" w:cs="Arial"/>
          <w:lang w:val="hr-HR"/>
        </w:rPr>
        <w:t>2021</w:t>
      </w:r>
      <w:r w:rsidR="00B96B4D" w:rsidRPr="00073673">
        <w:rPr>
          <w:rFonts w:ascii="Arial" w:eastAsia="Times New Roman" w:hAnsi="Arial" w:cs="Arial"/>
          <w:lang w:val="hr-HR"/>
        </w:rPr>
        <w:t>.</w:t>
      </w:r>
      <w:r w:rsidR="009406F3" w:rsidRPr="00073673">
        <w:rPr>
          <w:rFonts w:ascii="Arial" w:eastAsia="Times New Roman" w:hAnsi="Arial" w:cs="Arial"/>
          <w:lang w:val="hr-HR"/>
        </w:rPr>
        <w:t xml:space="preserve"> </w:t>
      </w:r>
      <w:r w:rsidR="00F234BC" w:rsidRPr="00073673">
        <w:rPr>
          <w:rFonts w:ascii="Arial" w:eastAsia="Times New Roman" w:hAnsi="Arial" w:cs="Arial"/>
          <w:lang w:val="hr-HR"/>
        </w:rPr>
        <w:t>(mil.</w:t>
      </w:r>
      <w:r w:rsidR="004F6214" w:rsidRPr="00073673">
        <w:rPr>
          <w:rFonts w:ascii="Arial" w:eastAsia="Times New Roman" w:hAnsi="Arial" w:cs="Arial"/>
          <w:lang w:val="hr-HR"/>
        </w:rPr>
        <w:t xml:space="preserve"> </w:t>
      </w:r>
      <w:r w:rsidR="00F234BC" w:rsidRPr="00073673">
        <w:rPr>
          <w:rFonts w:ascii="Arial" w:eastAsia="Times New Roman" w:hAnsi="Arial" w:cs="Arial"/>
          <w:lang w:val="hr-HR"/>
        </w:rPr>
        <w:t>KM)</w:t>
      </w:r>
      <w:r w:rsidR="00F234BC" w:rsidRPr="006B6B10">
        <w:rPr>
          <w:rFonts w:ascii="Arial" w:eastAsia="Times New Roman" w:hAnsi="Arial" w:cs="Arial"/>
          <w:lang w:val="hr-HR"/>
        </w:rPr>
        <w:t xml:space="preserve">    </w:t>
      </w:r>
    </w:p>
    <w:p w14:paraId="6339DCF7" w14:textId="77777777" w:rsidR="00271FF1" w:rsidRDefault="00271FF1" w:rsidP="006F06B8">
      <w:pPr>
        <w:pStyle w:val="NoSpacing"/>
        <w:spacing w:line="276" w:lineRule="auto"/>
        <w:jc w:val="both"/>
        <w:rPr>
          <w:rFonts w:ascii="Arial" w:eastAsia="Times New Roman" w:hAnsi="Arial" w:cs="Arial"/>
          <w:lang w:val="hr-HR"/>
        </w:rPr>
      </w:pPr>
    </w:p>
    <w:p w14:paraId="100B55C2" w14:textId="227C3EDD" w:rsidR="00271FF1" w:rsidRPr="006B6B10" w:rsidRDefault="00271FF1" w:rsidP="006F06B8">
      <w:pPr>
        <w:pStyle w:val="NoSpacing"/>
        <w:spacing w:line="276" w:lineRule="auto"/>
        <w:jc w:val="both"/>
        <w:rPr>
          <w:rFonts w:ascii="Arial" w:eastAsia="Times New Roman" w:hAnsi="Arial" w:cs="Arial"/>
          <w:lang w:val="hr-HR"/>
        </w:rPr>
      </w:pPr>
      <w:r>
        <w:rPr>
          <w:noProof/>
        </w:rPr>
        <w:drawing>
          <wp:inline distT="0" distB="0" distL="0" distR="0" wp14:anchorId="1384724A" wp14:editId="009BBDDA">
            <wp:extent cx="5925600" cy="2336400"/>
            <wp:effectExtent l="0" t="0" r="18415" b="698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3B0ADFB" w14:textId="77777777" w:rsidR="009406F3" w:rsidRPr="00AF7CAC" w:rsidRDefault="00F234BC" w:rsidP="006F06B8">
      <w:pPr>
        <w:pStyle w:val="NoSpacing"/>
        <w:spacing w:line="276" w:lineRule="auto"/>
        <w:jc w:val="both"/>
        <w:rPr>
          <w:rFonts w:ascii="Arial" w:eastAsia="Times New Roman" w:hAnsi="Arial" w:cs="Arial"/>
          <w:sz w:val="24"/>
          <w:szCs w:val="24"/>
          <w:lang w:val="hr-HR"/>
        </w:rPr>
      </w:pPr>
      <w:r w:rsidRPr="00AF7CAC">
        <w:rPr>
          <w:rFonts w:ascii="Arial" w:eastAsia="Times New Roman" w:hAnsi="Arial" w:cs="Arial"/>
          <w:sz w:val="24"/>
          <w:szCs w:val="24"/>
          <w:lang w:val="hr-HR"/>
        </w:rPr>
        <w:t xml:space="preserve">       </w:t>
      </w:r>
    </w:p>
    <w:p w14:paraId="68FDF780" w14:textId="4A6C2677" w:rsidR="00ED768D" w:rsidRPr="00B63B7A" w:rsidRDefault="00ED768D">
      <w:pPr>
        <w:pStyle w:val="NoSpacing"/>
        <w:spacing w:line="276" w:lineRule="auto"/>
        <w:ind w:firstLine="426"/>
        <w:jc w:val="both"/>
        <w:rPr>
          <w:rFonts w:ascii="Arial" w:eastAsia="Times New Roman" w:hAnsi="Arial" w:cs="Arial"/>
          <w:szCs w:val="24"/>
          <w:lang w:val="hr-HR"/>
        </w:rPr>
      </w:pPr>
      <w:r w:rsidRPr="00B63B7A">
        <w:rPr>
          <w:rFonts w:ascii="Arial" w:eastAsia="Times New Roman" w:hAnsi="Arial" w:cs="Arial"/>
          <w:szCs w:val="24"/>
          <w:lang w:val="hr-HR"/>
        </w:rPr>
        <w:lastRenderedPageBreak/>
        <w:t>U namjeri da osigura dalj</w:t>
      </w:r>
      <w:r w:rsidR="003E2B23">
        <w:rPr>
          <w:rFonts w:ascii="Arial" w:eastAsia="Times New Roman" w:hAnsi="Arial" w:cs="Arial"/>
          <w:szCs w:val="24"/>
          <w:lang w:val="hr-HR"/>
        </w:rPr>
        <w:t>nj</w:t>
      </w:r>
      <w:r w:rsidRPr="00B63B7A">
        <w:rPr>
          <w:rFonts w:ascii="Arial" w:eastAsia="Times New Roman" w:hAnsi="Arial" w:cs="Arial"/>
          <w:szCs w:val="24"/>
          <w:lang w:val="hr-HR"/>
        </w:rPr>
        <w:t xml:space="preserve">i razvoj domaćeg tržišta </w:t>
      </w:r>
      <w:r w:rsidR="00D945EA" w:rsidRPr="00B63B7A">
        <w:rPr>
          <w:rFonts w:ascii="Arial" w:eastAsia="Times New Roman" w:hAnsi="Arial" w:cs="Arial"/>
          <w:szCs w:val="24"/>
          <w:lang w:val="hr-HR"/>
        </w:rPr>
        <w:t>vrijednosnih</w:t>
      </w:r>
      <w:r w:rsidRPr="00B63B7A">
        <w:rPr>
          <w:rFonts w:ascii="Arial" w:eastAsia="Times New Roman" w:hAnsi="Arial" w:cs="Arial"/>
          <w:szCs w:val="24"/>
          <w:lang w:val="hr-HR"/>
        </w:rPr>
        <w:t xml:space="preserve"> papira</w:t>
      </w:r>
      <w:r w:rsidR="00894709" w:rsidRPr="00B63B7A">
        <w:rPr>
          <w:rFonts w:ascii="Arial" w:eastAsia="Times New Roman" w:hAnsi="Arial" w:cs="Arial"/>
          <w:szCs w:val="24"/>
          <w:lang w:val="hr-HR"/>
        </w:rPr>
        <w:t xml:space="preserve"> i</w:t>
      </w:r>
      <w:r w:rsidRPr="00B63B7A">
        <w:rPr>
          <w:rFonts w:ascii="Arial" w:eastAsia="Times New Roman" w:hAnsi="Arial" w:cs="Arial"/>
          <w:szCs w:val="24"/>
          <w:lang w:val="hr-HR"/>
        </w:rPr>
        <w:t xml:space="preserve"> transparentnost zaduživanja, </w:t>
      </w:r>
      <w:r w:rsidR="00C00D11" w:rsidRPr="00B63B7A">
        <w:rPr>
          <w:rFonts w:ascii="Arial" w:eastAsia="Times New Roman" w:hAnsi="Arial" w:cs="Arial"/>
          <w:szCs w:val="24"/>
          <w:lang w:val="hr-HR"/>
        </w:rPr>
        <w:t xml:space="preserve">vodeći </w:t>
      </w:r>
      <w:r w:rsidR="0075508D" w:rsidRPr="00B63B7A">
        <w:rPr>
          <w:rFonts w:ascii="Arial" w:eastAsia="Times New Roman" w:hAnsi="Arial" w:cs="Arial"/>
          <w:szCs w:val="24"/>
          <w:lang w:val="hr-HR"/>
        </w:rPr>
        <w:t xml:space="preserve">pri tom </w:t>
      </w:r>
      <w:r w:rsidR="00C00D11" w:rsidRPr="00B63B7A">
        <w:rPr>
          <w:rFonts w:ascii="Arial" w:eastAsia="Times New Roman" w:hAnsi="Arial" w:cs="Arial"/>
          <w:szCs w:val="24"/>
          <w:lang w:val="hr-HR"/>
        </w:rPr>
        <w:t>računa</w:t>
      </w:r>
      <w:r w:rsidR="00C17159" w:rsidRPr="00B63B7A">
        <w:rPr>
          <w:rFonts w:ascii="Arial" w:eastAsia="Times New Roman" w:hAnsi="Arial" w:cs="Arial"/>
          <w:szCs w:val="24"/>
          <w:lang w:val="hr-HR"/>
        </w:rPr>
        <w:t xml:space="preserve"> o svojim </w:t>
      </w:r>
      <w:r w:rsidR="009A78EF">
        <w:rPr>
          <w:rFonts w:ascii="Arial" w:eastAsia="Times New Roman" w:hAnsi="Arial" w:cs="Arial"/>
          <w:szCs w:val="24"/>
          <w:lang w:val="hr-HR"/>
        </w:rPr>
        <w:t>financ</w:t>
      </w:r>
      <w:r w:rsidR="00C17159" w:rsidRPr="00B63B7A">
        <w:rPr>
          <w:rFonts w:ascii="Arial" w:eastAsia="Times New Roman" w:hAnsi="Arial" w:cs="Arial"/>
          <w:szCs w:val="24"/>
          <w:lang w:val="hr-HR"/>
        </w:rPr>
        <w:t>ijskim potre</w:t>
      </w:r>
      <w:r w:rsidR="00E672EB" w:rsidRPr="00B63B7A">
        <w:rPr>
          <w:rFonts w:ascii="Arial" w:eastAsia="Times New Roman" w:hAnsi="Arial" w:cs="Arial"/>
          <w:szCs w:val="24"/>
          <w:lang w:val="hr-HR"/>
        </w:rPr>
        <w:t>bam</w:t>
      </w:r>
      <w:r w:rsidR="00C17159" w:rsidRPr="00B63B7A">
        <w:rPr>
          <w:rFonts w:ascii="Arial" w:eastAsia="Times New Roman" w:hAnsi="Arial" w:cs="Arial"/>
          <w:szCs w:val="24"/>
          <w:lang w:val="hr-HR"/>
        </w:rPr>
        <w:t>a</w:t>
      </w:r>
      <w:r w:rsidR="005336FE" w:rsidRPr="00B63B7A">
        <w:rPr>
          <w:rFonts w:ascii="Arial" w:eastAsia="Times New Roman" w:hAnsi="Arial" w:cs="Arial"/>
          <w:szCs w:val="24"/>
          <w:lang w:val="hr-HR"/>
        </w:rPr>
        <w:t xml:space="preserve"> i troškovima</w:t>
      </w:r>
      <w:r w:rsidR="00C17159" w:rsidRPr="00B63B7A">
        <w:rPr>
          <w:rFonts w:ascii="Arial" w:eastAsia="Times New Roman" w:hAnsi="Arial" w:cs="Arial"/>
          <w:szCs w:val="24"/>
          <w:lang w:val="hr-HR"/>
        </w:rPr>
        <w:t xml:space="preserve">, </w:t>
      </w:r>
      <w:r w:rsidRPr="00B63B7A">
        <w:rPr>
          <w:rFonts w:ascii="Arial" w:eastAsia="Times New Roman" w:hAnsi="Arial" w:cs="Arial"/>
          <w:szCs w:val="24"/>
          <w:lang w:val="hr-HR"/>
        </w:rPr>
        <w:t>Vlada F</w:t>
      </w:r>
      <w:r w:rsidR="00D450C0" w:rsidRPr="00B63B7A">
        <w:rPr>
          <w:rFonts w:ascii="Arial" w:eastAsia="Times New Roman" w:hAnsi="Arial" w:cs="Arial"/>
          <w:szCs w:val="24"/>
          <w:lang w:val="hr-HR"/>
        </w:rPr>
        <w:t xml:space="preserve">ederacije </w:t>
      </w:r>
      <w:r w:rsidR="003E2B23">
        <w:rPr>
          <w:rFonts w:ascii="Arial" w:eastAsia="Times New Roman" w:hAnsi="Arial" w:cs="Arial"/>
          <w:szCs w:val="24"/>
          <w:lang w:val="hr-HR"/>
        </w:rPr>
        <w:t>BiH će nastaviti s</w:t>
      </w:r>
      <w:r w:rsidRPr="00B63B7A">
        <w:rPr>
          <w:rFonts w:ascii="Arial" w:eastAsia="Times New Roman" w:hAnsi="Arial" w:cs="Arial"/>
          <w:szCs w:val="24"/>
          <w:lang w:val="hr-HR"/>
        </w:rPr>
        <w:t xml:space="preserve"> </w:t>
      </w:r>
      <w:r w:rsidR="00544DDC" w:rsidRPr="00B63B7A">
        <w:rPr>
          <w:rFonts w:ascii="Arial" w:eastAsia="Times New Roman" w:hAnsi="Arial" w:cs="Arial"/>
          <w:szCs w:val="24"/>
          <w:lang w:val="hr-HR"/>
        </w:rPr>
        <w:t xml:space="preserve">aukcijama </w:t>
      </w:r>
      <w:r w:rsidR="0047387A" w:rsidRPr="00B63B7A">
        <w:rPr>
          <w:rFonts w:ascii="Arial" w:eastAsia="Times New Roman" w:hAnsi="Arial" w:cs="Arial"/>
          <w:szCs w:val="24"/>
          <w:lang w:val="hr-HR"/>
        </w:rPr>
        <w:t>obveznica</w:t>
      </w:r>
      <w:r w:rsidR="00544DDC" w:rsidRPr="00B63B7A">
        <w:rPr>
          <w:rFonts w:ascii="Arial" w:eastAsia="Times New Roman" w:hAnsi="Arial" w:cs="Arial"/>
          <w:szCs w:val="24"/>
          <w:lang w:val="hr-HR"/>
        </w:rPr>
        <w:t xml:space="preserve"> u mjeri koja je pot</w:t>
      </w:r>
      <w:r w:rsidR="00741A2A">
        <w:rPr>
          <w:rFonts w:ascii="Arial" w:eastAsia="Times New Roman" w:hAnsi="Arial" w:cs="Arial"/>
          <w:szCs w:val="24"/>
          <w:lang w:val="hr-HR"/>
        </w:rPr>
        <w:t>rebna da se iznos sredstava na J</w:t>
      </w:r>
      <w:r w:rsidR="00544DDC" w:rsidRPr="00B63B7A">
        <w:rPr>
          <w:rFonts w:ascii="Arial" w:eastAsia="Times New Roman" w:hAnsi="Arial" w:cs="Arial"/>
          <w:szCs w:val="24"/>
          <w:lang w:val="hr-HR"/>
        </w:rPr>
        <w:t xml:space="preserve">edinstvenom računu </w:t>
      </w:r>
      <w:r w:rsidR="003E2B23">
        <w:rPr>
          <w:rFonts w:ascii="Arial" w:eastAsia="Times New Roman" w:hAnsi="Arial" w:cs="Arial"/>
          <w:szCs w:val="24"/>
          <w:lang w:val="hr-HR"/>
        </w:rPr>
        <w:t>riznice</w:t>
      </w:r>
      <w:r w:rsidR="00741A2A">
        <w:rPr>
          <w:rFonts w:ascii="Arial" w:eastAsia="Times New Roman" w:hAnsi="Arial" w:cs="Arial"/>
          <w:szCs w:val="24"/>
          <w:lang w:val="hr-HR"/>
        </w:rPr>
        <w:t xml:space="preserve"> Federacije BiH</w:t>
      </w:r>
      <w:r w:rsidR="00544DDC" w:rsidRPr="00B63B7A">
        <w:rPr>
          <w:rFonts w:ascii="Arial" w:eastAsia="Times New Roman" w:hAnsi="Arial" w:cs="Arial"/>
          <w:szCs w:val="24"/>
          <w:lang w:val="hr-HR"/>
        </w:rPr>
        <w:t xml:space="preserve"> održava na zadovoljavajuć</w:t>
      </w:r>
      <w:r w:rsidR="003E2B23">
        <w:rPr>
          <w:rFonts w:ascii="Arial" w:eastAsia="Times New Roman" w:hAnsi="Arial" w:cs="Arial"/>
          <w:szCs w:val="24"/>
          <w:lang w:val="hr-HR"/>
        </w:rPr>
        <w:t>oj</w:t>
      </w:r>
      <w:r w:rsidR="00544DDC" w:rsidRPr="00B63B7A">
        <w:rPr>
          <w:rFonts w:ascii="Arial" w:eastAsia="Times New Roman" w:hAnsi="Arial" w:cs="Arial"/>
          <w:szCs w:val="24"/>
          <w:lang w:val="hr-HR"/>
        </w:rPr>
        <w:t xml:space="preserve"> </w:t>
      </w:r>
      <w:r w:rsidR="003E2B23">
        <w:rPr>
          <w:rFonts w:ascii="Arial" w:eastAsia="Times New Roman" w:hAnsi="Arial" w:cs="Arial"/>
          <w:szCs w:val="24"/>
          <w:lang w:val="hr-HR"/>
        </w:rPr>
        <w:t>razini</w:t>
      </w:r>
      <w:r w:rsidR="00544DDC" w:rsidRPr="00B63B7A">
        <w:rPr>
          <w:rFonts w:ascii="Arial" w:eastAsia="Times New Roman" w:hAnsi="Arial" w:cs="Arial"/>
          <w:szCs w:val="24"/>
          <w:lang w:val="hr-HR"/>
        </w:rPr>
        <w:t xml:space="preserve"> kao i aukcijama trezorskih zapisa </w:t>
      </w:r>
      <w:r w:rsidR="00A93432" w:rsidRPr="00B63B7A">
        <w:rPr>
          <w:rFonts w:ascii="Arial" w:eastAsia="Times New Roman" w:hAnsi="Arial" w:cs="Arial"/>
          <w:szCs w:val="24"/>
          <w:lang w:val="hr-HR"/>
        </w:rPr>
        <w:t xml:space="preserve">u slučaju pojave deficita jedinstvenog računa uzrokovanog </w:t>
      </w:r>
      <w:r w:rsidR="00AF7CAC" w:rsidRPr="00B63B7A">
        <w:rPr>
          <w:rFonts w:ascii="Arial" w:eastAsia="Times New Roman" w:hAnsi="Arial" w:cs="Arial"/>
          <w:szCs w:val="24"/>
          <w:lang w:val="hr-HR"/>
        </w:rPr>
        <w:t>neusklađenošću</w:t>
      </w:r>
      <w:r w:rsidR="00A93432" w:rsidRPr="00B63B7A">
        <w:rPr>
          <w:rFonts w:ascii="Arial" w:eastAsia="Times New Roman" w:hAnsi="Arial" w:cs="Arial"/>
          <w:szCs w:val="24"/>
          <w:lang w:val="hr-HR"/>
        </w:rPr>
        <w:t xml:space="preserve"> gotovinskih tokova</w:t>
      </w:r>
      <w:r w:rsidR="00544DDC" w:rsidRPr="00B63B7A">
        <w:rPr>
          <w:rFonts w:ascii="Arial" w:eastAsia="Times New Roman" w:hAnsi="Arial" w:cs="Arial"/>
          <w:szCs w:val="24"/>
          <w:lang w:val="hr-HR"/>
        </w:rPr>
        <w:t>.</w:t>
      </w:r>
      <w:r w:rsidRPr="00B63B7A">
        <w:rPr>
          <w:rFonts w:ascii="Arial" w:eastAsia="Times New Roman" w:hAnsi="Arial" w:cs="Arial"/>
          <w:szCs w:val="24"/>
          <w:lang w:val="hr-HR"/>
        </w:rPr>
        <w:t xml:space="preserve"> </w:t>
      </w:r>
    </w:p>
    <w:p w14:paraId="5BCE525B" w14:textId="77777777" w:rsidR="003E2B23" w:rsidRDefault="003E2B23">
      <w:pPr>
        <w:pStyle w:val="NoSpacing"/>
        <w:spacing w:line="276" w:lineRule="auto"/>
        <w:ind w:firstLine="426"/>
        <w:jc w:val="both"/>
        <w:rPr>
          <w:rFonts w:ascii="Arial" w:eastAsia="MS Mincho" w:hAnsi="Arial" w:cs="Arial"/>
          <w:kern w:val="24"/>
          <w:szCs w:val="24"/>
          <w:lang w:val="hr-HR" w:eastAsia="fr-FR"/>
        </w:rPr>
      </w:pPr>
    </w:p>
    <w:p w14:paraId="720CD71E" w14:textId="6A18FDD2" w:rsidR="005336FE" w:rsidRPr="00B63B7A" w:rsidRDefault="00D94844">
      <w:pPr>
        <w:pStyle w:val="NoSpacing"/>
        <w:spacing w:line="276" w:lineRule="auto"/>
        <w:ind w:firstLine="426"/>
        <w:jc w:val="both"/>
        <w:rPr>
          <w:rFonts w:ascii="Arial" w:eastAsia="MS Mincho" w:hAnsi="Arial" w:cs="Arial"/>
          <w:kern w:val="24"/>
          <w:szCs w:val="24"/>
          <w:lang w:val="hr-HR" w:eastAsia="fr-FR"/>
        </w:rPr>
      </w:pPr>
      <w:r w:rsidRPr="00B63B7A">
        <w:rPr>
          <w:rFonts w:ascii="Arial" w:eastAsia="MS Mincho" w:hAnsi="Arial" w:cs="Arial"/>
          <w:kern w:val="24"/>
          <w:szCs w:val="24"/>
          <w:lang w:val="hr-HR" w:eastAsia="fr-FR"/>
        </w:rPr>
        <w:t xml:space="preserve">Broj emisija i visina ponude </w:t>
      </w:r>
      <w:r w:rsidR="00ED768D" w:rsidRPr="00B63B7A">
        <w:rPr>
          <w:rFonts w:ascii="Arial" w:eastAsia="MS Mincho" w:hAnsi="Arial" w:cs="Arial"/>
          <w:kern w:val="24"/>
          <w:szCs w:val="24"/>
          <w:lang w:val="hr-HR" w:eastAsia="fr-FR"/>
        </w:rPr>
        <w:t xml:space="preserve">trezorskih zapisa (ročnosti </w:t>
      </w:r>
      <w:r w:rsidR="00017C6F" w:rsidRPr="00B63B7A">
        <w:rPr>
          <w:rFonts w:ascii="Arial" w:eastAsia="MS Mincho" w:hAnsi="Arial" w:cs="Arial"/>
          <w:kern w:val="24"/>
          <w:szCs w:val="24"/>
          <w:lang w:val="hr-HR" w:eastAsia="fr-FR"/>
        </w:rPr>
        <w:t>tri, šest, devet</w:t>
      </w:r>
      <w:r w:rsidR="00017C6F" w:rsidRPr="00B63B7A" w:rsidDel="00017C6F">
        <w:rPr>
          <w:rFonts w:ascii="Arial" w:eastAsia="MS Mincho" w:hAnsi="Arial" w:cs="Arial"/>
          <w:kern w:val="24"/>
          <w:szCs w:val="24"/>
          <w:lang w:val="hr-HR" w:eastAsia="fr-FR"/>
        </w:rPr>
        <w:t xml:space="preserve"> </w:t>
      </w:r>
      <w:r w:rsidR="00ED768D" w:rsidRPr="00B63B7A">
        <w:rPr>
          <w:rFonts w:ascii="Arial" w:eastAsia="MS Mincho" w:hAnsi="Arial" w:cs="Arial"/>
          <w:kern w:val="24"/>
          <w:szCs w:val="24"/>
          <w:lang w:val="hr-HR" w:eastAsia="fr-FR"/>
        </w:rPr>
        <w:t xml:space="preserve">i </w:t>
      </w:r>
      <w:r w:rsidR="0019781C" w:rsidRPr="00B63B7A">
        <w:rPr>
          <w:rFonts w:ascii="Arial" w:eastAsia="MS Mincho" w:hAnsi="Arial" w:cs="Arial"/>
          <w:kern w:val="24"/>
          <w:szCs w:val="24"/>
          <w:lang w:val="hr-HR" w:eastAsia="fr-FR"/>
        </w:rPr>
        <w:t>dvanaest</w:t>
      </w:r>
      <w:r w:rsidR="00ED768D" w:rsidRPr="00B63B7A">
        <w:rPr>
          <w:rFonts w:ascii="Arial" w:eastAsia="MS Mincho" w:hAnsi="Arial" w:cs="Arial"/>
          <w:kern w:val="24"/>
          <w:szCs w:val="24"/>
          <w:lang w:val="hr-HR" w:eastAsia="fr-FR"/>
        </w:rPr>
        <w:t xml:space="preserve"> mjeseci) će varirati zavisno od potreba </w:t>
      </w:r>
      <w:r w:rsidR="003E2B23">
        <w:rPr>
          <w:rFonts w:ascii="Arial" w:eastAsia="MS Mincho" w:hAnsi="Arial" w:cs="Arial"/>
          <w:kern w:val="24"/>
          <w:szCs w:val="24"/>
          <w:lang w:val="hr-HR" w:eastAsia="fr-FR"/>
        </w:rPr>
        <w:t>riznice</w:t>
      </w:r>
      <w:r w:rsidR="00ED768D" w:rsidRPr="00B63B7A">
        <w:rPr>
          <w:rFonts w:ascii="Arial" w:eastAsia="MS Mincho" w:hAnsi="Arial" w:cs="Arial"/>
          <w:kern w:val="24"/>
          <w:szCs w:val="24"/>
          <w:lang w:val="hr-HR" w:eastAsia="fr-FR"/>
        </w:rPr>
        <w:t xml:space="preserve"> </w:t>
      </w:r>
      <w:r w:rsidR="00EC1261" w:rsidRPr="00B63B7A">
        <w:rPr>
          <w:rFonts w:ascii="Arial" w:eastAsia="MS Mincho" w:hAnsi="Arial" w:cs="Arial"/>
          <w:kern w:val="24"/>
          <w:szCs w:val="24"/>
          <w:lang w:val="hr-HR" w:eastAsia="fr-FR"/>
        </w:rPr>
        <w:t>u procesu upravljanja</w:t>
      </w:r>
      <w:r w:rsidR="00ED768D" w:rsidRPr="00B63B7A">
        <w:rPr>
          <w:rFonts w:ascii="Arial" w:eastAsia="MS Mincho" w:hAnsi="Arial" w:cs="Arial"/>
          <w:kern w:val="24"/>
          <w:szCs w:val="24"/>
          <w:lang w:val="hr-HR" w:eastAsia="fr-FR"/>
        </w:rPr>
        <w:t xml:space="preserve"> likvidnošću. </w:t>
      </w:r>
      <w:r w:rsidRPr="00B63B7A">
        <w:rPr>
          <w:rFonts w:ascii="Arial" w:eastAsia="MS Mincho" w:hAnsi="Arial" w:cs="Arial"/>
          <w:kern w:val="24"/>
          <w:szCs w:val="24"/>
          <w:lang w:val="hr-HR" w:eastAsia="fr-FR"/>
        </w:rPr>
        <w:t xml:space="preserve">Za buduća </w:t>
      </w:r>
      <w:r w:rsidR="00665414" w:rsidRPr="00B63B7A">
        <w:rPr>
          <w:rFonts w:ascii="Arial" w:eastAsia="MS Mincho" w:hAnsi="Arial" w:cs="Arial"/>
          <w:kern w:val="24"/>
          <w:szCs w:val="24"/>
          <w:lang w:val="hr-HR" w:eastAsia="fr-FR"/>
        </w:rPr>
        <w:t>izdanja obveznica Federacija će uzimati u obzir</w:t>
      </w:r>
      <w:r w:rsidR="00ED768D" w:rsidRPr="00B63B7A">
        <w:rPr>
          <w:rFonts w:ascii="Arial" w:eastAsia="MS Mincho" w:hAnsi="Arial" w:cs="Arial"/>
          <w:kern w:val="24"/>
          <w:szCs w:val="24"/>
          <w:lang w:val="hr-HR" w:eastAsia="fr-FR"/>
        </w:rPr>
        <w:t xml:space="preserve"> interes</w:t>
      </w:r>
      <w:r w:rsidR="00665414" w:rsidRPr="00B63B7A">
        <w:rPr>
          <w:rFonts w:ascii="Arial" w:eastAsia="MS Mincho" w:hAnsi="Arial" w:cs="Arial"/>
          <w:kern w:val="24"/>
          <w:szCs w:val="24"/>
          <w:lang w:val="hr-HR" w:eastAsia="fr-FR"/>
        </w:rPr>
        <w:t>e</w:t>
      </w:r>
      <w:r w:rsidR="00ED768D" w:rsidRPr="00B63B7A">
        <w:rPr>
          <w:rFonts w:ascii="Arial" w:eastAsia="MS Mincho" w:hAnsi="Arial" w:cs="Arial"/>
          <w:kern w:val="24"/>
          <w:szCs w:val="24"/>
          <w:lang w:val="hr-HR" w:eastAsia="fr-FR"/>
        </w:rPr>
        <w:t xml:space="preserve"> investitora</w:t>
      </w:r>
      <w:r w:rsidR="00F81139" w:rsidRPr="00B63B7A">
        <w:rPr>
          <w:rFonts w:ascii="Arial" w:eastAsia="MS Mincho" w:hAnsi="Arial" w:cs="Arial"/>
          <w:kern w:val="24"/>
          <w:szCs w:val="24"/>
          <w:lang w:val="hr-HR" w:eastAsia="fr-FR"/>
        </w:rPr>
        <w:t>,</w:t>
      </w:r>
      <w:r w:rsidR="00ED768D" w:rsidRPr="00B63B7A">
        <w:rPr>
          <w:rFonts w:ascii="Arial" w:eastAsia="MS Mincho" w:hAnsi="Arial" w:cs="Arial"/>
          <w:kern w:val="24"/>
          <w:szCs w:val="24"/>
          <w:lang w:val="hr-HR" w:eastAsia="fr-FR"/>
        </w:rPr>
        <w:t xml:space="preserve"> </w:t>
      </w:r>
      <w:r w:rsidR="00665414" w:rsidRPr="00B63B7A">
        <w:rPr>
          <w:rFonts w:ascii="Arial" w:eastAsia="MS Mincho" w:hAnsi="Arial" w:cs="Arial"/>
          <w:kern w:val="24"/>
          <w:szCs w:val="24"/>
          <w:lang w:val="hr-HR" w:eastAsia="fr-FR"/>
        </w:rPr>
        <w:t xml:space="preserve">ali će </w:t>
      </w:r>
      <w:r w:rsidR="00ED768D" w:rsidRPr="00B63B7A">
        <w:rPr>
          <w:rFonts w:ascii="Arial" w:eastAsia="MS Mincho" w:hAnsi="Arial" w:cs="Arial"/>
          <w:kern w:val="24"/>
          <w:szCs w:val="24"/>
          <w:lang w:val="hr-HR" w:eastAsia="fr-FR"/>
        </w:rPr>
        <w:t>nastojat</w:t>
      </w:r>
      <w:r w:rsidR="00665414" w:rsidRPr="00B63B7A">
        <w:rPr>
          <w:rFonts w:ascii="Arial" w:eastAsia="MS Mincho" w:hAnsi="Arial" w:cs="Arial"/>
          <w:kern w:val="24"/>
          <w:szCs w:val="24"/>
          <w:lang w:val="hr-HR" w:eastAsia="fr-FR"/>
        </w:rPr>
        <w:t>i</w:t>
      </w:r>
      <w:r w:rsidR="00ED768D" w:rsidRPr="00B63B7A">
        <w:rPr>
          <w:rFonts w:ascii="Arial" w:eastAsia="MS Mincho" w:hAnsi="Arial" w:cs="Arial"/>
          <w:kern w:val="24"/>
          <w:szCs w:val="24"/>
          <w:lang w:val="hr-HR" w:eastAsia="fr-FR"/>
        </w:rPr>
        <w:t xml:space="preserve"> </w:t>
      </w:r>
      <w:r w:rsidR="005336FE" w:rsidRPr="00B63B7A">
        <w:rPr>
          <w:rFonts w:ascii="Arial" w:eastAsia="MS Mincho" w:hAnsi="Arial" w:cs="Arial"/>
          <w:kern w:val="24"/>
          <w:szCs w:val="24"/>
          <w:lang w:val="hr-HR" w:eastAsia="fr-FR"/>
        </w:rPr>
        <w:t xml:space="preserve">produžiti </w:t>
      </w:r>
      <w:r w:rsidR="00665414" w:rsidRPr="00B63B7A">
        <w:rPr>
          <w:rFonts w:ascii="Arial" w:eastAsia="MS Mincho" w:hAnsi="Arial" w:cs="Arial"/>
          <w:kern w:val="24"/>
          <w:szCs w:val="24"/>
          <w:lang w:val="hr-HR" w:eastAsia="fr-FR"/>
        </w:rPr>
        <w:t xml:space="preserve">prosječno vrijeme </w:t>
      </w:r>
      <w:r w:rsidR="00AF7CAC" w:rsidRPr="00B63B7A">
        <w:rPr>
          <w:rFonts w:ascii="Arial" w:eastAsia="MS Mincho" w:hAnsi="Arial" w:cs="Arial"/>
          <w:kern w:val="24"/>
          <w:szCs w:val="24"/>
          <w:lang w:val="hr-HR" w:eastAsia="fr-FR"/>
        </w:rPr>
        <w:t>dospijeća</w:t>
      </w:r>
      <w:r w:rsidR="00665414" w:rsidRPr="00B63B7A">
        <w:rPr>
          <w:rFonts w:ascii="Arial" w:eastAsia="MS Mincho" w:hAnsi="Arial" w:cs="Arial"/>
          <w:kern w:val="24"/>
          <w:szCs w:val="24"/>
          <w:lang w:val="hr-HR" w:eastAsia="fr-FR"/>
        </w:rPr>
        <w:t xml:space="preserve"> </w:t>
      </w:r>
      <w:r w:rsidR="005336FE" w:rsidRPr="00B63B7A">
        <w:rPr>
          <w:rFonts w:ascii="Arial" w:eastAsia="MS Mincho" w:hAnsi="Arial" w:cs="Arial"/>
          <w:kern w:val="24"/>
          <w:szCs w:val="24"/>
          <w:lang w:val="hr-HR" w:eastAsia="fr-FR"/>
        </w:rPr>
        <w:t>vrijednosnih papira izdavanjem</w:t>
      </w:r>
      <w:r w:rsidR="00ED768D" w:rsidRPr="00B63B7A">
        <w:rPr>
          <w:rFonts w:ascii="Arial" w:eastAsia="MS Mincho" w:hAnsi="Arial" w:cs="Arial"/>
          <w:kern w:val="24"/>
          <w:szCs w:val="24"/>
          <w:lang w:val="hr-HR" w:eastAsia="fr-FR"/>
        </w:rPr>
        <w:t xml:space="preserve"> obveznic</w:t>
      </w:r>
      <w:r w:rsidRPr="00B63B7A">
        <w:rPr>
          <w:rFonts w:ascii="Arial" w:eastAsia="MS Mincho" w:hAnsi="Arial" w:cs="Arial"/>
          <w:kern w:val="24"/>
          <w:szCs w:val="24"/>
          <w:lang w:val="hr-HR" w:eastAsia="fr-FR"/>
        </w:rPr>
        <w:t>a</w:t>
      </w:r>
      <w:r w:rsidR="00ED768D" w:rsidRPr="00B63B7A">
        <w:rPr>
          <w:rFonts w:ascii="Arial" w:eastAsia="MS Mincho" w:hAnsi="Arial" w:cs="Arial"/>
          <w:kern w:val="24"/>
          <w:szCs w:val="24"/>
          <w:lang w:val="hr-HR" w:eastAsia="fr-FR"/>
        </w:rPr>
        <w:t xml:space="preserve"> </w:t>
      </w:r>
      <w:r w:rsidR="003E2B23">
        <w:rPr>
          <w:rFonts w:ascii="Arial" w:eastAsia="MS Mincho" w:hAnsi="Arial" w:cs="Arial"/>
          <w:kern w:val="24"/>
          <w:szCs w:val="24"/>
          <w:lang w:val="hr-HR" w:eastAsia="fr-FR"/>
        </w:rPr>
        <w:t>s</w:t>
      </w:r>
      <w:r w:rsidR="00D945EA" w:rsidRPr="00B63B7A">
        <w:rPr>
          <w:rFonts w:ascii="Arial" w:eastAsia="MS Mincho" w:hAnsi="Arial" w:cs="Arial"/>
          <w:kern w:val="24"/>
          <w:szCs w:val="24"/>
          <w:lang w:val="hr-HR" w:eastAsia="fr-FR"/>
        </w:rPr>
        <w:t xml:space="preserve"> dos</w:t>
      </w:r>
      <w:r w:rsidR="00167596" w:rsidRPr="00B63B7A">
        <w:rPr>
          <w:rFonts w:ascii="Arial" w:eastAsia="MS Mincho" w:hAnsi="Arial" w:cs="Arial"/>
          <w:kern w:val="24"/>
          <w:szCs w:val="24"/>
          <w:lang w:val="hr-HR" w:eastAsia="fr-FR"/>
        </w:rPr>
        <w:t>pi</w:t>
      </w:r>
      <w:r w:rsidR="005336FE" w:rsidRPr="00B63B7A">
        <w:rPr>
          <w:rFonts w:ascii="Arial" w:eastAsia="MS Mincho" w:hAnsi="Arial" w:cs="Arial"/>
          <w:kern w:val="24"/>
          <w:szCs w:val="24"/>
          <w:lang w:val="hr-HR" w:eastAsia="fr-FR"/>
        </w:rPr>
        <w:t>jećem</w:t>
      </w:r>
      <w:r w:rsidR="00ED768D" w:rsidRPr="00B63B7A">
        <w:rPr>
          <w:rFonts w:ascii="Arial" w:eastAsia="MS Mincho" w:hAnsi="Arial" w:cs="Arial"/>
          <w:kern w:val="24"/>
          <w:szCs w:val="24"/>
          <w:lang w:val="hr-HR" w:eastAsia="fr-FR"/>
        </w:rPr>
        <w:t xml:space="preserve"> </w:t>
      </w:r>
      <w:r w:rsidR="005336FE" w:rsidRPr="00B63B7A">
        <w:rPr>
          <w:rFonts w:ascii="Arial" w:eastAsia="MS Mincho" w:hAnsi="Arial" w:cs="Arial"/>
          <w:kern w:val="24"/>
          <w:szCs w:val="24"/>
          <w:lang w:val="hr-HR" w:eastAsia="fr-FR"/>
        </w:rPr>
        <w:t>dužim</w:t>
      </w:r>
      <w:r w:rsidR="00B85DE7" w:rsidRPr="00B63B7A">
        <w:rPr>
          <w:rFonts w:ascii="Arial" w:eastAsia="MS Mincho" w:hAnsi="Arial" w:cs="Arial"/>
          <w:kern w:val="24"/>
          <w:szCs w:val="24"/>
          <w:lang w:val="hr-HR" w:eastAsia="fr-FR"/>
        </w:rPr>
        <w:t xml:space="preserve"> </w:t>
      </w:r>
      <w:r w:rsidR="00ED768D" w:rsidRPr="00B63B7A">
        <w:rPr>
          <w:rFonts w:ascii="Arial" w:eastAsia="MS Mincho" w:hAnsi="Arial" w:cs="Arial"/>
          <w:kern w:val="24"/>
          <w:szCs w:val="24"/>
          <w:lang w:val="hr-HR" w:eastAsia="fr-FR"/>
        </w:rPr>
        <w:t xml:space="preserve">od </w:t>
      </w:r>
      <w:r w:rsidR="00665414" w:rsidRPr="00B63B7A">
        <w:rPr>
          <w:rFonts w:ascii="Arial" w:eastAsia="MS Mincho" w:hAnsi="Arial" w:cs="Arial"/>
          <w:kern w:val="24"/>
          <w:szCs w:val="24"/>
          <w:lang w:val="hr-HR" w:eastAsia="fr-FR"/>
        </w:rPr>
        <w:t>pet</w:t>
      </w:r>
      <w:r w:rsidR="00017C6F" w:rsidRPr="00B63B7A">
        <w:rPr>
          <w:rFonts w:ascii="Arial" w:eastAsia="MS Mincho" w:hAnsi="Arial" w:cs="Arial"/>
          <w:kern w:val="24"/>
          <w:szCs w:val="24"/>
          <w:lang w:val="hr-HR" w:eastAsia="fr-FR"/>
        </w:rPr>
        <w:t xml:space="preserve"> </w:t>
      </w:r>
      <w:r w:rsidRPr="00B63B7A">
        <w:rPr>
          <w:rFonts w:ascii="Arial" w:eastAsia="MS Mincho" w:hAnsi="Arial" w:cs="Arial"/>
          <w:kern w:val="24"/>
          <w:szCs w:val="24"/>
          <w:lang w:val="hr-HR" w:eastAsia="fr-FR"/>
        </w:rPr>
        <w:t>godina</w:t>
      </w:r>
      <w:r w:rsidR="00665414" w:rsidRPr="00B63B7A">
        <w:rPr>
          <w:rFonts w:ascii="Arial" w:eastAsia="MS Mincho" w:hAnsi="Arial" w:cs="Arial"/>
          <w:kern w:val="24"/>
          <w:szCs w:val="24"/>
          <w:lang w:val="hr-HR" w:eastAsia="fr-FR"/>
        </w:rPr>
        <w:t>.</w:t>
      </w:r>
      <w:r w:rsidR="00ED768D" w:rsidRPr="00B63B7A">
        <w:rPr>
          <w:rFonts w:ascii="Arial" w:eastAsia="MS Mincho" w:hAnsi="Arial" w:cs="Arial"/>
          <w:kern w:val="24"/>
          <w:szCs w:val="24"/>
          <w:lang w:val="hr-HR" w:eastAsia="fr-FR"/>
        </w:rPr>
        <w:t xml:space="preserve"> </w:t>
      </w:r>
    </w:p>
    <w:p w14:paraId="6A89821A" w14:textId="77777777" w:rsidR="003E2B23" w:rsidRDefault="003E2B23">
      <w:pPr>
        <w:pStyle w:val="NoSpacing"/>
        <w:spacing w:line="276" w:lineRule="auto"/>
        <w:ind w:firstLine="426"/>
        <w:jc w:val="both"/>
        <w:rPr>
          <w:rFonts w:ascii="Arial" w:eastAsia="MS Mincho" w:hAnsi="Arial" w:cs="Arial"/>
          <w:kern w:val="24"/>
          <w:szCs w:val="24"/>
          <w:lang w:val="hr-HR" w:eastAsia="fr-FR"/>
        </w:rPr>
      </w:pPr>
    </w:p>
    <w:p w14:paraId="71A59022" w14:textId="256338DF" w:rsidR="00ED768D" w:rsidRPr="00B63B7A" w:rsidRDefault="00186026">
      <w:pPr>
        <w:pStyle w:val="NoSpacing"/>
        <w:spacing w:line="276" w:lineRule="auto"/>
        <w:ind w:firstLine="426"/>
        <w:jc w:val="both"/>
        <w:rPr>
          <w:rFonts w:ascii="Arial" w:eastAsia="MS Mincho" w:hAnsi="Arial" w:cs="Arial"/>
          <w:kern w:val="24"/>
          <w:szCs w:val="24"/>
          <w:lang w:val="hr-HR" w:eastAsia="fr-FR"/>
        </w:rPr>
      </w:pPr>
      <w:r w:rsidRPr="00B63B7A">
        <w:rPr>
          <w:rFonts w:ascii="Arial" w:eastAsia="MS Mincho" w:hAnsi="Arial" w:cs="Arial"/>
          <w:kern w:val="24"/>
          <w:szCs w:val="24"/>
          <w:lang w:val="hr-HR" w:eastAsia="fr-FR"/>
        </w:rPr>
        <w:t>A</w:t>
      </w:r>
      <w:r w:rsidR="00ED768D" w:rsidRPr="00B63B7A">
        <w:rPr>
          <w:rFonts w:ascii="Arial" w:eastAsia="MS Mincho" w:hAnsi="Arial" w:cs="Arial"/>
          <w:kern w:val="24"/>
          <w:szCs w:val="24"/>
          <w:lang w:val="hr-HR" w:eastAsia="fr-FR"/>
        </w:rPr>
        <w:t>ukcije trž</w:t>
      </w:r>
      <w:r w:rsidR="00894709" w:rsidRPr="00B63B7A">
        <w:rPr>
          <w:rFonts w:ascii="Arial" w:eastAsia="MS Mincho" w:hAnsi="Arial" w:cs="Arial"/>
          <w:kern w:val="24"/>
          <w:szCs w:val="24"/>
          <w:lang w:val="hr-HR" w:eastAsia="fr-FR"/>
        </w:rPr>
        <w:t>iš</w:t>
      </w:r>
      <w:r w:rsidR="00ED768D" w:rsidRPr="00B63B7A">
        <w:rPr>
          <w:rFonts w:ascii="Arial" w:eastAsia="MS Mincho" w:hAnsi="Arial" w:cs="Arial"/>
          <w:kern w:val="24"/>
          <w:szCs w:val="24"/>
          <w:lang w:val="hr-HR" w:eastAsia="fr-FR"/>
        </w:rPr>
        <w:t>nih vrijednosnih papira F</w:t>
      </w:r>
      <w:r w:rsidR="00F81139" w:rsidRPr="00B63B7A">
        <w:rPr>
          <w:rFonts w:ascii="Arial" w:eastAsia="MS Mincho" w:hAnsi="Arial" w:cs="Arial"/>
          <w:kern w:val="24"/>
          <w:szCs w:val="24"/>
          <w:lang w:val="hr-HR" w:eastAsia="fr-FR"/>
        </w:rPr>
        <w:t xml:space="preserve">ederacije </w:t>
      </w:r>
      <w:r w:rsidR="003E2B23">
        <w:rPr>
          <w:rFonts w:ascii="Arial" w:eastAsia="MS Mincho" w:hAnsi="Arial" w:cs="Arial"/>
          <w:kern w:val="24"/>
          <w:szCs w:val="24"/>
          <w:lang w:val="hr-HR" w:eastAsia="fr-FR"/>
        </w:rPr>
        <w:t>BiH održavaju se u skladu s</w:t>
      </w:r>
      <w:r w:rsidR="00ED768D" w:rsidRPr="00B63B7A">
        <w:rPr>
          <w:rFonts w:ascii="Arial" w:eastAsia="MS Mincho" w:hAnsi="Arial" w:cs="Arial"/>
          <w:kern w:val="24"/>
          <w:szCs w:val="24"/>
          <w:lang w:val="hr-HR" w:eastAsia="fr-FR"/>
        </w:rPr>
        <w:t xml:space="preserve"> godišnjim indikativnim kalendarom aukcija, koj</w:t>
      </w:r>
      <w:r w:rsidR="00B85DE7" w:rsidRPr="00B63B7A">
        <w:rPr>
          <w:rFonts w:ascii="Arial" w:eastAsia="MS Mincho" w:hAnsi="Arial" w:cs="Arial"/>
          <w:kern w:val="24"/>
          <w:szCs w:val="24"/>
          <w:lang w:val="hr-HR" w:eastAsia="fr-FR"/>
        </w:rPr>
        <w:t>i</w:t>
      </w:r>
      <w:r w:rsidR="00ED768D" w:rsidRPr="00B63B7A">
        <w:rPr>
          <w:rFonts w:ascii="Arial" w:eastAsia="MS Mincho" w:hAnsi="Arial" w:cs="Arial"/>
          <w:kern w:val="24"/>
          <w:szCs w:val="24"/>
          <w:lang w:val="hr-HR" w:eastAsia="fr-FR"/>
        </w:rPr>
        <w:t xml:space="preserve"> </w:t>
      </w:r>
      <w:r w:rsidR="00280357" w:rsidRPr="00B63B7A">
        <w:rPr>
          <w:rFonts w:ascii="Arial" w:eastAsia="MS Mincho" w:hAnsi="Arial" w:cs="Arial"/>
          <w:kern w:val="24"/>
          <w:szCs w:val="24"/>
          <w:lang w:val="hr-HR" w:eastAsia="fr-FR"/>
        </w:rPr>
        <w:t xml:space="preserve">Ministarstvo </w:t>
      </w:r>
      <w:r w:rsidR="009A78EF">
        <w:rPr>
          <w:rFonts w:ascii="Arial" w:eastAsia="MS Mincho" w:hAnsi="Arial" w:cs="Arial"/>
          <w:kern w:val="24"/>
          <w:szCs w:val="24"/>
          <w:lang w:val="hr-HR" w:eastAsia="fr-FR"/>
        </w:rPr>
        <w:t>financ</w:t>
      </w:r>
      <w:r w:rsidR="00280357" w:rsidRPr="00B63B7A">
        <w:rPr>
          <w:rFonts w:ascii="Arial" w:eastAsia="MS Mincho" w:hAnsi="Arial" w:cs="Arial"/>
          <w:kern w:val="24"/>
          <w:szCs w:val="24"/>
          <w:lang w:val="hr-HR" w:eastAsia="fr-FR"/>
        </w:rPr>
        <w:t>ija</w:t>
      </w:r>
      <w:r w:rsidR="00ED768D" w:rsidRPr="00B63B7A">
        <w:rPr>
          <w:rFonts w:ascii="Arial" w:eastAsia="MS Mincho" w:hAnsi="Arial" w:cs="Arial"/>
          <w:kern w:val="24"/>
          <w:szCs w:val="24"/>
          <w:lang w:val="hr-HR" w:eastAsia="fr-FR"/>
        </w:rPr>
        <w:t xml:space="preserve"> objavljuje na svojoj </w:t>
      </w:r>
      <w:r w:rsidR="0019781C" w:rsidRPr="00B63B7A">
        <w:rPr>
          <w:rFonts w:ascii="Arial" w:eastAsia="MS Mincho" w:hAnsi="Arial" w:cs="Arial"/>
          <w:kern w:val="24"/>
          <w:szCs w:val="24"/>
          <w:lang w:val="hr-HR" w:eastAsia="fr-FR"/>
        </w:rPr>
        <w:t>web</w:t>
      </w:r>
      <w:r w:rsidR="00B85DE7" w:rsidRPr="00B63B7A">
        <w:rPr>
          <w:rFonts w:ascii="Arial" w:eastAsia="MS Mincho" w:hAnsi="Arial" w:cs="Arial"/>
          <w:kern w:val="24"/>
          <w:szCs w:val="24"/>
          <w:lang w:val="hr-HR" w:eastAsia="fr-FR"/>
        </w:rPr>
        <w:t xml:space="preserve"> </w:t>
      </w:r>
      <w:r w:rsidRPr="00B63B7A">
        <w:rPr>
          <w:rFonts w:ascii="Arial" w:eastAsia="MS Mincho" w:hAnsi="Arial" w:cs="Arial"/>
          <w:kern w:val="24"/>
          <w:szCs w:val="24"/>
          <w:lang w:val="hr-HR" w:eastAsia="fr-FR"/>
        </w:rPr>
        <w:t xml:space="preserve">stranici, osim u slučaju kada zbog zadovoljavajuće likvidnosti jedinstvenog računa trezora </w:t>
      </w:r>
      <w:r w:rsidR="00D311D5" w:rsidRPr="00B63B7A">
        <w:rPr>
          <w:rFonts w:ascii="Arial" w:eastAsia="MS Mincho" w:hAnsi="Arial" w:cs="Arial"/>
          <w:kern w:val="24"/>
          <w:szCs w:val="24"/>
          <w:lang w:val="hr-HR" w:eastAsia="fr-FR"/>
        </w:rPr>
        <w:t>Ministarstv</w:t>
      </w:r>
      <w:r w:rsidR="003720F7">
        <w:rPr>
          <w:rFonts w:ascii="Arial" w:eastAsia="MS Mincho" w:hAnsi="Arial" w:cs="Arial"/>
          <w:kern w:val="24"/>
          <w:szCs w:val="24"/>
          <w:lang w:val="hr-HR" w:eastAsia="fr-FR"/>
        </w:rPr>
        <w:t>o</w:t>
      </w:r>
      <w:r w:rsidR="00D311D5" w:rsidRPr="00B63B7A">
        <w:rPr>
          <w:rFonts w:ascii="Arial" w:eastAsia="MS Mincho" w:hAnsi="Arial" w:cs="Arial"/>
          <w:kern w:val="24"/>
          <w:szCs w:val="24"/>
          <w:lang w:val="hr-HR" w:eastAsia="fr-FR"/>
        </w:rPr>
        <w:t xml:space="preserve"> </w:t>
      </w:r>
      <w:r w:rsidR="009A78EF">
        <w:rPr>
          <w:rFonts w:ascii="Arial" w:eastAsia="MS Mincho" w:hAnsi="Arial" w:cs="Arial"/>
          <w:kern w:val="24"/>
          <w:szCs w:val="24"/>
          <w:lang w:val="hr-HR" w:eastAsia="fr-FR"/>
        </w:rPr>
        <w:t>financ</w:t>
      </w:r>
      <w:r w:rsidR="00D311D5" w:rsidRPr="00B63B7A">
        <w:rPr>
          <w:rFonts w:ascii="Arial" w:eastAsia="MS Mincho" w:hAnsi="Arial" w:cs="Arial"/>
          <w:kern w:val="24"/>
          <w:szCs w:val="24"/>
          <w:lang w:val="hr-HR" w:eastAsia="fr-FR"/>
        </w:rPr>
        <w:t>ija</w:t>
      </w:r>
      <w:r w:rsidRPr="00B63B7A">
        <w:rPr>
          <w:rFonts w:ascii="Arial" w:eastAsia="MS Mincho" w:hAnsi="Arial" w:cs="Arial"/>
          <w:kern w:val="24"/>
          <w:szCs w:val="24"/>
          <w:lang w:val="hr-HR" w:eastAsia="fr-FR"/>
        </w:rPr>
        <w:t xml:space="preserve"> otkaže najavljene aukcije.</w:t>
      </w:r>
      <w:r w:rsidR="00ED768D" w:rsidRPr="00B63B7A">
        <w:rPr>
          <w:rFonts w:ascii="Arial" w:eastAsia="MS Mincho" w:hAnsi="Arial" w:cs="Arial"/>
          <w:kern w:val="24"/>
          <w:szCs w:val="24"/>
          <w:lang w:val="hr-HR" w:eastAsia="fr-FR"/>
        </w:rPr>
        <w:t xml:space="preserve"> </w:t>
      </w:r>
    </w:p>
    <w:p w14:paraId="77975A77" w14:textId="77777777" w:rsidR="00ED768D" w:rsidRPr="00AF7CAC" w:rsidRDefault="00ED768D" w:rsidP="00ED768D">
      <w:pPr>
        <w:pStyle w:val="NoSpacing"/>
        <w:jc w:val="both"/>
        <w:rPr>
          <w:rFonts w:ascii="Arial" w:eastAsia="MS Mincho" w:hAnsi="Arial" w:cs="Arial"/>
          <w:kern w:val="24"/>
          <w:sz w:val="14"/>
          <w:szCs w:val="24"/>
          <w:lang w:val="hr-HR" w:eastAsia="fr-FR"/>
        </w:rPr>
      </w:pPr>
    </w:p>
    <w:p w14:paraId="047679A6" w14:textId="2CC3AB2E" w:rsidR="00ED768D" w:rsidRDefault="00ED768D" w:rsidP="00154166">
      <w:pPr>
        <w:pStyle w:val="NoSpacing"/>
        <w:jc w:val="both"/>
        <w:rPr>
          <w:rFonts w:ascii="Arial" w:eastAsia="MS Mincho" w:hAnsi="Arial" w:cs="Arial"/>
          <w:kern w:val="24"/>
          <w:szCs w:val="24"/>
          <w:lang w:val="hr-HR" w:eastAsia="fr-FR"/>
        </w:rPr>
      </w:pPr>
      <w:r w:rsidRPr="00B63B7A">
        <w:rPr>
          <w:rFonts w:ascii="Arial" w:eastAsia="MS Mincho" w:hAnsi="Arial" w:cs="Arial"/>
          <w:kern w:val="24"/>
          <w:szCs w:val="24"/>
          <w:lang w:val="hr-HR" w:eastAsia="fr-FR"/>
        </w:rPr>
        <w:t>Tab</w:t>
      </w:r>
      <w:r w:rsidR="003E2B23">
        <w:rPr>
          <w:rFonts w:ascii="Arial" w:eastAsia="MS Mincho" w:hAnsi="Arial" w:cs="Arial"/>
          <w:kern w:val="24"/>
          <w:szCs w:val="24"/>
          <w:lang w:val="hr-HR" w:eastAsia="fr-FR"/>
        </w:rPr>
        <w:t>lica</w:t>
      </w:r>
      <w:r w:rsidRPr="00B63B7A">
        <w:rPr>
          <w:rFonts w:ascii="Arial" w:eastAsia="MS Mincho" w:hAnsi="Arial" w:cs="Arial"/>
          <w:kern w:val="24"/>
          <w:szCs w:val="24"/>
          <w:lang w:val="hr-HR" w:eastAsia="fr-FR"/>
        </w:rPr>
        <w:t xml:space="preserve"> </w:t>
      </w:r>
      <w:r w:rsidR="005A0B60" w:rsidRPr="00B63B7A">
        <w:rPr>
          <w:rFonts w:ascii="Arial" w:eastAsia="MS Mincho" w:hAnsi="Arial" w:cs="Arial"/>
          <w:kern w:val="24"/>
          <w:szCs w:val="24"/>
          <w:lang w:val="hr-HR" w:eastAsia="fr-FR"/>
        </w:rPr>
        <w:t>9</w:t>
      </w:r>
      <w:r w:rsidRPr="00B63B7A">
        <w:rPr>
          <w:rFonts w:ascii="Arial" w:eastAsia="MS Mincho" w:hAnsi="Arial" w:cs="Arial"/>
          <w:kern w:val="24"/>
          <w:szCs w:val="24"/>
          <w:lang w:val="hr-HR" w:eastAsia="fr-FR"/>
        </w:rPr>
        <w:t xml:space="preserve">. </w:t>
      </w:r>
      <w:r w:rsidR="00F81139" w:rsidRPr="00B63B7A">
        <w:rPr>
          <w:rFonts w:ascii="Arial" w:eastAsia="MS Mincho" w:hAnsi="Arial" w:cs="Arial"/>
          <w:kern w:val="24"/>
          <w:szCs w:val="24"/>
          <w:lang w:val="hr-HR" w:eastAsia="fr-FR"/>
        </w:rPr>
        <w:t>Struktura, troškovi i rizici d</w:t>
      </w:r>
      <w:r w:rsidRPr="00B63B7A">
        <w:rPr>
          <w:rFonts w:ascii="Arial" w:eastAsia="MS Mincho" w:hAnsi="Arial" w:cs="Arial"/>
          <w:kern w:val="24"/>
          <w:szCs w:val="24"/>
          <w:lang w:val="hr-HR" w:eastAsia="fr-FR"/>
        </w:rPr>
        <w:t>omaći</w:t>
      </w:r>
      <w:r w:rsidR="00F81139" w:rsidRPr="00B63B7A">
        <w:rPr>
          <w:rFonts w:ascii="Arial" w:eastAsia="MS Mincho" w:hAnsi="Arial" w:cs="Arial"/>
          <w:kern w:val="24"/>
          <w:szCs w:val="24"/>
          <w:lang w:val="hr-HR" w:eastAsia="fr-FR"/>
        </w:rPr>
        <w:t>h</w:t>
      </w:r>
      <w:r w:rsidRPr="00B63B7A">
        <w:rPr>
          <w:rFonts w:ascii="Arial" w:eastAsia="MS Mincho" w:hAnsi="Arial" w:cs="Arial"/>
          <w:kern w:val="24"/>
          <w:szCs w:val="24"/>
          <w:lang w:val="hr-HR" w:eastAsia="fr-FR"/>
        </w:rPr>
        <w:t xml:space="preserve"> izvor</w:t>
      </w:r>
      <w:r w:rsidR="00F81139" w:rsidRPr="00B63B7A">
        <w:rPr>
          <w:rFonts w:ascii="Arial" w:eastAsia="MS Mincho" w:hAnsi="Arial" w:cs="Arial"/>
          <w:kern w:val="24"/>
          <w:szCs w:val="24"/>
          <w:lang w:val="hr-HR" w:eastAsia="fr-FR"/>
        </w:rPr>
        <w:t>a</w:t>
      </w:r>
      <w:r w:rsidRPr="00B63B7A">
        <w:rPr>
          <w:rFonts w:ascii="Arial" w:eastAsia="MS Mincho" w:hAnsi="Arial" w:cs="Arial"/>
          <w:kern w:val="24"/>
          <w:szCs w:val="24"/>
          <w:lang w:val="hr-HR" w:eastAsia="fr-FR"/>
        </w:rPr>
        <w:t xml:space="preserve"> </w:t>
      </w:r>
      <w:r w:rsidR="009A78EF">
        <w:rPr>
          <w:rFonts w:ascii="Arial" w:eastAsia="MS Mincho" w:hAnsi="Arial" w:cs="Arial"/>
          <w:kern w:val="24"/>
          <w:szCs w:val="24"/>
          <w:lang w:val="hr-HR" w:eastAsia="fr-FR"/>
        </w:rPr>
        <w:t>financ</w:t>
      </w:r>
      <w:r w:rsidRPr="00B63B7A">
        <w:rPr>
          <w:rFonts w:ascii="Arial" w:eastAsia="MS Mincho" w:hAnsi="Arial" w:cs="Arial"/>
          <w:kern w:val="24"/>
          <w:szCs w:val="24"/>
          <w:lang w:val="hr-HR" w:eastAsia="fr-FR"/>
        </w:rPr>
        <w:t>iranja</w:t>
      </w:r>
    </w:p>
    <w:p w14:paraId="698AC3FF" w14:textId="77777777" w:rsidR="003E2B23" w:rsidRDefault="003E2B23" w:rsidP="00154166">
      <w:pPr>
        <w:pStyle w:val="NoSpacing"/>
        <w:jc w:val="both"/>
        <w:rPr>
          <w:rFonts w:ascii="Arial" w:eastAsia="MS Mincho" w:hAnsi="Arial" w:cs="Arial"/>
          <w:kern w:val="24"/>
          <w:szCs w:val="24"/>
          <w:lang w:val="hr-HR" w:eastAsia="fr-FR"/>
        </w:rPr>
      </w:pPr>
    </w:p>
    <w:tbl>
      <w:tblPr>
        <w:tblStyle w:val="GridTable4-Accent11"/>
        <w:tblpPr w:leftFromText="180" w:rightFromText="180" w:vertAnchor="text" w:tblpY="50"/>
        <w:tblW w:w="935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271"/>
        <w:gridCol w:w="3544"/>
        <w:gridCol w:w="4536"/>
      </w:tblGrid>
      <w:tr w:rsidR="005B6230" w:rsidRPr="00AF7CAC" w14:paraId="0DEAA8C3" w14:textId="77777777" w:rsidTr="005B623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2C7DF0D0" w14:textId="77777777" w:rsidR="005B6230" w:rsidRPr="00B63B7A" w:rsidRDefault="005B6230" w:rsidP="005B6230">
            <w:pPr>
              <w:pStyle w:val="NoSpacing"/>
              <w:jc w:val="center"/>
              <w:rPr>
                <w:rFonts w:ascii="Arial Narrow" w:hAnsi="Arial Narrow" w:cs="Arial"/>
                <w:b w:val="0"/>
                <w:i/>
                <w:color w:val="auto"/>
                <w:sz w:val="20"/>
                <w:szCs w:val="20"/>
                <w:lang w:val="hr-HR"/>
              </w:rPr>
            </w:pPr>
            <w:r w:rsidRPr="00B63B7A">
              <w:rPr>
                <w:rFonts w:ascii="Arial Narrow" w:hAnsi="Arial Narrow" w:cs="Arial"/>
                <w:b w:val="0"/>
                <w:i/>
                <w:color w:val="auto"/>
                <w:sz w:val="20"/>
                <w:szCs w:val="20"/>
                <w:lang w:val="hr-HR"/>
              </w:rPr>
              <w:t>OPIS</w:t>
            </w:r>
          </w:p>
        </w:tc>
        <w:tc>
          <w:tcPr>
            <w:tcW w:w="3544" w:type="dxa"/>
            <w:shd w:val="clear" w:color="auto" w:fill="auto"/>
            <w:vAlign w:val="center"/>
          </w:tcPr>
          <w:p w14:paraId="768C152E" w14:textId="77777777" w:rsidR="005B6230" w:rsidRPr="00B63B7A" w:rsidRDefault="005B6230" w:rsidP="005B6230">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i/>
                <w:color w:val="auto"/>
                <w:sz w:val="20"/>
                <w:szCs w:val="20"/>
                <w:lang w:val="hr-HR"/>
              </w:rPr>
            </w:pPr>
            <w:r w:rsidRPr="00B63B7A">
              <w:rPr>
                <w:rFonts w:ascii="Arial Narrow" w:hAnsi="Arial Narrow" w:cs="Arial"/>
                <w:b w:val="0"/>
                <w:i/>
                <w:color w:val="auto"/>
                <w:sz w:val="20"/>
                <w:szCs w:val="20"/>
                <w:lang w:val="hr-HR"/>
              </w:rPr>
              <w:t>Trezorski zapisi</w:t>
            </w:r>
          </w:p>
        </w:tc>
        <w:tc>
          <w:tcPr>
            <w:tcW w:w="4536" w:type="dxa"/>
            <w:shd w:val="clear" w:color="auto" w:fill="auto"/>
            <w:vAlign w:val="center"/>
          </w:tcPr>
          <w:p w14:paraId="771579B2" w14:textId="77777777" w:rsidR="005B6230" w:rsidRPr="00B63B7A" w:rsidRDefault="005B6230" w:rsidP="005B6230">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i/>
                <w:color w:val="auto"/>
                <w:sz w:val="20"/>
                <w:szCs w:val="20"/>
                <w:lang w:val="hr-HR"/>
              </w:rPr>
            </w:pPr>
            <w:r w:rsidRPr="00B63B7A">
              <w:rPr>
                <w:rFonts w:ascii="Arial Narrow" w:hAnsi="Arial Narrow" w:cs="Arial"/>
                <w:b w:val="0"/>
                <w:i/>
                <w:color w:val="auto"/>
                <w:sz w:val="20"/>
                <w:szCs w:val="20"/>
                <w:lang w:val="hr-HR"/>
              </w:rPr>
              <w:t>Obveznice FBiH</w:t>
            </w:r>
          </w:p>
        </w:tc>
      </w:tr>
      <w:tr w:rsidR="005B6230" w:rsidRPr="00AF7CAC" w14:paraId="43E23CD5" w14:textId="77777777" w:rsidTr="005B62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7E59077E" w14:textId="77777777" w:rsidR="005B6230" w:rsidRPr="00B63B7A" w:rsidRDefault="005B6230" w:rsidP="005B6230">
            <w:pPr>
              <w:rPr>
                <w:rFonts w:ascii="Arial Narrow" w:eastAsia="Times New Roman" w:hAnsi="Arial Narrow" w:cs="Arial"/>
                <w:b w:val="0"/>
                <w:i/>
                <w:sz w:val="20"/>
                <w:szCs w:val="20"/>
              </w:rPr>
            </w:pPr>
            <w:r w:rsidRPr="00B63B7A">
              <w:rPr>
                <w:rFonts w:ascii="Arial Narrow" w:eastAsia="Times New Roman" w:hAnsi="Arial Narrow" w:cs="Arial"/>
                <w:b w:val="0"/>
                <w:i/>
                <w:sz w:val="20"/>
                <w:szCs w:val="20"/>
              </w:rPr>
              <w:t xml:space="preserve">Struktura </w:t>
            </w:r>
          </w:p>
        </w:tc>
        <w:tc>
          <w:tcPr>
            <w:tcW w:w="3544" w:type="dxa"/>
            <w:shd w:val="clear" w:color="auto" w:fill="auto"/>
            <w:vAlign w:val="center"/>
          </w:tcPr>
          <w:p w14:paraId="388177FE" w14:textId="77777777" w:rsidR="005B6230" w:rsidRPr="00B63B7A" w:rsidRDefault="005B6230" w:rsidP="005B6230">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sz w:val="20"/>
                <w:szCs w:val="20"/>
              </w:rPr>
            </w:pPr>
            <w:r w:rsidRPr="00B63B7A">
              <w:rPr>
                <w:rFonts w:ascii="Arial Narrow" w:eastAsia="Times New Roman" w:hAnsi="Arial Narrow" w:cs="Arial"/>
                <w:i/>
                <w:sz w:val="20"/>
                <w:szCs w:val="20"/>
              </w:rPr>
              <w:t>Diskont, jednokratna isplata</w:t>
            </w:r>
          </w:p>
        </w:tc>
        <w:tc>
          <w:tcPr>
            <w:tcW w:w="4536" w:type="dxa"/>
            <w:shd w:val="clear" w:color="auto" w:fill="auto"/>
            <w:vAlign w:val="center"/>
          </w:tcPr>
          <w:p w14:paraId="59E511A1" w14:textId="77777777" w:rsidR="005B6230" w:rsidRPr="00B63B7A" w:rsidRDefault="005B6230" w:rsidP="005B6230">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sz w:val="20"/>
                <w:szCs w:val="20"/>
              </w:rPr>
            </w:pPr>
            <w:r w:rsidRPr="00B63B7A">
              <w:rPr>
                <w:rFonts w:ascii="Arial Narrow" w:eastAsia="Times New Roman" w:hAnsi="Arial Narrow" w:cs="Arial"/>
                <w:i/>
                <w:sz w:val="20"/>
                <w:szCs w:val="20"/>
              </w:rPr>
              <w:t>Fiksna ili varijabilna kamata, jednokratna isplata</w:t>
            </w:r>
          </w:p>
        </w:tc>
      </w:tr>
      <w:tr w:rsidR="005B6230" w:rsidRPr="00AF7CAC" w14:paraId="6C9AA92D" w14:textId="77777777" w:rsidTr="005B6230">
        <w:trPr>
          <w:trHeight w:val="34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59448E12" w14:textId="77777777" w:rsidR="005B6230" w:rsidRPr="00B63B7A" w:rsidRDefault="005B6230" w:rsidP="005B6230">
            <w:pPr>
              <w:rPr>
                <w:rFonts w:ascii="Arial Narrow" w:eastAsia="Times New Roman" w:hAnsi="Arial Narrow" w:cs="Arial"/>
                <w:b w:val="0"/>
                <w:i/>
                <w:sz w:val="20"/>
                <w:szCs w:val="20"/>
              </w:rPr>
            </w:pPr>
            <w:r w:rsidRPr="00B63B7A">
              <w:rPr>
                <w:rFonts w:ascii="Arial Narrow" w:eastAsia="Times New Roman" w:hAnsi="Arial Narrow" w:cs="Arial"/>
                <w:b w:val="0"/>
                <w:i/>
                <w:sz w:val="20"/>
                <w:szCs w:val="20"/>
              </w:rPr>
              <w:t xml:space="preserve">Karakteristike </w:t>
            </w:r>
          </w:p>
        </w:tc>
        <w:tc>
          <w:tcPr>
            <w:tcW w:w="3544" w:type="dxa"/>
            <w:shd w:val="clear" w:color="auto" w:fill="auto"/>
            <w:vAlign w:val="center"/>
          </w:tcPr>
          <w:p w14:paraId="360B2873" w14:textId="77777777" w:rsidR="005B6230" w:rsidRPr="00B63B7A" w:rsidRDefault="005B6230" w:rsidP="005B6230">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i/>
                <w:sz w:val="20"/>
                <w:szCs w:val="20"/>
              </w:rPr>
            </w:pPr>
            <w:r w:rsidRPr="00B63B7A">
              <w:rPr>
                <w:rFonts w:ascii="Arial Narrow" w:eastAsia="Times New Roman" w:hAnsi="Arial Narrow" w:cs="Arial"/>
                <w:i/>
                <w:sz w:val="20"/>
                <w:szCs w:val="20"/>
              </w:rPr>
              <w:t>Jednostavni, dobra potražnja</w:t>
            </w:r>
          </w:p>
        </w:tc>
        <w:tc>
          <w:tcPr>
            <w:tcW w:w="4536" w:type="dxa"/>
            <w:shd w:val="clear" w:color="auto" w:fill="auto"/>
            <w:vAlign w:val="center"/>
          </w:tcPr>
          <w:p w14:paraId="651B8A6F" w14:textId="77777777" w:rsidR="005B6230" w:rsidRPr="00B63B7A" w:rsidRDefault="005B6230" w:rsidP="005B6230">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i/>
                <w:sz w:val="20"/>
                <w:szCs w:val="20"/>
              </w:rPr>
            </w:pPr>
            <w:r w:rsidRPr="00B63B7A">
              <w:rPr>
                <w:rFonts w:ascii="Arial Narrow" w:eastAsia="Times New Roman" w:hAnsi="Arial Narrow" w:cs="Arial"/>
                <w:i/>
                <w:sz w:val="20"/>
                <w:szCs w:val="20"/>
              </w:rPr>
              <w:t>Tražnja zadovoljava trenutne potrebe, razvoj tržišta će utjecati na potražnju</w:t>
            </w:r>
          </w:p>
        </w:tc>
      </w:tr>
      <w:tr w:rsidR="005B6230" w:rsidRPr="00AF7CAC" w14:paraId="07146A20" w14:textId="77777777" w:rsidTr="005B62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04590FEC" w14:textId="77777777" w:rsidR="005B6230" w:rsidRPr="00B63B7A" w:rsidRDefault="005B6230" w:rsidP="005B6230">
            <w:pPr>
              <w:rPr>
                <w:rFonts w:ascii="Arial Narrow" w:eastAsia="Times New Roman" w:hAnsi="Arial Narrow" w:cs="Arial"/>
                <w:b w:val="0"/>
                <w:i/>
                <w:sz w:val="20"/>
                <w:szCs w:val="20"/>
              </w:rPr>
            </w:pPr>
            <w:r w:rsidRPr="00B63B7A">
              <w:rPr>
                <w:rFonts w:ascii="Arial Narrow" w:eastAsia="Times New Roman" w:hAnsi="Arial Narrow" w:cs="Arial"/>
                <w:b w:val="0"/>
                <w:i/>
                <w:sz w:val="20"/>
                <w:szCs w:val="20"/>
              </w:rPr>
              <w:t>Troškovi</w:t>
            </w:r>
          </w:p>
        </w:tc>
        <w:tc>
          <w:tcPr>
            <w:tcW w:w="3544" w:type="dxa"/>
            <w:shd w:val="clear" w:color="auto" w:fill="auto"/>
            <w:vAlign w:val="center"/>
          </w:tcPr>
          <w:p w14:paraId="67C48BDA" w14:textId="77777777" w:rsidR="005B6230" w:rsidRPr="00B63B7A" w:rsidRDefault="005B6230" w:rsidP="005B6230">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sz w:val="20"/>
                <w:szCs w:val="20"/>
              </w:rPr>
            </w:pPr>
            <w:r w:rsidRPr="00B63B7A">
              <w:rPr>
                <w:rFonts w:ascii="Arial Narrow" w:eastAsia="Times New Roman" w:hAnsi="Arial Narrow" w:cs="Arial"/>
                <w:i/>
                <w:sz w:val="20"/>
                <w:szCs w:val="20"/>
              </w:rPr>
              <w:t>Niski, osim u slučaju krize likvidnosti ili izdanja većih volumena</w:t>
            </w:r>
          </w:p>
        </w:tc>
        <w:tc>
          <w:tcPr>
            <w:tcW w:w="4536" w:type="dxa"/>
            <w:shd w:val="clear" w:color="auto" w:fill="auto"/>
            <w:vAlign w:val="center"/>
          </w:tcPr>
          <w:p w14:paraId="7A361018" w14:textId="77777777" w:rsidR="005B6230" w:rsidRPr="00B63B7A" w:rsidRDefault="005B6230" w:rsidP="005B6230">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sz w:val="20"/>
                <w:szCs w:val="20"/>
              </w:rPr>
            </w:pPr>
            <w:r w:rsidRPr="00B63B7A">
              <w:rPr>
                <w:rFonts w:ascii="Arial Narrow" w:eastAsia="Times New Roman" w:hAnsi="Arial Narrow" w:cs="Arial"/>
                <w:i/>
                <w:sz w:val="20"/>
                <w:szCs w:val="20"/>
              </w:rPr>
              <w:t>Rast volumena izdanja i produžetak ročnosti može izazvati rast troškova</w:t>
            </w:r>
          </w:p>
        </w:tc>
      </w:tr>
      <w:tr w:rsidR="005B6230" w:rsidRPr="00AF7CAC" w14:paraId="3F0EB17A" w14:textId="77777777" w:rsidTr="005B6230">
        <w:trPr>
          <w:trHeight w:val="34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3537F56A" w14:textId="77777777" w:rsidR="005B6230" w:rsidRPr="00B63B7A" w:rsidRDefault="005B6230" w:rsidP="005B6230">
            <w:pPr>
              <w:rPr>
                <w:rFonts w:ascii="Arial Narrow" w:eastAsia="Times New Roman" w:hAnsi="Arial Narrow" w:cs="Arial"/>
                <w:b w:val="0"/>
                <w:i/>
                <w:sz w:val="20"/>
                <w:szCs w:val="20"/>
              </w:rPr>
            </w:pPr>
            <w:r w:rsidRPr="00B63B7A">
              <w:rPr>
                <w:rFonts w:ascii="Arial Narrow" w:eastAsia="Times New Roman" w:hAnsi="Arial Narrow" w:cs="Arial"/>
                <w:b w:val="0"/>
                <w:i/>
                <w:sz w:val="20"/>
                <w:szCs w:val="20"/>
              </w:rPr>
              <w:t>Rizici</w:t>
            </w:r>
          </w:p>
        </w:tc>
        <w:tc>
          <w:tcPr>
            <w:tcW w:w="3544" w:type="dxa"/>
            <w:shd w:val="clear" w:color="auto" w:fill="auto"/>
            <w:vAlign w:val="center"/>
          </w:tcPr>
          <w:p w14:paraId="3ECEA84B" w14:textId="5200A52F" w:rsidR="005B6230" w:rsidRPr="00B63B7A" w:rsidRDefault="005B6230" w:rsidP="005B6230">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i/>
                <w:sz w:val="20"/>
                <w:szCs w:val="20"/>
              </w:rPr>
            </w:pPr>
            <w:r w:rsidRPr="00B63B7A">
              <w:rPr>
                <w:rFonts w:ascii="Arial Narrow" w:eastAsia="Times New Roman" w:hAnsi="Arial Narrow" w:cs="Arial"/>
                <w:i/>
                <w:sz w:val="20"/>
                <w:szCs w:val="20"/>
              </w:rPr>
              <w:t>Rizici refiksiranja i re</w:t>
            </w:r>
            <w:r w:rsidR="009A78EF">
              <w:rPr>
                <w:rFonts w:ascii="Arial Narrow" w:eastAsia="Times New Roman" w:hAnsi="Arial Narrow" w:cs="Arial"/>
                <w:i/>
                <w:sz w:val="20"/>
                <w:szCs w:val="20"/>
              </w:rPr>
              <w:t>financ</w:t>
            </w:r>
            <w:r w:rsidRPr="00B63B7A">
              <w:rPr>
                <w:rFonts w:ascii="Arial Narrow" w:eastAsia="Times New Roman" w:hAnsi="Arial Narrow" w:cs="Arial"/>
                <w:i/>
                <w:sz w:val="20"/>
                <w:szCs w:val="20"/>
              </w:rPr>
              <w:t>iranja</w:t>
            </w:r>
          </w:p>
        </w:tc>
        <w:tc>
          <w:tcPr>
            <w:tcW w:w="4536" w:type="dxa"/>
            <w:shd w:val="clear" w:color="auto" w:fill="auto"/>
            <w:vAlign w:val="center"/>
          </w:tcPr>
          <w:p w14:paraId="191B1559" w14:textId="5C048A25" w:rsidR="005B6230" w:rsidRPr="00B63B7A" w:rsidRDefault="005B6230" w:rsidP="005B6230">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i/>
                <w:sz w:val="20"/>
                <w:szCs w:val="20"/>
              </w:rPr>
            </w:pPr>
            <w:r w:rsidRPr="00B63B7A">
              <w:rPr>
                <w:rFonts w:ascii="Arial Narrow" w:eastAsia="Times New Roman" w:hAnsi="Arial Narrow" w:cs="Arial"/>
                <w:i/>
                <w:sz w:val="20"/>
                <w:szCs w:val="20"/>
              </w:rPr>
              <w:t>Rizici zavise od ostvarene ročnosti, a uključuju rizik re</w:t>
            </w:r>
            <w:r w:rsidR="009A78EF">
              <w:rPr>
                <w:rFonts w:ascii="Arial Narrow" w:eastAsia="Times New Roman" w:hAnsi="Arial Narrow" w:cs="Arial"/>
                <w:i/>
                <w:sz w:val="20"/>
                <w:szCs w:val="20"/>
              </w:rPr>
              <w:t>financ</w:t>
            </w:r>
            <w:r w:rsidRPr="00B63B7A">
              <w:rPr>
                <w:rFonts w:ascii="Arial Narrow" w:eastAsia="Times New Roman" w:hAnsi="Arial Narrow" w:cs="Arial"/>
                <w:i/>
                <w:sz w:val="20"/>
                <w:szCs w:val="20"/>
              </w:rPr>
              <w:t>iranja, a u slučaju varijabilnih stopa i rizik refiksiranja</w:t>
            </w:r>
          </w:p>
        </w:tc>
      </w:tr>
    </w:tbl>
    <w:p w14:paraId="7F85A20F" w14:textId="423D6473" w:rsidR="00B63B7A" w:rsidRDefault="00B63B7A" w:rsidP="00154166">
      <w:pPr>
        <w:pStyle w:val="NoSpacing"/>
        <w:jc w:val="both"/>
        <w:rPr>
          <w:rFonts w:ascii="Arial" w:eastAsia="MS Mincho" w:hAnsi="Arial" w:cs="Arial"/>
          <w:kern w:val="24"/>
          <w:sz w:val="24"/>
          <w:szCs w:val="24"/>
          <w:lang w:val="hr-HR" w:eastAsia="fr-FR"/>
        </w:rPr>
      </w:pPr>
    </w:p>
    <w:p w14:paraId="666A9363" w14:textId="77777777" w:rsidR="005B6230" w:rsidRPr="00AF7CAC" w:rsidRDefault="005B6230" w:rsidP="00154166">
      <w:pPr>
        <w:pStyle w:val="NoSpacing"/>
        <w:jc w:val="both"/>
        <w:rPr>
          <w:rFonts w:ascii="Arial" w:eastAsia="MS Mincho" w:hAnsi="Arial" w:cs="Arial"/>
          <w:kern w:val="24"/>
          <w:sz w:val="24"/>
          <w:szCs w:val="24"/>
          <w:lang w:val="hr-HR" w:eastAsia="fr-FR"/>
        </w:rPr>
      </w:pPr>
    </w:p>
    <w:p w14:paraId="0E1CA0D5" w14:textId="77777777" w:rsidR="00186026" w:rsidRPr="00AF7CAC" w:rsidRDefault="00186026" w:rsidP="00154166">
      <w:pPr>
        <w:spacing w:after="0" w:line="240" w:lineRule="auto"/>
        <w:rPr>
          <w:sz w:val="8"/>
        </w:rPr>
      </w:pPr>
    </w:p>
    <w:p w14:paraId="33FA207E" w14:textId="0A112472" w:rsidR="00ED768D" w:rsidRPr="00AF7CAC" w:rsidRDefault="00ED768D" w:rsidP="00154166">
      <w:pPr>
        <w:pStyle w:val="Heading1"/>
        <w:numPr>
          <w:ilvl w:val="0"/>
          <w:numId w:val="10"/>
        </w:numPr>
        <w:spacing w:before="0"/>
        <w:rPr>
          <w:rFonts w:ascii="Arial" w:hAnsi="Arial" w:cs="Arial"/>
          <w:b w:val="0"/>
          <w:color w:val="auto"/>
        </w:rPr>
      </w:pPr>
      <w:bookmarkStart w:id="126" w:name="_Toc407962575"/>
      <w:bookmarkStart w:id="127" w:name="_Toc100823761"/>
      <w:r w:rsidRPr="00B63B7A">
        <w:rPr>
          <w:rFonts w:ascii="Arial" w:hAnsi="Arial" w:cs="Arial"/>
          <w:b w:val="0"/>
          <w:color w:val="auto"/>
          <w:sz w:val="24"/>
        </w:rPr>
        <w:lastRenderedPageBreak/>
        <w:t>PRETPOSTAVKE CIJENA I OPISI SCENARIJA ŠOKA</w:t>
      </w:r>
      <w:bookmarkEnd w:id="126"/>
      <w:bookmarkEnd w:id="127"/>
    </w:p>
    <w:p w14:paraId="0034032D" w14:textId="77777777" w:rsidR="005B6230" w:rsidRDefault="005B6230" w:rsidP="00205074">
      <w:pPr>
        <w:pStyle w:val="ParagraphNumbering"/>
        <w:keepNext/>
        <w:numPr>
          <w:ilvl w:val="0"/>
          <w:numId w:val="0"/>
        </w:numPr>
        <w:spacing w:after="0" w:line="276" w:lineRule="auto"/>
        <w:ind w:firstLine="420"/>
        <w:jc w:val="both"/>
        <w:rPr>
          <w:rFonts w:ascii="Arial" w:hAnsi="Arial" w:cs="Arial"/>
          <w:sz w:val="22"/>
        </w:rPr>
      </w:pPr>
    </w:p>
    <w:p w14:paraId="00BBA79F" w14:textId="678D67A8" w:rsidR="005336FE" w:rsidRDefault="00E964E3" w:rsidP="00205074">
      <w:pPr>
        <w:pStyle w:val="ParagraphNumbering"/>
        <w:keepNext/>
        <w:numPr>
          <w:ilvl w:val="0"/>
          <w:numId w:val="0"/>
        </w:numPr>
        <w:spacing w:after="0" w:line="276" w:lineRule="auto"/>
        <w:ind w:firstLine="420"/>
        <w:jc w:val="both"/>
        <w:rPr>
          <w:rFonts w:ascii="Arial" w:hAnsi="Arial" w:cs="Arial"/>
          <w:sz w:val="22"/>
        </w:rPr>
      </w:pPr>
      <w:r w:rsidRPr="00B63B7A">
        <w:rPr>
          <w:rFonts w:ascii="Arial" w:hAnsi="Arial" w:cs="Arial"/>
          <w:sz w:val="22"/>
        </w:rPr>
        <w:t>U</w:t>
      </w:r>
      <w:r w:rsidR="00214C62" w:rsidRPr="00B63B7A">
        <w:rPr>
          <w:rFonts w:ascii="Arial" w:hAnsi="Arial" w:cs="Arial"/>
          <w:sz w:val="22"/>
        </w:rPr>
        <w:t xml:space="preserve"> ovom </w:t>
      </w:r>
      <w:r w:rsidR="005336FE" w:rsidRPr="00B63B7A">
        <w:rPr>
          <w:rFonts w:ascii="Arial" w:hAnsi="Arial" w:cs="Arial"/>
          <w:sz w:val="22"/>
        </w:rPr>
        <w:t>dijelu</w:t>
      </w:r>
      <w:r w:rsidR="00701419" w:rsidRPr="00B63B7A">
        <w:rPr>
          <w:rFonts w:ascii="Arial" w:hAnsi="Arial" w:cs="Arial"/>
          <w:sz w:val="22"/>
        </w:rPr>
        <w:t xml:space="preserve"> predstavljena</w:t>
      </w:r>
      <w:r w:rsidR="00214C62" w:rsidRPr="00B63B7A">
        <w:rPr>
          <w:rFonts w:ascii="Arial" w:hAnsi="Arial" w:cs="Arial"/>
          <w:sz w:val="22"/>
        </w:rPr>
        <w:t xml:space="preserve"> </w:t>
      </w:r>
      <w:r w:rsidRPr="00B63B7A">
        <w:rPr>
          <w:rFonts w:ascii="Arial" w:hAnsi="Arial" w:cs="Arial"/>
          <w:sz w:val="22"/>
        </w:rPr>
        <w:t xml:space="preserve">su </w:t>
      </w:r>
      <w:r w:rsidR="00701419" w:rsidRPr="00B63B7A">
        <w:rPr>
          <w:rFonts w:ascii="Arial" w:hAnsi="Arial" w:cs="Arial"/>
          <w:sz w:val="22"/>
        </w:rPr>
        <w:t>četiri osnovna</w:t>
      </w:r>
      <w:r w:rsidR="00ED768D" w:rsidRPr="00B63B7A">
        <w:rPr>
          <w:rFonts w:ascii="Arial" w:hAnsi="Arial" w:cs="Arial"/>
          <w:sz w:val="22"/>
        </w:rPr>
        <w:t xml:space="preserve"> </w:t>
      </w:r>
      <w:r w:rsidR="008570FF" w:rsidRPr="00B63B7A">
        <w:rPr>
          <w:rFonts w:ascii="Arial" w:hAnsi="Arial" w:cs="Arial"/>
          <w:sz w:val="22"/>
        </w:rPr>
        <w:t>scenarij</w:t>
      </w:r>
      <w:r w:rsidR="00701419" w:rsidRPr="00B63B7A">
        <w:rPr>
          <w:rFonts w:ascii="Arial" w:hAnsi="Arial" w:cs="Arial"/>
          <w:sz w:val="22"/>
        </w:rPr>
        <w:t>a</w:t>
      </w:r>
      <w:r w:rsidR="008570FF" w:rsidRPr="00B63B7A">
        <w:rPr>
          <w:rFonts w:ascii="Arial" w:hAnsi="Arial" w:cs="Arial"/>
          <w:sz w:val="22"/>
        </w:rPr>
        <w:t xml:space="preserve"> </w:t>
      </w:r>
      <w:r w:rsidR="009A78EF">
        <w:rPr>
          <w:rFonts w:ascii="Arial" w:hAnsi="Arial" w:cs="Arial"/>
          <w:sz w:val="22"/>
        </w:rPr>
        <w:t>financ</w:t>
      </w:r>
      <w:r w:rsidR="005336FE" w:rsidRPr="00B63B7A">
        <w:rPr>
          <w:rFonts w:ascii="Arial" w:hAnsi="Arial" w:cs="Arial"/>
          <w:sz w:val="22"/>
        </w:rPr>
        <w:t>iranja potreba Vlade Federacije BiH</w:t>
      </w:r>
      <w:r w:rsidRPr="00B63B7A">
        <w:rPr>
          <w:rFonts w:ascii="Arial" w:hAnsi="Arial" w:cs="Arial"/>
          <w:sz w:val="22"/>
        </w:rPr>
        <w:t>.</w:t>
      </w:r>
      <w:r w:rsidR="00214C62" w:rsidRPr="00B63B7A">
        <w:rPr>
          <w:rFonts w:ascii="Arial" w:hAnsi="Arial" w:cs="Arial"/>
          <w:sz w:val="22"/>
        </w:rPr>
        <w:t xml:space="preserve"> P</w:t>
      </w:r>
      <w:r w:rsidR="00ED768D" w:rsidRPr="00B63B7A">
        <w:rPr>
          <w:rFonts w:ascii="Arial" w:hAnsi="Arial" w:cs="Arial"/>
          <w:sz w:val="22"/>
        </w:rPr>
        <w:t>retpostavk</w:t>
      </w:r>
      <w:r w:rsidR="00214C62" w:rsidRPr="00B63B7A">
        <w:rPr>
          <w:rFonts w:ascii="Arial" w:hAnsi="Arial" w:cs="Arial"/>
          <w:sz w:val="22"/>
        </w:rPr>
        <w:t>e</w:t>
      </w:r>
      <w:r w:rsidR="00ED768D" w:rsidRPr="00B63B7A">
        <w:rPr>
          <w:rFonts w:ascii="Arial" w:hAnsi="Arial" w:cs="Arial"/>
          <w:sz w:val="22"/>
        </w:rPr>
        <w:t xml:space="preserve"> visine kamatnih stopa i </w:t>
      </w:r>
      <w:r w:rsidR="00D35900" w:rsidRPr="00B63B7A">
        <w:rPr>
          <w:rFonts w:ascii="Arial" w:hAnsi="Arial" w:cs="Arial"/>
          <w:sz w:val="22"/>
        </w:rPr>
        <w:t>proc</w:t>
      </w:r>
      <w:r w:rsidR="00D945EA" w:rsidRPr="00B63B7A">
        <w:rPr>
          <w:rFonts w:ascii="Arial" w:hAnsi="Arial" w:cs="Arial"/>
          <w:sz w:val="22"/>
        </w:rPr>
        <w:t>i</w:t>
      </w:r>
      <w:r w:rsidR="00D35900" w:rsidRPr="00B63B7A">
        <w:rPr>
          <w:rFonts w:ascii="Arial" w:hAnsi="Arial" w:cs="Arial"/>
          <w:sz w:val="22"/>
        </w:rPr>
        <w:t xml:space="preserve">jenjeno kretanje </w:t>
      </w:r>
      <w:r w:rsidR="00214C62" w:rsidRPr="00B63B7A">
        <w:rPr>
          <w:rFonts w:ascii="Arial" w:hAnsi="Arial" w:cs="Arial"/>
          <w:sz w:val="22"/>
        </w:rPr>
        <w:t xml:space="preserve">vrijednosti deviznih </w:t>
      </w:r>
      <w:r w:rsidR="003E2B23">
        <w:rPr>
          <w:rFonts w:ascii="Arial" w:hAnsi="Arial" w:cs="Arial"/>
          <w:sz w:val="22"/>
        </w:rPr>
        <w:t>tečajeva</w:t>
      </w:r>
      <w:r w:rsidR="00ED768D" w:rsidRPr="00B63B7A">
        <w:rPr>
          <w:rFonts w:ascii="Arial" w:hAnsi="Arial" w:cs="Arial"/>
          <w:sz w:val="22"/>
        </w:rPr>
        <w:t xml:space="preserve"> </w:t>
      </w:r>
      <w:r w:rsidR="003C2CA0" w:rsidRPr="00B63B7A">
        <w:rPr>
          <w:rFonts w:ascii="Arial" w:hAnsi="Arial" w:cs="Arial"/>
          <w:sz w:val="22"/>
        </w:rPr>
        <w:t xml:space="preserve">za vanjski dug u </w:t>
      </w:r>
      <w:r w:rsidR="00A31C4D">
        <w:rPr>
          <w:rFonts w:ascii="Arial" w:hAnsi="Arial" w:cs="Arial"/>
          <w:sz w:val="22"/>
        </w:rPr>
        <w:t>razdoblju</w:t>
      </w:r>
      <w:r w:rsidR="00ED768D" w:rsidRPr="00073673">
        <w:rPr>
          <w:rFonts w:ascii="Arial" w:hAnsi="Arial" w:cs="Arial"/>
          <w:sz w:val="22"/>
        </w:rPr>
        <w:t xml:space="preserve"> </w:t>
      </w:r>
      <w:r w:rsidR="002E7622" w:rsidRPr="00073673">
        <w:rPr>
          <w:rFonts w:ascii="Arial" w:hAnsi="Arial" w:cs="Arial"/>
          <w:sz w:val="22"/>
        </w:rPr>
        <w:t xml:space="preserve">2022 </w:t>
      </w:r>
      <w:r w:rsidR="00ED768D" w:rsidRPr="00073673">
        <w:rPr>
          <w:rFonts w:ascii="Arial" w:hAnsi="Arial" w:cs="Arial"/>
          <w:sz w:val="22"/>
        </w:rPr>
        <w:t xml:space="preserve">– </w:t>
      </w:r>
      <w:r w:rsidR="002E7622" w:rsidRPr="00073673">
        <w:rPr>
          <w:rFonts w:ascii="Arial" w:hAnsi="Arial" w:cs="Arial"/>
          <w:sz w:val="22"/>
        </w:rPr>
        <w:t>2024</w:t>
      </w:r>
      <w:r w:rsidR="00ED768D" w:rsidRPr="00B63B7A">
        <w:rPr>
          <w:rFonts w:ascii="Arial" w:hAnsi="Arial" w:cs="Arial"/>
          <w:sz w:val="22"/>
        </w:rPr>
        <w:t>. godina</w:t>
      </w:r>
      <w:r w:rsidR="00214C62" w:rsidRPr="00B63B7A">
        <w:rPr>
          <w:rFonts w:ascii="Arial" w:hAnsi="Arial" w:cs="Arial"/>
          <w:sz w:val="22"/>
        </w:rPr>
        <w:t xml:space="preserve"> preuzeti su od Ministarstva </w:t>
      </w:r>
      <w:r w:rsidR="009A78EF">
        <w:rPr>
          <w:rFonts w:ascii="Arial" w:hAnsi="Arial" w:cs="Arial"/>
          <w:sz w:val="22"/>
        </w:rPr>
        <w:t>financ</w:t>
      </w:r>
      <w:r w:rsidR="00214C62" w:rsidRPr="00B63B7A">
        <w:rPr>
          <w:rFonts w:ascii="Arial" w:hAnsi="Arial" w:cs="Arial"/>
          <w:sz w:val="22"/>
        </w:rPr>
        <w:t>ija i trezora BiH</w:t>
      </w:r>
      <w:r w:rsidR="00ED768D" w:rsidRPr="00B63B7A">
        <w:rPr>
          <w:rFonts w:ascii="Arial" w:hAnsi="Arial" w:cs="Arial"/>
          <w:sz w:val="22"/>
        </w:rPr>
        <w:t xml:space="preserve">. </w:t>
      </w:r>
    </w:p>
    <w:p w14:paraId="5E8D59FB" w14:textId="77777777" w:rsidR="00B63B7A" w:rsidRPr="00B63B7A" w:rsidRDefault="00B63B7A" w:rsidP="00205074">
      <w:pPr>
        <w:pStyle w:val="ParagraphNumbering"/>
        <w:keepNext/>
        <w:numPr>
          <w:ilvl w:val="0"/>
          <w:numId w:val="0"/>
        </w:numPr>
        <w:spacing w:after="0" w:line="276" w:lineRule="auto"/>
        <w:ind w:firstLine="420"/>
        <w:jc w:val="both"/>
        <w:rPr>
          <w:rFonts w:ascii="Arial" w:hAnsi="Arial" w:cs="Arial"/>
          <w:sz w:val="22"/>
        </w:rPr>
      </w:pPr>
    </w:p>
    <w:p w14:paraId="3A1A1D7C" w14:textId="00FE35DD" w:rsidR="00ED768D" w:rsidRDefault="00F279C3" w:rsidP="00205074">
      <w:pPr>
        <w:pStyle w:val="ParagraphNumbering"/>
        <w:keepNext/>
        <w:numPr>
          <w:ilvl w:val="0"/>
          <w:numId w:val="0"/>
        </w:numPr>
        <w:spacing w:after="0" w:line="276" w:lineRule="auto"/>
        <w:ind w:firstLine="420"/>
        <w:jc w:val="both"/>
        <w:rPr>
          <w:rFonts w:ascii="Arial" w:hAnsi="Arial" w:cs="Arial"/>
          <w:sz w:val="22"/>
        </w:rPr>
      </w:pPr>
      <w:r w:rsidRPr="00B63B7A">
        <w:rPr>
          <w:rFonts w:ascii="Arial" w:hAnsi="Arial" w:cs="Arial"/>
          <w:sz w:val="22"/>
        </w:rPr>
        <w:t>Na</w:t>
      </w:r>
      <w:r w:rsidR="00B11D27" w:rsidRPr="00B63B7A">
        <w:rPr>
          <w:rFonts w:ascii="Arial" w:hAnsi="Arial" w:cs="Arial"/>
          <w:sz w:val="22"/>
        </w:rPr>
        <w:t xml:space="preserve">vedeni scenariji su testirani </w:t>
      </w:r>
      <w:r w:rsidRPr="00B63B7A">
        <w:rPr>
          <w:rFonts w:ascii="Arial" w:hAnsi="Arial" w:cs="Arial"/>
          <w:sz w:val="22"/>
        </w:rPr>
        <w:t>na ut</w:t>
      </w:r>
      <w:r w:rsidR="00D945EA" w:rsidRPr="00B63B7A">
        <w:rPr>
          <w:rFonts w:ascii="Arial" w:hAnsi="Arial" w:cs="Arial"/>
          <w:sz w:val="22"/>
        </w:rPr>
        <w:t>je</w:t>
      </w:r>
      <w:r w:rsidRPr="00B63B7A">
        <w:rPr>
          <w:rFonts w:ascii="Arial" w:hAnsi="Arial" w:cs="Arial"/>
          <w:sz w:val="22"/>
        </w:rPr>
        <w:t>caj šokova</w:t>
      </w:r>
      <w:r w:rsidR="00214C62" w:rsidRPr="00B63B7A">
        <w:rPr>
          <w:rFonts w:ascii="Arial" w:hAnsi="Arial" w:cs="Arial"/>
          <w:sz w:val="22"/>
        </w:rPr>
        <w:t>,</w:t>
      </w:r>
      <w:r w:rsidRPr="00B63B7A">
        <w:rPr>
          <w:rFonts w:ascii="Arial" w:hAnsi="Arial" w:cs="Arial"/>
          <w:sz w:val="22"/>
        </w:rPr>
        <w:t xml:space="preserve"> i to </w:t>
      </w:r>
      <w:r w:rsidR="00ED768D" w:rsidRPr="00B63B7A">
        <w:rPr>
          <w:rFonts w:ascii="Arial" w:hAnsi="Arial" w:cs="Arial"/>
          <w:sz w:val="22"/>
        </w:rPr>
        <w:t>po jedan odvojeni kamatni i valutni</w:t>
      </w:r>
      <w:r w:rsidR="00A76757" w:rsidRPr="00B63B7A">
        <w:rPr>
          <w:rFonts w:ascii="Arial" w:hAnsi="Arial" w:cs="Arial"/>
          <w:sz w:val="22"/>
        </w:rPr>
        <w:t xml:space="preserve"> i</w:t>
      </w:r>
      <w:r w:rsidR="00ED768D" w:rsidRPr="00B63B7A">
        <w:rPr>
          <w:rFonts w:ascii="Arial" w:hAnsi="Arial" w:cs="Arial"/>
          <w:sz w:val="22"/>
        </w:rPr>
        <w:t xml:space="preserve"> jedan </w:t>
      </w:r>
      <w:r w:rsidR="003E2B23" w:rsidRPr="00B63B7A">
        <w:rPr>
          <w:rFonts w:ascii="Arial" w:hAnsi="Arial" w:cs="Arial"/>
          <w:sz w:val="22"/>
        </w:rPr>
        <w:t>kombinirani</w:t>
      </w:r>
      <w:r w:rsidR="00ED768D" w:rsidRPr="00B63B7A">
        <w:rPr>
          <w:rFonts w:ascii="Arial" w:hAnsi="Arial" w:cs="Arial"/>
          <w:sz w:val="22"/>
        </w:rPr>
        <w:t xml:space="preserve"> kamatno-valutni.</w:t>
      </w:r>
    </w:p>
    <w:p w14:paraId="63024BD9" w14:textId="77777777" w:rsidR="00656E8F" w:rsidRDefault="00656E8F" w:rsidP="00205074">
      <w:pPr>
        <w:pStyle w:val="ParagraphNumbering"/>
        <w:keepNext/>
        <w:numPr>
          <w:ilvl w:val="0"/>
          <w:numId w:val="0"/>
        </w:numPr>
        <w:spacing w:after="0" w:line="276" w:lineRule="auto"/>
        <w:ind w:firstLine="420"/>
        <w:jc w:val="both"/>
        <w:rPr>
          <w:rFonts w:ascii="Arial" w:hAnsi="Arial" w:cs="Arial"/>
          <w:sz w:val="22"/>
        </w:rPr>
      </w:pPr>
    </w:p>
    <w:p w14:paraId="16E9E3A9" w14:textId="3893AC94" w:rsidR="00DE51BE" w:rsidRDefault="00ED768D" w:rsidP="005336FE">
      <w:pPr>
        <w:pStyle w:val="ParagraphNumbering"/>
        <w:keepNext/>
        <w:numPr>
          <w:ilvl w:val="0"/>
          <w:numId w:val="0"/>
        </w:numPr>
        <w:spacing w:after="0" w:line="276" w:lineRule="auto"/>
        <w:ind w:firstLine="420"/>
        <w:jc w:val="both"/>
        <w:rPr>
          <w:rFonts w:ascii="Arial" w:hAnsi="Arial" w:cs="Arial"/>
          <w:sz w:val="22"/>
        </w:rPr>
      </w:pPr>
      <w:r w:rsidRPr="00B63B7A">
        <w:rPr>
          <w:rFonts w:ascii="Arial" w:hAnsi="Arial" w:cs="Arial"/>
          <w:sz w:val="22"/>
        </w:rPr>
        <w:t xml:space="preserve">Pretpostavke o budućim kretanjima </w:t>
      </w:r>
      <w:r w:rsidR="00DE51BE" w:rsidRPr="00B63B7A">
        <w:rPr>
          <w:rFonts w:ascii="Arial" w:hAnsi="Arial" w:cs="Arial"/>
          <w:sz w:val="22"/>
        </w:rPr>
        <w:t xml:space="preserve">fiksnih </w:t>
      </w:r>
      <w:r w:rsidRPr="00B63B7A">
        <w:rPr>
          <w:rFonts w:ascii="Arial" w:hAnsi="Arial" w:cs="Arial"/>
          <w:sz w:val="22"/>
        </w:rPr>
        <w:t xml:space="preserve">kamatnih stopa na </w:t>
      </w:r>
      <w:r w:rsidR="00E7734D" w:rsidRPr="00B63B7A">
        <w:rPr>
          <w:rFonts w:ascii="Arial" w:hAnsi="Arial" w:cs="Arial"/>
          <w:sz w:val="22"/>
        </w:rPr>
        <w:t>vanjski</w:t>
      </w:r>
      <w:r w:rsidRPr="00B63B7A">
        <w:rPr>
          <w:rFonts w:ascii="Arial" w:hAnsi="Arial" w:cs="Arial"/>
          <w:sz w:val="22"/>
        </w:rPr>
        <w:t xml:space="preserve"> dug zasnovane su na krivuljama prinosa </w:t>
      </w:r>
      <w:r w:rsidR="00DE51BE" w:rsidRPr="00B63B7A">
        <w:rPr>
          <w:rFonts w:ascii="Arial" w:hAnsi="Arial" w:cs="Arial"/>
          <w:sz w:val="22"/>
        </w:rPr>
        <w:t xml:space="preserve">na </w:t>
      </w:r>
      <w:r w:rsidR="00C00D11" w:rsidRPr="00B63B7A">
        <w:rPr>
          <w:rFonts w:ascii="Arial" w:hAnsi="Arial" w:cs="Arial"/>
          <w:sz w:val="22"/>
        </w:rPr>
        <w:t>n</w:t>
      </w:r>
      <w:r w:rsidR="00DE51BE" w:rsidRPr="00B63B7A">
        <w:rPr>
          <w:rFonts w:ascii="Arial" w:hAnsi="Arial" w:cs="Arial"/>
          <w:sz w:val="22"/>
        </w:rPr>
        <w:t>jemačke</w:t>
      </w:r>
      <w:r w:rsidRPr="00B63B7A">
        <w:rPr>
          <w:rFonts w:ascii="Arial" w:hAnsi="Arial" w:cs="Arial"/>
          <w:sz w:val="22"/>
        </w:rPr>
        <w:t xml:space="preserve"> i </w:t>
      </w:r>
      <w:r w:rsidR="00C00D11" w:rsidRPr="00B63B7A">
        <w:rPr>
          <w:rFonts w:ascii="Arial" w:hAnsi="Arial" w:cs="Arial"/>
          <w:sz w:val="22"/>
        </w:rPr>
        <w:t>a</w:t>
      </w:r>
      <w:r w:rsidR="00DE51BE" w:rsidRPr="00B63B7A">
        <w:rPr>
          <w:rFonts w:ascii="Arial" w:hAnsi="Arial" w:cs="Arial"/>
          <w:sz w:val="22"/>
        </w:rPr>
        <w:t>meričke obveznice</w:t>
      </w:r>
      <w:r w:rsidRPr="00B63B7A">
        <w:rPr>
          <w:rFonts w:ascii="Arial" w:hAnsi="Arial" w:cs="Arial"/>
          <w:sz w:val="22"/>
        </w:rPr>
        <w:t xml:space="preserve"> </w:t>
      </w:r>
      <w:r w:rsidR="001844A7" w:rsidRPr="00B63B7A">
        <w:rPr>
          <w:rFonts w:ascii="Arial" w:hAnsi="Arial" w:cs="Arial"/>
          <w:sz w:val="22"/>
        </w:rPr>
        <w:t>prve polovi</w:t>
      </w:r>
      <w:r w:rsidR="003E2B23">
        <w:rPr>
          <w:rFonts w:ascii="Arial" w:hAnsi="Arial" w:cs="Arial"/>
          <w:sz w:val="22"/>
        </w:rPr>
        <w:t>c</w:t>
      </w:r>
      <w:r w:rsidR="001844A7" w:rsidRPr="00B63B7A">
        <w:rPr>
          <w:rFonts w:ascii="Arial" w:hAnsi="Arial" w:cs="Arial"/>
          <w:sz w:val="22"/>
        </w:rPr>
        <w:t xml:space="preserve">e </w:t>
      </w:r>
      <w:r w:rsidR="003E2B23">
        <w:rPr>
          <w:rFonts w:ascii="Arial" w:hAnsi="Arial" w:cs="Arial"/>
          <w:sz w:val="22"/>
        </w:rPr>
        <w:t>lipnja</w:t>
      </w:r>
      <w:r w:rsidRPr="00B63B7A">
        <w:rPr>
          <w:rFonts w:ascii="Arial" w:hAnsi="Arial" w:cs="Arial"/>
          <w:sz w:val="22"/>
        </w:rPr>
        <w:t xml:space="preserve"> 20</w:t>
      </w:r>
      <w:r w:rsidR="00B63B7A">
        <w:rPr>
          <w:rFonts w:ascii="Arial" w:hAnsi="Arial" w:cs="Arial"/>
          <w:sz w:val="22"/>
        </w:rPr>
        <w:t>20</w:t>
      </w:r>
      <w:r w:rsidRPr="00B63B7A">
        <w:rPr>
          <w:rFonts w:ascii="Arial" w:hAnsi="Arial" w:cs="Arial"/>
          <w:sz w:val="22"/>
        </w:rPr>
        <w:t>. godine</w:t>
      </w:r>
      <w:r w:rsidR="00B63B7A">
        <w:rPr>
          <w:rFonts w:ascii="Arial" w:hAnsi="Arial" w:cs="Arial"/>
          <w:sz w:val="22"/>
        </w:rPr>
        <w:t>.</w:t>
      </w:r>
    </w:p>
    <w:p w14:paraId="6A24BBA4" w14:textId="77777777" w:rsidR="00656E8F" w:rsidRDefault="00656E8F" w:rsidP="005336FE">
      <w:pPr>
        <w:pStyle w:val="ParagraphNumbering"/>
        <w:keepNext/>
        <w:numPr>
          <w:ilvl w:val="0"/>
          <w:numId w:val="0"/>
        </w:numPr>
        <w:spacing w:after="0" w:line="276" w:lineRule="auto"/>
        <w:ind w:firstLine="420"/>
        <w:jc w:val="both"/>
        <w:rPr>
          <w:rFonts w:ascii="Arial" w:hAnsi="Arial" w:cs="Arial"/>
          <w:sz w:val="22"/>
        </w:rPr>
      </w:pPr>
    </w:p>
    <w:p w14:paraId="25CF7F85" w14:textId="6A6DCDB4" w:rsidR="005336FE" w:rsidRPr="00073673" w:rsidRDefault="00ED768D" w:rsidP="006B072E">
      <w:pPr>
        <w:pStyle w:val="ParagraphNumbering"/>
        <w:keepNext/>
        <w:numPr>
          <w:ilvl w:val="0"/>
          <w:numId w:val="0"/>
        </w:numPr>
        <w:spacing w:after="0" w:line="276" w:lineRule="auto"/>
        <w:ind w:firstLine="420"/>
        <w:jc w:val="both"/>
        <w:rPr>
          <w:rFonts w:ascii="Arial" w:hAnsi="Arial" w:cs="Arial"/>
          <w:sz w:val="22"/>
        </w:rPr>
      </w:pPr>
      <w:r w:rsidRPr="00B63B7A">
        <w:rPr>
          <w:rFonts w:ascii="Arial" w:hAnsi="Arial" w:cs="Arial"/>
          <w:sz w:val="22"/>
        </w:rPr>
        <w:t xml:space="preserve"> </w:t>
      </w:r>
      <w:r w:rsidRPr="00D912D1">
        <w:rPr>
          <w:rFonts w:ascii="Arial" w:hAnsi="Arial" w:cs="Arial"/>
          <w:sz w:val="22"/>
        </w:rPr>
        <w:t xml:space="preserve">Za projekcije </w:t>
      </w:r>
      <w:r w:rsidR="00DE51BE" w:rsidRPr="00073673">
        <w:rPr>
          <w:rFonts w:ascii="Arial" w:hAnsi="Arial" w:cs="Arial"/>
          <w:sz w:val="22"/>
        </w:rPr>
        <w:t xml:space="preserve">varijabilnih kamatnih stopa, </w:t>
      </w:r>
      <w:r w:rsidRPr="00073673">
        <w:rPr>
          <w:rFonts w:ascii="Arial" w:hAnsi="Arial" w:cs="Arial"/>
          <w:sz w:val="22"/>
        </w:rPr>
        <w:t>6M</w:t>
      </w:r>
      <w:r w:rsidR="0007589E" w:rsidRPr="00073673">
        <w:rPr>
          <w:rFonts w:ascii="Arial" w:hAnsi="Arial" w:cs="Arial"/>
          <w:sz w:val="22"/>
        </w:rPr>
        <w:t xml:space="preserve"> </w:t>
      </w:r>
      <w:r w:rsidRPr="00073673">
        <w:rPr>
          <w:rFonts w:ascii="Arial" w:hAnsi="Arial" w:cs="Arial"/>
          <w:sz w:val="22"/>
        </w:rPr>
        <w:t>LIBOR</w:t>
      </w:r>
      <w:r w:rsidRPr="00073673">
        <w:rPr>
          <w:rFonts w:ascii="Arial" w:hAnsi="Arial" w:cs="Arial"/>
          <w:sz w:val="22"/>
          <w:vertAlign w:val="superscript"/>
        </w:rPr>
        <w:footnoteReference w:id="14"/>
      </w:r>
      <w:r w:rsidRPr="00073673">
        <w:rPr>
          <w:rFonts w:ascii="Arial" w:hAnsi="Arial" w:cs="Arial"/>
          <w:sz w:val="22"/>
        </w:rPr>
        <w:t xml:space="preserve"> i 6M</w:t>
      </w:r>
      <w:r w:rsidR="0007589E" w:rsidRPr="00073673">
        <w:rPr>
          <w:rFonts w:ascii="Arial" w:hAnsi="Arial" w:cs="Arial"/>
          <w:sz w:val="22"/>
        </w:rPr>
        <w:t xml:space="preserve"> </w:t>
      </w:r>
      <w:r w:rsidRPr="00073673">
        <w:rPr>
          <w:rFonts w:ascii="Arial" w:hAnsi="Arial" w:cs="Arial"/>
          <w:sz w:val="22"/>
        </w:rPr>
        <w:t>EURIBOR</w:t>
      </w:r>
      <w:r w:rsidRPr="00073673">
        <w:rPr>
          <w:rFonts w:ascii="Arial" w:hAnsi="Arial" w:cs="Arial"/>
          <w:sz w:val="22"/>
          <w:vertAlign w:val="superscript"/>
        </w:rPr>
        <w:footnoteReference w:id="15"/>
      </w:r>
      <w:r w:rsidRPr="00073673">
        <w:rPr>
          <w:rFonts w:ascii="Arial" w:hAnsi="Arial" w:cs="Arial"/>
          <w:sz w:val="22"/>
        </w:rPr>
        <w:t xml:space="preserve"> pretpostav</w:t>
      </w:r>
      <w:r w:rsidR="00A76757" w:rsidRPr="00073673">
        <w:rPr>
          <w:rFonts w:ascii="Arial" w:hAnsi="Arial" w:cs="Arial"/>
          <w:sz w:val="22"/>
        </w:rPr>
        <w:t xml:space="preserve">ljeno je </w:t>
      </w:r>
      <w:r w:rsidRPr="00073673">
        <w:rPr>
          <w:rFonts w:ascii="Arial" w:hAnsi="Arial" w:cs="Arial"/>
          <w:sz w:val="22"/>
        </w:rPr>
        <w:t xml:space="preserve">da će razlika između vrijednosti 6M EURIBOR (6M LIBOR) i prinosa na njemačke jednogodišnje obveznice (američke jednogodišnje obveznice) biti jednaka </w:t>
      </w:r>
      <w:r w:rsidR="00C705CB">
        <w:rPr>
          <w:rFonts w:ascii="Arial" w:hAnsi="Arial" w:cs="Arial"/>
          <w:sz w:val="22"/>
        </w:rPr>
        <w:t>tije</w:t>
      </w:r>
      <w:r w:rsidR="00DE51BE" w:rsidRPr="00073673">
        <w:rPr>
          <w:rFonts w:ascii="Arial" w:hAnsi="Arial" w:cs="Arial"/>
          <w:sz w:val="22"/>
        </w:rPr>
        <w:t>kom p</w:t>
      </w:r>
      <w:r w:rsidR="00C705CB">
        <w:rPr>
          <w:rFonts w:ascii="Arial" w:hAnsi="Arial" w:cs="Arial"/>
          <w:sz w:val="22"/>
        </w:rPr>
        <w:t>ro</w:t>
      </w:r>
      <w:r w:rsidR="00DE51BE" w:rsidRPr="00073673">
        <w:rPr>
          <w:rFonts w:ascii="Arial" w:hAnsi="Arial" w:cs="Arial"/>
          <w:sz w:val="22"/>
        </w:rPr>
        <w:t xml:space="preserve">matranog </w:t>
      </w:r>
      <w:r w:rsidR="00C705CB">
        <w:rPr>
          <w:rFonts w:ascii="Arial" w:hAnsi="Arial" w:cs="Arial"/>
          <w:sz w:val="22"/>
        </w:rPr>
        <w:t>razdoblja</w:t>
      </w:r>
      <w:r w:rsidRPr="00073673">
        <w:rPr>
          <w:rFonts w:ascii="Arial" w:hAnsi="Arial" w:cs="Arial"/>
          <w:sz w:val="22"/>
        </w:rPr>
        <w:t xml:space="preserve">. </w:t>
      </w:r>
    </w:p>
    <w:p w14:paraId="4C2F3A26" w14:textId="77777777" w:rsidR="002B5DCA" w:rsidRPr="00073673" w:rsidRDefault="002B5DCA" w:rsidP="006B072E">
      <w:pPr>
        <w:pStyle w:val="ParagraphNumbering"/>
        <w:keepNext/>
        <w:numPr>
          <w:ilvl w:val="0"/>
          <w:numId w:val="0"/>
        </w:numPr>
        <w:spacing w:after="0" w:line="276" w:lineRule="auto"/>
        <w:ind w:firstLine="420"/>
        <w:jc w:val="both"/>
        <w:rPr>
          <w:rFonts w:ascii="Arial" w:hAnsi="Arial" w:cs="Arial"/>
          <w:sz w:val="22"/>
        </w:rPr>
      </w:pPr>
    </w:p>
    <w:p w14:paraId="245BE2D7" w14:textId="3005FD75" w:rsidR="0007589E" w:rsidRPr="00073673" w:rsidRDefault="00ED768D" w:rsidP="006B072E">
      <w:pPr>
        <w:pStyle w:val="ParagraphNumbering"/>
        <w:keepNext/>
        <w:numPr>
          <w:ilvl w:val="0"/>
          <w:numId w:val="0"/>
        </w:numPr>
        <w:spacing w:after="0" w:line="276" w:lineRule="auto"/>
        <w:ind w:firstLine="420"/>
        <w:jc w:val="both"/>
        <w:rPr>
          <w:rFonts w:ascii="Arial" w:hAnsi="Arial" w:cs="Arial"/>
          <w:sz w:val="22"/>
        </w:rPr>
      </w:pPr>
      <w:r w:rsidRPr="00073673">
        <w:rPr>
          <w:rFonts w:ascii="Arial" w:hAnsi="Arial" w:cs="Arial"/>
          <w:sz w:val="22"/>
        </w:rPr>
        <w:t xml:space="preserve">Ove kamatne stope predstavljaju referentne kamatne stope za </w:t>
      </w:r>
      <w:r w:rsidR="00DE51BE" w:rsidRPr="00073673">
        <w:rPr>
          <w:rFonts w:ascii="Arial" w:hAnsi="Arial" w:cs="Arial"/>
          <w:sz w:val="22"/>
        </w:rPr>
        <w:t>instrumente duga</w:t>
      </w:r>
      <w:r w:rsidRPr="00073673">
        <w:rPr>
          <w:rFonts w:ascii="Arial" w:hAnsi="Arial" w:cs="Arial"/>
          <w:sz w:val="22"/>
        </w:rPr>
        <w:t xml:space="preserve"> s promjenjivim kamatama, dok su za instrumente</w:t>
      </w:r>
      <w:r w:rsidR="00DE51BE" w:rsidRPr="00073673">
        <w:rPr>
          <w:rFonts w:ascii="Arial" w:hAnsi="Arial" w:cs="Arial"/>
          <w:sz w:val="22"/>
        </w:rPr>
        <w:t xml:space="preserve"> duga</w:t>
      </w:r>
      <w:r w:rsidR="00C705CB">
        <w:rPr>
          <w:rFonts w:ascii="Arial" w:hAnsi="Arial" w:cs="Arial"/>
          <w:sz w:val="22"/>
        </w:rPr>
        <w:t xml:space="preserve"> s</w:t>
      </w:r>
      <w:r w:rsidRPr="00073673">
        <w:rPr>
          <w:rFonts w:ascii="Arial" w:hAnsi="Arial" w:cs="Arial"/>
          <w:sz w:val="22"/>
        </w:rPr>
        <w:t xml:space="preserve"> fiksnom kamatnom </w:t>
      </w:r>
      <w:r w:rsidR="00DE51BE" w:rsidRPr="00073673">
        <w:rPr>
          <w:rFonts w:ascii="Arial" w:hAnsi="Arial" w:cs="Arial"/>
          <w:sz w:val="22"/>
        </w:rPr>
        <w:t xml:space="preserve">stopom </w:t>
      </w:r>
      <w:r w:rsidR="002B6A7D" w:rsidRPr="00073673">
        <w:rPr>
          <w:rFonts w:ascii="Arial" w:hAnsi="Arial" w:cs="Arial"/>
          <w:sz w:val="22"/>
        </w:rPr>
        <w:t xml:space="preserve">prilikom procjena visine kamata </w:t>
      </w:r>
      <w:r w:rsidRPr="00073673">
        <w:rPr>
          <w:rFonts w:ascii="Arial" w:hAnsi="Arial" w:cs="Arial"/>
          <w:sz w:val="22"/>
        </w:rPr>
        <w:t>uzeta u obzir postojeća</w:t>
      </w:r>
      <w:r w:rsidR="002B6A7D" w:rsidRPr="00073673">
        <w:rPr>
          <w:rFonts w:ascii="Arial" w:hAnsi="Arial" w:cs="Arial"/>
          <w:sz w:val="22"/>
        </w:rPr>
        <w:t xml:space="preserve"> zaduženja</w:t>
      </w:r>
      <w:r w:rsidRPr="00073673">
        <w:rPr>
          <w:rFonts w:ascii="Arial" w:hAnsi="Arial" w:cs="Arial"/>
          <w:sz w:val="22"/>
        </w:rPr>
        <w:t>.</w:t>
      </w:r>
      <w:r w:rsidR="006C32B2" w:rsidRPr="00073673">
        <w:rPr>
          <w:rFonts w:ascii="Arial" w:hAnsi="Arial" w:cs="Arial"/>
          <w:sz w:val="22"/>
        </w:rPr>
        <w:t xml:space="preserve"> </w:t>
      </w:r>
    </w:p>
    <w:p w14:paraId="1E3F6D6E" w14:textId="77777777" w:rsidR="00656E8F" w:rsidRPr="00073673" w:rsidRDefault="00656E8F" w:rsidP="006B072E">
      <w:pPr>
        <w:pStyle w:val="ParagraphNumbering"/>
        <w:keepNext/>
        <w:numPr>
          <w:ilvl w:val="0"/>
          <w:numId w:val="0"/>
        </w:numPr>
        <w:spacing w:after="0" w:line="276" w:lineRule="auto"/>
        <w:ind w:firstLine="420"/>
        <w:jc w:val="both"/>
        <w:rPr>
          <w:rFonts w:ascii="Arial" w:hAnsi="Arial" w:cs="Arial"/>
          <w:sz w:val="22"/>
        </w:rPr>
      </w:pPr>
    </w:p>
    <w:p w14:paraId="741A1D8E" w14:textId="5276C646" w:rsidR="00AC74DF" w:rsidRDefault="00B63B7A" w:rsidP="00445180">
      <w:pPr>
        <w:spacing w:after="0"/>
        <w:ind w:firstLine="420"/>
        <w:jc w:val="both"/>
        <w:rPr>
          <w:rFonts w:ascii="Arial" w:hAnsi="Arial" w:cs="Arial"/>
          <w:szCs w:val="24"/>
        </w:rPr>
      </w:pPr>
      <w:r w:rsidRPr="00073673">
        <w:rPr>
          <w:rFonts w:ascii="Arial" w:hAnsi="Arial" w:cs="Arial"/>
          <w:szCs w:val="24"/>
        </w:rPr>
        <w:t>Kretanje kamatnih stopa na domaći dug izračunato na osnov</w:t>
      </w:r>
      <w:r w:rsidR="00C705CB">
        <w:rPr>
          <w:rFonts w:ascii="Arial" w:hAnsi="Arial" w:cs="Arial"/>
          <w:szCs w:val="24"/>
        </w:rPr>
        <w:t>i</w:t>
      </w:r>
      <w:r w:rsidRPr="00073673">
        <w:rPr>
          <w:rFonts w:ascii="Arial" w:hAnsi="Arial" w:cs="Arial"/>
          <w:szCs w:val="24"/>
        </w:rPr>
        <w:t xml:space="preserve"> jednostavnih očekivanja na bazi kamatnih stopa postojećeg </w:t>
      </w:r>
      <w:r w:rsidR="009A78EF">
        <w:rPr>
          <w:rFonts w:ascii="Arial" w:hAnsi="Arial" w:cs="Arial"/>
          <w:szCs w:val="24"/>
        </w:rPr>
        <w:t>portfelja</w:t>
      </w:r>
      <w:r w:rsidRPr="00073673">
        <w:rPr>
          <w:rFonts w:ascii="Arial" w:hAnsi="Arial" w:cs="Arial"/>
          <w:szCs w:val="24"/>
        </w:rPr>
        <w:t xml:space="preserve"> </w:t>
      </w:r>
      <w:r w:rsidR="009A78EF">
        <w:rPr>
          <w:rFonts w:ascii="Arial" w:hAnsi="Arial" w:cs="Arial"/>
          <w:szCs w:val="24"/>
        </w:rPr>
        <w:t>unutarnjeg</w:t>
      </w:r>
      <w:r w:rsidRPr="00073673">
        <w:rPr>
          <w:rFonts w:ascii="Arial" w:hAnsi="Arial" w:cs="Arial"/>
          <w:szCs w:val="24"/>
        </w:rPr>
        <w:t xml:space="preserve"> duga Federacije BiH.</w:t>
      </w:r>
    </w:p>
    <w:p w14:paraId="31A15621" w14:textId="77777777" w:rsidR="00C705CB" w:rsidRDefault="00C705CB" w:rsidP="00445180">
      <w:pPr>
        <w:spacing w:after="0"/>
        <w:ind w:firstLine="420"/>
        <w:jc w:val="both"/>
        <w:rPr>
          <w:rFonts w:ascii="Arial" w:hAnsi="Arial" w:cs="Arial"/>
          <w:szCs w:val="24"/>
        </w:rPr>
      </w:pPr>
    </w:p>
    <w:p w14:paraId="28ECCD6B" w14:textId="6F1DAB35" w:rsidR="00ED768D" w:rsidRDefault="00ED768D" w:rsidP="006B072E">
      <w:pPr>
        <w:spacing w:after="0" w:line="240" w:lineRule="auto"/>
        <w:jc w:val="both"/>
        <w:rPr>
          <w:rFonts w:ascii="Arial" w:hAnsi="Arial" w:cs="Arial"/>
          <w:szCs w:val="24"/>
        </w:rPr>
      </w:pPr>
      <w:r w:rsidRPr="00B63B7A">
        <w:rPr>
          <w:rFonts w:ascii="Arial" w:hAnsi="Arial" w:cs="Arial"/>
          <w:szCs w:val="24"/>
        </w:rPr>
        <w:t>Tab</w:t>
      </w:r>
      <w:r w:rsidR="00C705CB">
        <w:rPr>
          <w:rFonts w:ascii="Arial" w:hAnsi="Arial" w:cs="Arial"/>
          <w:szCs w:val="24"/>
        </w:rPr>
        <w:t>lica</w:t>
      </w:r>
      <w:r w:rsidRPr="00B63B7A">
        <w:rPr>
          <w:rFonts w:ascii="Arial" w:hAnsi="Arial" w:cs="Arial"/>
          <w:szCs w:val="24"/>
        </w:rPr>
        <w:t xml:space="preserve"> 1</w:t>
      </w:r>
      <w:r w:rsidR="005A0B60" w:rsidRPr="00B63B7A">
        <w:rPr>
          <w:rFonts w:ascii="Arial" w:hAnsi="Arial" w:cs="Arial"/>
          <w:szCs w:val="24"/>
        </w:rPr>
        <w:t>0</w:t>
      </w:r>
      <w:r w:rsidRPr="00B63B7A">
        <w:rPr>
          <w:rFonts w:ascii="Arial" w:hAnsi="Arial" w:cs="Arial"/>
          <w:szCs w:val="24"/>
        </w:rPr>
        <w:t>. Proc</w:t>
      </w:r>
      <w:r w:rsidR="00D945EA" w:rsidRPr="00B63B7A">
        <w:rPr>
          <w:rFonts w:ascii="Arial" w:hAnsi="Arial" w:cs="Arial"/>
          <w:szCs w:val="24"/>
        </w:rPr>
        <w:t>i</w:t>
      </w:r>
      <w:r w:rsidRPr="00B63B7A">
        <w:rPr>
          <w:rFonts w:ascii="Arial" w:hAnsi="Arial" w:cs="Arial"/>
          <w:szCs w:val="24"/>
        </w:rPr>
        <w:t xml:space="preserve">jenjene visine kamata na </w:t>
      </w:r>
      <w:r w:rsidR="00BB7244" w:rsidRPr="00B63B7A">
        <w:rPr>
          <w:rFonts w:ascii="Arial" w:hAnsi="Arial" w:cs="Arial"/>
          <w:szCs w:val="24"/>
        </w:rPr>
        <w:t xml:space="preserve">instrumente </w:t>
      </w:r>
      <w:r w:rsidR="00A97D61">
        <w:rPr>
          <w:rFonts w:ascii="Arial" w:hAnsi="Arial" w:cs="Arial"/>
          <w:szCs w:val="24"/>
        </w:rPr>
        <w:t xml:space="preserve">vanjskog </w:t>
      </w:r>
      <w:r w:rsidR="00BB7244" w:rsidRPr="00B63B7A">
        <w:rPr>
          <w:rFonts w:ascii="Arial" w:hAnsi="Arial" w:cs="Arial"/>
          <w:szCs w:val="24"/>
        </w:rPr>
        <w:t>duga</w:t>
      </w:r>
      <w:r w:rsidRPr="00B63B7A">
        <w:rPr>
          <w:rFonts w:ascii="Arial" w:hAnsi="Arial" w:cs="Arial"/>
          <w:szCs w:val="24"/>
        </w:rPr>
        <w:t xml:space="preserve"> </w:t>
      </w:r>
      <w:r w:rsidR="00A76757" w:rsidRPr="00B63B7A">
        <w:rPr>
          <w:rFonts w:ascii="Arial" w:hAnsi="Arial" w:cs="Arial"/>
          <w:szCs w:val="24"/>
        </w:rPr>
        <w:t xml:space="preserve">u </w:t>
      </w:r>
      <w:r w:rsidR="00A31C4D">
        <w:rPr>
          <w:rFonts w:ascii="Arial" w:hAnsi="Arial" w:cs="Arial"/>
          <w:szCs w:val="24"/>
        </w:rPr>
        <w:t>razdoblju</w:t>
      </w:r>
      <w:r w:rsidR="00A76757" w:rsidRPr="00D912D1">
        <w:rPr>
          <w:rFonts w:ascii="Arial" w:hAnsi="Arial" w:cs="Arial"/>
          <w:szCs w:val="24"/>
        </w:rPr>
        <w:t xml:space="preserve"> </w:t>
      </w:r>
      <w:r w:rsidR="00CA4C11" w:rsidRPr="00073673">
        <w:rPr>
          <w:rFonts w:ascii="Arial" w:hAnsi="Arial" w:cs="Arial"/>
          <w:szCs w:val="24"/>
        </w:rPr>
        <w:t xml:space="preserve">2022 </w:t>
      </w:r>
      <w:r w:rsidRPr="00073673">
        <w:rPr>
          <w:rFonts w:ascii="Arial" w:hAnsi="Arial" w:cs="Arial"/>
          <w:szCs w:val="24"/>
        </w:rPr>
        <w:t xml:space="preserve">– </w:t>
      </w:r>
      <w:r w:rsidR="00CA4C11" w:rsidRPr="00073673">
        <w:rPr>
          <w:rFonts w:ascii="Arial" w:hAnsi="Arial" w:cs="Arial"/>
          <w:szCs w:val="24"/>
        </w:rPr>
        <w:t>2024</w:t>
      </w:r>
      <w:r w:rsidRPr="00073673">
        <w:rPr>
          <w:rFonts w:ascii="Arial" w:hAnsi="Arial" w:cs="Arial"/>
          <w:szCs w:val="24"/>
        </w:rPr>
        <w:t>. godin</w:t>
      </w:r>
      <w:r w:rsidR="00A76757" w:rsidRPr="00073673">
        <w:rPr>
          <w:rFonts w:ascii="Arial" w:hAnsi="Arial" w:cs="Arial"/>
          <w:szCs w:val="24"/>
        </w:rPr>
        <w:t>a</w:t>
      </w:r>
      <w:r w:rsidRPr="00073673">
        <w:rPr>
          <w:rFonts w:ascii="Arial" w:hAnsi="Arial" w:cs="Arial"/>
          <w:szCs w:val="24"/>
        </w:rPr>
        <w:t xml:space="preserve"> korištene u MTDS AT</w:t>
      </w:r>
    </w:p>
    <w:p w14:paraId="303B2273" w14:textId="77777777" w:rsidR="00BF7FA5" w:rsidRDefault="00BF7FA5" w:rsidP="006B072E">
      <w:pPr>
        <w:spacing w:after="0" w:line="240" w:lineRule="auto"/>
        <w:jc w:val="both"/>
        <w:rPr>
          <w:rFonts w:ascii="Arial" w:hAnsi="Arial" w:cs="Arial"/>
          <w:szCs w:val="24"/>
        </w:rPr>
      </w:pPr>
    </w:p>
    <w:tbl>
      <w:tblPr>
        <w:tblpPr w:leftFromText="180" w:rightFromText="180" w:vertAnchor="text" w:tblpXSpec="center" w:tblpY="1"/>
        <w:tblOverlap w:val="never"/>
        <w:tblW w:w="935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395"/>
        <w:gridCol w:w="1701"/>
        <w:gridCol w:w="1701"/>
        <w:gridCol w:w="1559"/>
      </w:tblGrid>
      <w:tr w:rsidR="00772BD0" w:rsidRPr="00772BD0" w14:paraId="3408FF12" w14:textId="77777777" w:rsidTr="00445180">
        <w:trPr>
          <w:trHeight w:val="300"/>
        </w:trPr>
        <w:tc>
          <w:tcPr>
            <w:tcW w:w="4395" w:type="dxa"/>
            <w:vMerge w:val="restart"/>
            <w:shd w:val="clear" w:color="auto" w:fill="auto"/>
            <w:noWrap/>
            <w:vAlign w:val="center"/>
            <w:hideMark/>
          </w:tcPr>
          <w:p w14:paraId="3D16792E" w14:textId="77777777" w:rsidR="00772BD0" w:rsidRPr="00C32F9E" w:rsidRDefault="00772BD0" w:rsidP="00760E3C">
            <w:pPr>
              <w:spacing w:after="0" w:line="240" w:lineRule="auto"/>
              <w:jc w:val="center"/>
              <w:rPr>
                <w:rFonts w:ascii="Arial" w:eastAsia="Times New Roman" w:hAnsi="Arial" w:cs="Arial"/>
                <w:color w:val="000000"/>
                <w:sz w:val="20"/>
                <w:szCs w:val="20"/>
                <w:lang w:val="bs-Latn-BA" w:eastAsia="bs-Latn-BA"/>
              </w:rPr>
            </w:pPr>
            <w:r w:rsidRPr="00C32F9E">
              <w:rPr>
                <w:rFonts w:ascii="Arial" w:eastAsia="Times New Roman" w:hAnsi="Arial" w:cs="Arial"/>
                <w:color w:val="000000"/>
                <w:sz w:val="20"/>
                <w:szCs w:val="20"/>
                <w:lang w:eastAsia="bs-Latn-BA"/>
              </w:rPr>
              <w:t>Naziv instrumenta</w:t>
            </w:r>
          </w:p>
        </w:tc>
        <w:tc>
          <w:tcPr>
            <w:tcW w:w="4961" w:type="dxa"/>
            <w:gridSpan w:val="3"/>
            <w:shd w:val="clear" w:color="auto" w:fill="auto"/>
            <w:noWrap/>
            <w:vAlign w:val="center"/>
            <w:hideMark/>
          </w:tcPr>
          <w:p w14:paraId="2233B08E" w14:textId="77777777" w:rsidR="00772BD0" w:rsidRPr="00C32F9E" w:rsidRDefault="00772BD0" w:rsidP="00760E3C">
            <w:pPr>
              <w:spacing w:after="0" w:line="240" w:lineRule="auto"/>
              <w:jc w:val="center"/>
              <w:rPr>
                <w:rFonts w:ascii="Arial" w:eastAsia="Times New Roman" w:hAnsi="Arial" w:cs="Arial"/>
                <w:color w:val="000000"/>
                <w:sz w:val="20"/>
                <w:szCs w:val="20"/>
                <w:lang w:val="bs-Latn-BA" w:eastAsia="bs-Latn-BA"/>
              </w:rPr>
            </w:pPr>
            <w:r w:rsidRPr="00C32F9E">
              <w:rPr>
                <w:rFonts w:ascii="Arial" w:eastAsia="Times New Roman" w:hAnsi="Arial" w:cs="Arial"/>
                <w:color w:val="000000"/>
                <w:sz w:val="20"/>
                <w:szCs w:val="20"/>
                <w:lang w:eastAsia="bs-Latn-BA"/>
              </w:rPr>
              <w:t>Kamata</w:t>
            </w:r>
          </w:p>
        </w:tc>
      </w:tr>
      <w:tr w:rsidR="00772BD0" w:rsidRPr="00772BD0" w14:paraId="6DC7FAB4" w14:textId="77777777" w:rsidTr="00445180">
        <w:trPr>
          <w:trHeight w:val="300"/>
        </w:trPr>
        <w:tc>
          <w:tcPr>
            <w:tcW w:w="4395" w:type="dxa"/>
            <w:vMerge/>
            <w:vAlign w:val="center"/>
            <w:hideMark/>
          </w:tcPr>
          <w:p w14:paraId="582E13F4" w14:textId="77777777" w:rsidR="00772BD0" w:rsidRPr="00C32F9E" w:rsidRDefault="00772BD0" w:rsidP="00760E3C">
            <w:pPr>
              <w:spacing w:after="0" w:line="240" w:lineRule="auto"/>
              <w:rPr>
                <w:rFonts w:ascii="Arial" w:eastAsia="Times New Roman" w:hAnsi="Arial" w:cs="Arial"/>
                <w:color w:val="000000"/>
                <w:sz w:val="20"/>
                <w:szCs w:val="20"/>
                <w:lang w:val="bs-Latn-BA" w:eastAsia="bs-Latn-BA"/>
              </w:rPr>
            </w:pPr>
          </w:p>
        </w:tc>
        <w:tc>
          <w:tcPr>
            <w:tcW w:w="1701" w:type="dxa"/>
            <w:shd w:val="clear" w:color="auto" w:fill="auto"/>
            <w:noWrap/>
            <w:vAlign w:val="center"/>
            <w:hideMark/>
          </w:tcPr>
          <w:p w14:paraId="7AC05D3D" w14:textId="03555C67" w:rsidR="00772BD0" w:rsidRPr="00C32F9E" w:rsidRDefault="009E62FD" w:rsidP="00760E3C">
            <w:pPr>
              <w:spacing w:after="0" w:line="240" w:lineRule="auto"/>
              <w:jc w:val="center"/>
              <w:rPr>
                <w:rFonts w:ascii="Arial" w:eastAsia="Times New Roman" w:hAnsi="Arial" w:cs="Arial"/>
                <w:color w:val="000000"/>
                <w:sz w:val="20"/>
                <w:szCs w:val="20"/>
                <w:lang w:val="bs-Latn-BA" w:eastAsia="bs-Latn-BA"/>
              </w:rPr>
            </w:pPr>
            <w:r w:rsidRPr="00C32F9E">
              <w:rPr>
                <w:rFonts w:ascii="Arial" w:eastAsia="Times New Roman" w:hAnsi="Arial" w:cs="Arial"/>
                <w:color w:val="000000"/>
                <w:sz w:val="20"/>
                <w:szCs w:val="20"/>
                <w:lang w:eastAsia="bs-Latn-BA"/>
              </w:rPr>
              <w:t>2022</w:t>
            </w:r>
          </w:p>
        </w:tc>
        <w:tc>
          <w:tcPr>
            <w:tcW w:w="1701" w:type="dxa"/>
            <w:shd w:val="clear" w:color="auto" w:fill="auto"/>
            <w:noWrap/>
            <w:vAlign w:val="center"/>
            <w:hideMark/>
          </w:tcPr>
          <w:p w14:paraId="40C5F90D" w14:textId="7CC69E67" w:rsidR="00772BD0" w:rsidRPr="00C32F9E" w:rsidRDefault="00772BD0" w:rsidP="00760E3C">
            <w:pPr>
              <w:spacing w:after="0" w:line="240" w:lineRule="auto"/>
              <w:jc w:val="center"/>
              <w:rPr>
                <w:rFonts w:ascii="Arial" w:eastAsia="Times New Roman" w:hAnsi="Arial" w:cs="Arial"/>
                <w:color w:val="000000"/>
                <w:sz w:val="20"/>
                <w:szCs w:val="20"/>
                <w:lang w:val="bs-Latn-BA" w:eastAsia="bs-Latn-BA"/>
              </w:rPr>
            </w:pPr>
            <w:r w:rsidRPr="00C32F9E">
              <w:rPr>
                <w:rFonts w:ascii="Arial" w:eastAsia="Times New Roman" w:hAnsi="Arial" w:cs="Arial"/>
                <w:color w:val="000000"/>
                <w:sz w:val="20"/>
                <w:szCs w:val="20"/>
                <w:lang w:eastAsia="bs-Latn-BA"/>
              </w:rPr>
              <w:t>202</w:t>
            </w:r>
            <w:r w:rsidR="009E62FD" w:rsidRPr="00445180">
              <w:rPr>
                <w:rFonts w:ascii="Arial" w:eastAsia="Times New Roman" w:hAnsi="Arial" w:cs="Arial"/>
                <w:color w:val="000000"/>
                <w:sz w:val="20"/>
                <w:szCs w:val="20"/>
                <w:lang w:eastAsia="bs-Latn-BA"/>
              </w:rPr>
              <w:t>3</w:t>
            </w:r>
          </w:p>
        </w:tc>
        <w:tc>
          <w:tcPr>
            <w:tcW w:w="1559" w:type="dxa"/>
            <w:shd w:val="clear" w:color="auto" w:fill="auto"/>
            <w:noWrap/>
            <w:vAlign w:val="center"/>
            <w:hideMark/>
          </w:tcPr>
          <w:p w14:paraId="05F0465C" w14:textId="6AB7BE18" w:rsidR="00772BD0" w:rsidRPr="00C32F9E" w:rsidRDefault="00772BD0" w:rsidP="00760E3C">
            <w:pPr>
              <w:spacing w:after="0" w:line="240" w:lineRule="auto"/>
              <w:jc w:val="center"/>
              <w:rPr>
                <w:rFonts w:ascii="Arial" w:eastAsia="Times New Roman" w:hAnsi="Arial" w:cs="Arial"/>
                <w:color w:val="000000"/>
                <w:sz w:val="20"/>
                <w:szCs w:val="20"/>
                <w:lang w:val="bs-Latn-BA" w:eastAsia="bs-Latn-BA"/>
              </w:rPr>
            </w:pPr>
            <w:r w:rsidRPr="00C32F9E">
              <w:rPr>
                <w:rFonts w:ascii="Arial" w:eastAsia="Times New Roman" w:hAnsi="Arial" w:cs="Arial"/>
                <w:color w:val="000000"/>
                <w:sz w:val="20"/>
                <w:szCs w:val="20"/>
                <w:lang w:eastAsia="bs-Latn-BA"/>
              </w:rPr>
              <w:t>202</w:t>
            </w:r>
            <w:r w:rsidR="009E62FD" w:rsidRPr="00445180">
              <w:rPr>
                <w:rFonts w:ascii="Arial" w:eastAsia="Times New Roman" w:hAnsi="Arial" w:cs="Arial"/>
                <w:color w:val="000000"/>
                <w:sz w:val="20"/>
                <w:szCs w:val="20"/>
                <w:lang w:eastAsia="bs-Latn-BA"/>
              </w:rPr>
              <w:t>4</w:t>
            </w:r>
          </w:p>
        </w:tc>
      </w:tr>
      <w:tr w:rsidR="00772BD0" w:rsidRPr="00772BD0" w14:paraId="0DDAC966" w14:textId="77777777" w:rsidTr="00445180">
        <w:trPr>
          <w:trHeight w:val="300"/>
        </w:trPr>
        <w:tc>
          <w:tcPr>
            <w:tcW w:w="4395" w:type="dxa"/>
            <w:shd w:val="clear" w:color="auto" w:fill="auto"/>
            <w:noWrap/>
            <w:vAlign w:val="center"/>
            <w:hideMark/>
          </w:tcPr>
          <w:p w14:paraId="2BE9CFF1" w14:textId="77777777" w:rsidR="00772BD0" w:rsidRPr="00C32F9E" w:rsidRDefault="00772BD0" w:rsidP="00760E3C">
            <w:pPr>
              <w:spacing w:after="0" w:line="240" w:lineRule="auto"/>
              <w:rPr>
                <w:rFonts w:ascii="Arial" w:eastAsia="Times New Roman" w:hAnsi="Arial" w:cs="Arial"/>
                <w:color w:val="000000"/>
                <w:sz w:val="20"/>
                <w:szCs w:val="20"/>
                <w:lang w:val="bs-Latn-BA" w:eastAsia="bs-Latn-BA"/>
              </w:rPr>
            </w:pPr>
            <w:r w:rsidRPr="00C32F9E">
              <w:rPr>
                <w:rFonts w:ascii="Arial" w:eastAsia="Times New Roman" w:hAnsi="Arial" w:cs="Arial"/>
                <w:color w:val="000000"/>
                <w:sz w:val="20"/>
                <w:szCs w:val="20"/>
                <w:lang w:eastAsia="bs-Latn-BA"/>
              </w:rPr>
              <w:t>Koncesionalni USD Fiksni</w:t>
            </w:r>
          </w:p>
        </w:tc>
        <w:tc>
          <w:tcPr>
            <w:tcW w:w="1701" w:type="dxa"/>
            <w:shd w:val="clear" w:color="auto" w:fill="auto"/>
            <w:noWrap/>
            <w:vAlign w:val="center"/>
            <w:hideMark/>
          </w:tcPr>
          <w:p w14:paraId="43DB1077" w14:textId="2604860C" w:rsidR="00772BD0" w:rsidRPr="00C32F9E" w:rsidRDefault="009E62FD" w:rsidP="00760E3C">
            <w:pPr>
              <w:spacing w:after="0" w:line="240" w:lineRule="auto"/>
              <w:jc w:val="right"/>
              <w:rPr>
                <w:rFonts w:ascii="Arial" w:eastAsia="Times New Roman" w:hAnsi="Arial" w:cs="Arial"/>
                <w:color w:val="000000"/>
                <w:sz w:val="20"/>
                <w:szCs w:val="20"/>
                <w:lang w:val="bs-Latn-BA" w:eastAsia="bs-Latn-BA"/>
              </w:rPr>
            </w:pPr>
            <w:r w:rsidRPr="00C32F9E">
              <w:rPr>
                <w:rFonts w:ascii="Arial" w:eastAsia="Times New Roman" w:hAnsi="Arial" w:cs="Arial"/>
                <w:color w:val="000000"/>
                <w:sz w:val="20"/>
                <w:szCs w:val="20"/>
                <w:lang w:val="bs-Latn-BA" w:eastAsia="bs-Latn-BA"/>
              </w:rPr>
              <w:t>2,84</w:t>
            </w:r>
            <w:r w:rsidR="00772BD0" w:rsidRPr="00C32F9E">
              <w:rPr>
                <w:rFonts w:ascii="Arial" w:eastAsia="Times New Roman" w:hAnsi="Arial" w:cs="Arial"/>
                <w:color w:val="000000"/>
                <w:sz w:val="20"/>
                <w:szCs w:val="20"/>
                <w:lang w:val="bs-Latn-BA" w:eastAsia="bs-Latn-BA"/>
              </w:rPr>
              <w:t>%</w:t>
            </w:r>
          </w:p>
        </w:tc>
        <w:tc>
          <w:tcPr>
            <w:tcW w:w="1701" w:type="dxa"/>
            <w:shd w:val="clear" w:color="auto" w:fill="auto"/>
            <w:noWrap/>
            <w:vAlign w:val="center"/>
            <w:hideMark/>
          </w:tcPr>
          <w:p w14:paraId="46137CBF" w14:textId="16974058" w:rsidR="00772BD0" w:rsidRPr="00C32F9E" w:rsidRDefault="009E62FD" w:rsidP="00760E3C">
            <w:pPr>
              <w:spacing w:after="0" w:line="240" w:lineRule="auto"/>
              <w:jc w:val="right"/>
              <w:rPr>
                <w:rFonts w:ascii="Arial" w:eastAsia="Times New Roman" w:hAnsi="Arial" w:cs="Arial"/>
                <w:color w:val="000000"/>
                <w:sz w:val="20"/>
                <w:szCs w:val="20"/>
                <w:lang w:val="bs-Latn-BA" w:eastAsia="bs-Latn-BA"/>
              </w:rPr>
            </w:pPr>
            <w:r w:rsidRPr="00C32F9E">
              <w:rPr>
                <w:rFonts w:ascii="Arial" w:eastAsia="Times New Roman" w:hAnsi="Arial" w:cs="Arial"/>
                <w:color w:val="000000"/>
                <w:sz w:val="20"/>
                <w:szCs w:val="20"/>
                <w:lang w:val="bs-Latn-BA" w:eastAsia="bs-Latn-BA"/>
              </w:rPr>
              <w:t>3,21</w:t>
            </w:r>
            <w:r w:rsidR="00772BD0" w:rsidRPr="00C32F9E">
              <w:rPr>
                <w:rFonts w:ascii="Arial" w:eastAsia="Times New Roman" w:hAnsi="Arial" w:cs="Arial"/>
                <w:color w:val="000000"/>
                <w:sz w:val="20"/>
                <w:szCs w:val="20"/>
                <w:lang w:val="bs-Latn-BA" w:eastAsia="bs-Latn-BA"/>
              </w:rPr>
              <w:t>%</w:t>
            </w:r>
          </w:p>
        </w:tc>
        <w:tc>
          <w:tcPr>
            <w:tcW w:w="1559" w:type="dxa"/>
            <w:shd w:val="clear" w:color="auto" w:fill="auto"/>
            <w:noWrap/>
            <w:vAlign w:val="center"/>
            <w:hideMark/>
          </w:tcPr>
          <w:p w14:paraId="74A58B38" w14:textId="438C3C78" w:rsidR="00772BD0" w:rsidRPr="00C32F9E" w:rsidRDefault="009E62FD" w:rsidP="00760E3C">
            <w:pPr>
              <w:spacing w:after="0" w:line="240" w:lineRule="auto"/>
              <w:jc w:val="right"/>
              <w:rPr>
                <w:rFonts w:ascii="Arial" w:eastAsia="Times New Roman" w:hAnsi="Arial" w:cs="Arial"/>
                <w:color w:val="000000"/>
                <w:sz w:val="20"/>
                <w:szCs w:val="20"/>
                <w:lang w:val="bs-Latn-BA" w:eastAsia="bs-Latn-BA"/>
              </w:rPr>
            </w:pPr>
            <w:r w:rsidRPr="00C32F9E">
              <w:rPr>
                <w:rFonts w:ascii="Arial" w:eastAsia="Times New Roman" w:hAnsi="Arial" w:cs="Arial"/>
                <w:color w:val="000000"/>
                <w:sz w:val="20"/>
                <w:szCs w:val="20"/>
                <w:lang w:val="bs-Latn-BA" w:eastAsia="bs-Latn-BA"/>
              </w:rPr>
              <w:t>3,54</w:t>
            </w:r>
            <w:r w:rsidR="00772BD0" w:rsidRPr="00C32F9E">
              <w:rPr>
                <w:rFonts w:ascii="Arial" w:eastAsia="Times New Roman" w:hAnsi="Arial" w:cs="Arial"/>
                <w:color w:val="000000"/>
                <w:sz w:val="20"/>
                <w:szCs w:val="20"/>
                <w:lang w:val="bs-Latn-BA" w:eastAsia="bs-Latn-BA"/>
              </w:rPr>
              <w:t>%</w:t>
            </w:r>
          </w:p>
        </w:tc>
      </w:tr>
      <w:tr w:rsidR="00772BD0" w:rsidRPr="00772BD0" w14:paraId="7F1EC5DF" w14:textId="77777777" w:rsidTr="00445180">
        <w:trPr>
          <w:trHeight w:val="300"/>
        </w:trPr>
        <w:tc>
          <w:tcPr>
            <w:tcW w:w="4395" w:type="dxa"/>
            <w:shd w:val="clear" w:color="auto" w:fill="auto"/>
            <w:noWrap/>
            <w:vAlign w:val="center"/>
            <w:hideMark/>
          </w:tcPr>
          <w:p w14:paraId="1D6D10D1" w14:textId="77777777" w:rsidR="00772BD0" w:rsidRPr="00C32F9E" w:rsidRDefault="00772BD0" w:rsidP="00760E3C">
            <w:pPr>
              <w:spacing w:after="0" w:line="240" w:lineRule="auto"/>
              <w:rPr>
                <w:rFonts w:ascii="Arial" w:eastAsia="Times New Roman" w:hAnsi="Arial" w:cs="Arial"/>
                <w:color w:val="000000"/>
                <w:sz w:val="20"/>
                <w:szCs w:val="20"/>
                <w:lang w:eastAsia="bs-Latn-BA"/>
              </w:rPr>
            </w:pPr>
            <w:r w:rsidRPr="00C32F9E">
              <w:rPr>
                <w:rFonts w:ascii="Arial" w:eastAsia="Times New Roman" w:hAnsi="Arial" w:cs="Arial"/>
                <w:color w:val="000000"/>
                <w:sz w:val="20"/>
                <w:szCs w:val="20"/>
                <w:lang w:eastAsia="bs-Latn-BA"/>
              </w:rPr>
              <w:t>Koncesionalni EUR Fiksni</w:t>
            </w:r>
          </w:p>
        </w:tc>
        <w:tc>
          <w:tcPr>
            <w:tcW w:w="1701" w:type="dxa"/>
            <w:shd w:val="clear" w:color="auto" w:fill="auto"/>
            <w:noWrap/>
            <w:vAlign w:val="center"/>
            <w:hideMark/>
          </w:tcPr>
          <w:p w14:paraId="7C2AF5B1" w14:textId="75F8B2E3" w:rsidR="00772BD0" w:rsidRPr="00C32F9E" w:rsidRDefault="00772BD0" w:rsidP="00760E3C">
            <w:pPr>
              <w:spacing w:after="0" w:line="240" w:lineRule="auto"/>
              <w:jc w:val="right"/>
              <w:rPr>
                <w:rFonts w:ascii="Arial" w:eastAsia="Times New Roman" w:hAnsi="Arial" w:cs="Arial"/>
                <w:color w:val="000000"/>
                <w:sz w:val="20"/>
                <w:szCs w:val="20"/>
                <w:lang w:eastAsia="bs-Latn-BA"/>
              </w:rPr>
            </w:pPr>
            <w:r w:rsidRPr="00C32F9E">
              <w:rPr>
                <w:rFonts w:ascii="Arial" w:eastAsia="Times New Roman" w:hAnsi="Arial" w:cs="Arial"/>
                <w:color w:val="000000"/>
                <w:sz w:val="20"/>
                <w:szCs w:val="20"/>
                <w:lang w:eastAsia="bs-Latn-BA"/>
              </w:rPr>
              <w:t>1,</w:t>
            </w:r>
            <w:r w:rsidR="009E62FD" w:rsidRPr="00C32F9E">
              <w:rPr>
                <w:rFonts w:ascii="Arial" w:eastAsia="Times New Roman" w:hAnsi="Arial" w:cs="Arial"/>
                <w:color w:val="000000"/>
                <w:sz w:val="20"/>
                <w:szCs w:val="20"/>
                <w:lang w:eastAsia="bs-Latn-BA"/>
              </w:rPr>
              <w:t>80</w:t>
            </w:r>
            <w:r w:rsidRPr="00C32F9E">
              <w:rPr>
                <w:rFonts w:ascii="Arial" w:eastAsia="Times New Roman" w:hAnsi="Arial" w:cs="Arial"/>
                <w:color w:val="000000"/>
                <w:sz w:val="20"/>
                <w:szCs w:val="20"/>
                <w:lang w:eastAsia="bs-Latn-BA"/>
              </w:rPr>
              <w:t>%</w:t>
            </w:r>
          </w:p>
        </w:tc>
        <w:tc>
          <w:tcPr>
            <w:tcW w:w="1701" w:type="dxa"/>
            <w:shd w:val="clear" w:color="auto" w:fill="auto"/>
            <w:noWrap/>
            <w:vAlign w:val="center"/>
            <w:hideMark/>
          </w:tcPr>
          <w:p w14:paraId="17208A5A" w14:textId="60F3B2DD" w:rsidR="00772BD0" w:rsidRPr="00C32F9E" w:rsidRDefault="00772BD0" w:rsidP="00760E3C">
            <w:pPr>
              <w:spacing w:after="0" w:line="240" w:lineRule="auto"/>
              <w:jc w:val="right"/>
              <w:rPr>
                <w:rFonts w:ascii="Arial" w:eastAsia="Times New Roman" w:hAnsi="Arial" w:cs="Arial"/>
                <w:color w:val="000000"/>
                <w:sz w:val="20"/>
                <w:szCs w:val="20"/>
                <w:lang w:eastAsia="bs-Latn-BA"/>
              </w:rPr>
            </w:pPr>
            <w:r w:rsidRPr="00C32F9E">
              <w:rPr>
                <w:rFonts w:ascii="Arial" w:eastAsia="Times New Roman" w:hAnsi="Arial" w:cs="Arial"/>
                <w:color w:val="000000"/>
                <w:sz w:val="20"/>
                <w:szCs w:val="20"/>
                <w:lang w:eastAsia="bs-Latn-BA"/>
              </w:rPr>
              <w:t>1,9</w:t>
            </w:r>
            <w:r w:rsidR="009E62FD" w:rsidRPr="00C32F9E">
              <w:rPr>
                <w:rFonts w:ascii="Arial" w:eastAsia="Times New Roman" w:hAnsi="Arial" w:cs="Arial"/>
                <w:color w:val="000000"/>
                <w:sz w:val="20"/>
                <w:szCs w:val="20"/>
                <w:lang w:eastAsia="bs-Latn-BA"/>
              </w:rPr>
              <w:t>5</w:t>
            </w:r>
            <w:r w:rsidRPr="00C32F9E">
              <w:rPr>
                <w:rFonts w:ascii="Arial" w:eastAsia="Times New Roman" w:hAnsi="Arial" w:cs="Arial"/>
                <w:color w:val="000000"/>
                <w:sz w:val="20"/>
                <w:szCs w:val="20"/>
                <w:lang w:eastAsia="bs-Latn-BA"/>
              </w:rPr>
              <w:t>%</w:t>
            </w:r>
          </w:p>
        </w:tc>
        <w:tc>
          <w:tcPr>
            <w:tcW w:w="1559" w:type="dxa"/>
            <w:shd w:val="clear" w:color="auto" w:fill="auto"/>
            <w:noWrap/>
            <w:vAlign w:val="center"/>
            <w:hideMark/>
          </w:tcPr>
          <w:p w14:paraId="56686CB2" w14:textId="0021A0A1" w:rsidR="00772BD0" w:rsidRPr="00C32F9E" w:rsidRDefault="009E62FD" w:rsidP="00760E3C">
            <w:pPr>
              <w:spacing w:after="0" w:line="240" w:lineRule="auto"/>
              <w:jc w:val="right"/>
              <w:rPr>
                <w:rFonts w:ascii="Arial" w:eastAsia="Times New Roman" w:hAnsi="Arial" w:cs="Arial"/>
                <w:color w:val="000000"/>
                <w:sz w:val="20"/>
                <w:szCs w:val="20"/>
                <w:lang w:eastAsia="bs-Latn-BA"/>
              </w:rPr>
            </w:pPr>
            <w:r w:rsidRPr="00C32F9E">
              <w:rPr>
                <w:rFonts w:ascii="Arial" w:eastAsia="Times New Roman" w:hAnsi="Arial" w:cs="Arial"/>
                <w:color w:val="000000"/>
                <w:sz w:val="20"/>
                <w:szCs w:val="20"/>
                <w:lang w:eastAsia="bs-Latn-BA"/>
              </w:rPr>
              <w:t>2,16</w:t>
            </w:r>
            <w:r w:rsidR="00772BD0" w:rsidRPr="00C32F9E">
              <w:rPr>
                <w:rFonts w:ascii="Arial" w:eastAsia="Times New Roman" w:hAnsi="Arial" w:cs="Arial"/>
                <w:color w:val="000000"/>
                <w:sz w:val="20"/>
                <w:szCs w:val="20"/>
                <w:lang w:eastAsia="bs-Latn-BA"/>
              </w:rPr>
              <w:t>%</w:t>
            </w:r>
          </w:p>
        </w:tc>
      </w:tr>
      <w:tr w:rsidR="00772BD0" w:rsidRPr="00772BD0" w14:paraId="55A0D56C" w14:textId="77777777" w:rsidTr="00445180">
        <w:trPr>
          <w:trHeight w:val="300"/>
        </w:trPr>
        <w:tc>
          <w:tcPr>
            <w:tcW w:w="4395" w:type="dxa"/>
            <w:shd w:val="clear" w:color="auto" w:fill="auto"/>
            <w:noWrap/>
            <w:vAlign w:val="center"/>
            <w:hideMark/>
          </w:tcPr>
          <w:p w14:paraId="5A99FAB7" w14:textId="77777777" w:rsidR="00772BD0" w:rsidRPr="00C32F9E" w:rsidRDefault="00772BD0" w:rsidP="00760E3C">
            <w:pPr>
              <w:spacing w:after="0" w:line="240" w:lineRule="auto"/>
              <w:rPr>
                <w:rFonts w:ascii="Arial" w:eastAsia="Times New Roman" w:hAnsi="Arial" w:cs="Arial"/>
                <w:color w:val="000000"/>
                <w:sz w:val="20"/>
                <w:szCs w:val="20"/>
                <w:lang w:eastAsia="bs-Latn-BA"/>
              </w:rPr>
            </w:pPr>
            <w:r w:rsidRPr="00C32F9E">
              <w:rPr>
                <w:rFonts w:ascii="Arial" w:eastAsia="Times New Roman" w:hAnsi="Arial" w:cs="Arial"/>
                <w:color w:val="000000"/>
                <w:sz w:val="20"/>
                <w:szCs w:val="20"/>
                <w:lang w:eastAsia="bs-Latn-BA"/>
              </w:rPr>
              <w:t>Koncesionalni USD Varijabilni</w:t>
            </w:r>
          </w:p>
        </w:tc>
        <w:tc>
          <w:tcPr>
            <w:tcW w:w="1701" w:type="dxa"/>
            <w:shd w:val="clear" w:color="auto" w:fill="auto"/>
            <w:noWrap/>
            <w:vAlign w:val="center"/>
            <w:hideMark/>
          </w:tcPr>
          <w:p w14:paraId="60341E50" w14:textId="251BF9E3" w:rsidR="00772BD0" w:rsidRPr="00C32F9E" w:rsidRDefault="00772BD0" w:rsidP="00760E3C">
            <w:pPr>
              <w:spacing w:after="0" w:line="240" w:lineRule="auto"/>
              <w:jc w:val="right"/>
              <w:rPr>
                <w:rFonts w:ascii="Arial" w:eastAsia="Times New Roman" w:hAnsi="Arial" w:cs="Arial"/>
                <w:color w:val="000000"/>
                <w:sz w:val="20"/>
                <w:szCs w:val="20"/>
                <w:lang w:eastAsia="bs-Latn-BA"/>
              </w:rPr>
            </w:pPr>
            <w:r w:rsidRPr="00C32F9E">
              <w:rPr>
                <w:rFonts w:ascii="Arial" w:eastAsia="Times New Roman" w:hAnsi="Arial" w:cs="Arial"/>
                <w:color w:val="000000"/>
                <w:sz w:val="20"/>
                <w:szCs w:val="20"/>
                <w:lang w:eastAsia="bs-Latn-BA"/>
              </w:rPr>
              <w:t>0,</w:t>
            </w:r>
            <w:r w:rsidR="009E62FD" w:rsidRPr="00C32F9E">
              <w:rPr>
                <w:rFonts w:ascii="Arial" w:eastAsia="Times New Roman" w:hAnsi="Arial" w:cs="Arial"/>
                <w:color w:val="000000"/>
                <w:sz w:val="20"/>
                <w:szCs w:val="20"/>
                <w:lang w:eastAsia="bs-Latn-BA"/>
              </w:rPr>
              <w:t>50</w:t>
            </w:r>
            <w:r w:rsidRPr="00C32F9E">
              <w:rPr>
                <w:rFonts w:ascii="Arial" w:eastAsia="Times New Roman" w:hAnsi="Arial" w:cs="Arial"/>
                <w:color w:val="000000"/>
                <w:sz w:val="20"/>
                <w:szCs w:val="20"/>
                <w:lang w:eastAsia="bs-Latn-BA"/>
              </w:rPr>
              <w:t>%</w:t>
            </w:r>
          </w:p>
        </w:tc>
        <w:tc>
          <w:tcPr>
            <w:tcW w:w="1701" w:type="dxa"/>
            <w:shd w:val="clear" w:color="auto" w:fill="auto"/>
            <w:noWrap/>
            <w:vAlign w:val="center"/>
            <w:hideMark/>
          </w:tcPr>
          <w:p w14:paraId="4A7BC91D" w14:textId="3D4E3230" w:rsidR="00772BD0" w:rsidRPr="00C32F9E" w:rsidRDefault="00772BD0" w:rsidP="00760E3C">
            <w:pPr>
              <w:spacing w:after="0" w:line="240" w:lineRule="auto"/>
              <w:jc w:val="right"/>
              <w:rPr>
                <w:rFonts w:ascii="Arial" w:eastAsia="Times New Roman" w:hAnsi="Arial" w:cs="Arial"/>
                <w:color w:val="000000"/>
                <w:sz w:val="20"/>
                <w:szCs w:val="20"/>
                <w:lang w:eastAsia="bs-Latn-BA"/>
              </w:rPr>
            </w:pPr>
            <w:r w:rsidRPr="00C32F9E">
              <w:rPr>
                <w:rFonts w:ascii="Arial" w:eastAsia="Times New Roman" w:hAnsi="Arial" w:cs="Arial"/>
                <w:color w:val="000000"/>
                <w:sz w:val="20"/>
                <w:szCs w:val="20"/>
                <w:lang w:eastAsia="bs-Latn-BA"/>
              </w:rPr>
              <w:t>0,</w:t>
            </w:r>
            <w:r w:rsidR="009E62FD" w:rsidRPr="00C32F9E">
              <w:rPr>
                <w:rFonts w:ascii="Arial" w:eastAsia="Times New Roman" w:hAnsi="Arial" w:cs="Arial"/>
                <w:color w:val="000000"/>
                <w:sz w:val="20"/>
                <w:szCs w:val="20"/>
                <w:lang w:eastAsia="bs-Latn-BA"/>
              </w:rPr>
              <w:t>87</w:t>
            </w:r>
            <w:r w:rsidRPr="00C32F9E">
              <w:rPr>
                <w:rFonts w:ascii="Arial" w:eastAsia="Times New Roman" w:hAnsi="Arial" w:cs="Arial"/>
                <w:color w:val="000000"/>
                <w:sz w:val="20"/>
                <w:szCs w:val="20"/>
                <w:lang w:eastAsia="bs-Latn-BA"/>
              </w:rPr>
              <w:t>%</w:t>
            </w:r>
          </w:p>
        </w:tc>
        <w:tc>
          <w:tcPr>
            <w:tcW w:w="1559" w:type="dxa"/>
            <w:shd w:val="clear" w:color="auto" w:fill="auto"/>
            <w:noWrap/>
            <w:vAlign w:val="center"/>
            <w:hideMark/>
          </w:tcPr>
          <w:p w14:paraId="09DF4683" w14:textId="7BE8308D" w:rsidR="00772BD0" w:rsidRPr="00C32F9E" w:rsidRDefault="009E62FD" w:rsidP="00760E3C">
            <w:pPr>
              <w:spacing w:after="0" w:line="240" w:lineRule="auto"/>
              <w:jc w:val="right"/>
              <w:rPr>
                <w:rFonts w:ascii="Arial" w:eastAsia="Times New Roman" w:hAnsi="Arial" w:cs="Arial"/>
                <w:color w:val="000000"/>
                <w:sz w:val="20"/>
                <w:szCs w:val="20"/>
                <w:lang w:eastAsia="bs-Latn-BA"/>
              </w:rPr>
            </w:pPr>
            <w:r w:rsidRPr="00C32F9E">
              <w:rPr>
                <w:rFonts w:ascii="Arial" w:eastAsia="Times New Roman" w:hAnsi="Arial" w:cs="Arial"/>
                <w:color w:val="000000"/>
                <w:sz w:val="20"/>
                <w:szCs w:val="20"/>
                <w:lang w:eastAsia="bs-Latn-BA"/>
              </w:rPr>
              <w:t>1,20</w:t>
            </w:r>
            <w:r w:rsidR="00772BD0" w:rsidRPr="00C32F9E">
              <w:rPr>
                <w:rFonts w:ascii="Arial" w:eastAsia="Times New Roman" w:hAnsi="Arial" w:cs="Arial"/>
                <w:color w:val="000000"/>
                <w:sz w:val="20"/>
                <w:szCs w:val="20"/>
                <w:lang w:eastAsia="bs-Latn-BA"/>
              </w:rPr>
              <w:t>%</w:t>
            </w:r>
          </w:p>
        </w:tc>
      </w:tr>
      <w:tr w:rsidR="00772BD0" w:rsidRPr="00772BD0" w14:paraId="62DD0FD2" w14:textId="77777777" w:rsidTr="00445180">
        <w:trPr>
          <w:trHeight w:val="300"/>
        </w:trPr>
        <w:tc>
          <w:tcPr>
            <w:tcW w:w="4395" w:type="dxa"/>
            <w:shd w:val="clear" w:color="auto" w:fill="auto"/>
            <w:noWrap/>
            <w:vAlign w:val="center"/>
            <w:hideMark/>
          </w:tcPr>
          <w:p w14:paraId="1628752A" w14:textId="77777777" w:rsidR="00772BD0" w:rsidRPr="00C32F9E" w:rsidRDefault="00772BD0" w:rsidP="00760E3C">
            <w:pPr>
              <w:spacing w:after="0" w:line="240" w:lineRule="auto"/>
              <w:rPr>
                <w:rFonts w:ascii="Arial" w:eastAsia="Times New Roman" w:hAnsi="Arial" w:cs="Arial"/>
                <w:color w:val="000000"/>
                <w:sz w:val="20"/>
                <w:szCs w:val="20"/>
                <w:lang w:eastAsia="bs-Latn-BA"/>
              </w:rPr>
            </w:pPr>
            <w:r w:rsidRPr="00C32F9E">
              <w:rPr>
                <w:rFonts w:ascii="Arial" w:eastAsia="Times New Roman" w:hAnsi="Arial" w:cs="Arial"/>
                <w:color w:val="000000"/>
                <w:sz w:val="20"/>
                <w:szCs w:val="20"/>
                <w:lang w:eastAsia="bs-Latn-BA"/>
              </w:rPr>
              <w:t>Koncesionalni EUR Varijabilni</w:t>
            </w:r>
          </w:p>
        </w:tc>
        <w:tc>
          <w:tcPr>
            <w:tcW w:w="1701" w:type="dxa"/>
            <w:shd w:val="clear" w:color="auto" w:fill="auto"/>
            <w:noWrap/>
            <w:vAlign w:val="center"/>
            <w:hideMark/>
          </w:tcPr>
          <w:p w14:paraId="29239970" w14:textId="159B9E9E" w:rsidR="00772BD0" w:rsidRPr="00C32F9E" w:rsidRDefault="00772BD0" w:rsidP="00760E3C">
            <w:pPr>
              <w:spacing w:after="0" w:line="240" w:lineRule="auto"/>
              <w:jc w:val="right"/>
              <w:rPr>
                <w:rFonts w:ascii="Arial" w:eastAsia="Times New Roman" w:hAnsi="Arial" w:cs="Arial"/>
                <w:color w:val="000000"/>
                <w:sz w:val="20"/>
                <w:szCs w:val="20"/>
                <w:lang w:eastAsia="bs-Latn-BA"/>
              </w:rPr>
            </w:pPr>
            <w:r w:rsidRPr="00C32F9E">
              <w:rPr>
                <w:rFonts w:ascii="Arial" w:eastAsia="Times New Roman" w:hAnsi="Arial" w:cs="Arial"/>
                <w:color w:val="000000"/>
                <w:sz w:val="20"/>
                <w:szCs w:val="20"/>
                <w:lang w:eastAsia="bs-Latn-BA"/>
              </w:rPr>
              <w:t>-0,</w:t>
            </w:r>
            <w:r w:rsidR="009E62FD" w:rsidRPr="00C32F9E">
              <w:rPr>
                <w:rFonts w:ascii="Arial" w:eastAsia="Times New Roman" w:hAnsi="Arial" w:cs="Arial"/>
                <w:color w:val="000000"/>
                <w:sz w:val="20"/>
                <w:szCs w:val="20"/>
                <w:lang w:eastAsia="bs-Latn-BA"/>
              </w:rPr>
              <w:t>46</w:t>
            </w:r>
            <w:r w:rsidRPr="00C32F9E">
              <w:rPr>
                <w:rFonts w:ascii="Arial" w:eastAsia="Times New Roman" w:hAnsi="Arial" w:cs="Arial"/>
                <w:color w:val="000000"/>
                <w:sz w:val="20"/>
                <w:szCs w:val="20"/>
                <w:lang w:eastAsia="bs-Latn-BA"/>
              </w:rPr>
              <w:t>%</w:t>
            </w:r>
          </w:p>
        </w:tc>
        <w:tc>
          <w:tcPr>
            <w:tcW w:w="1701" w:type="dxa"/>
            <w:shd w:val="clear" w:color="auto" w:fill="auto"/>
            <w:noWrap/>
            <w:vAlign w:val="center"/>
            <w:hideMark/>
          </w:tcPr>
          <w:p w14:paraId="55C2149C" w14:textId="0E20BD96" w:rsidR="00772BD0" w:rsidRPr="00C32F9E" w:rsidRDefault="00772BD0" w:rsidP="00760E3C">
            <w:pPr>
              <w:spacing w:after="0" w:line="240" w:lineRule="auto"/>
              <w:jc w:val="right"/>
              <w:rPr>
                <w:rFonts w:ascii="Arial" w:eastAsia="Times New Roman" w:hAnsi="Arial" w:cs="Arial"/>
                <w:color w:val="000000"/>
                <w:sz w:val="20"/>
                <w:szCs w:val="20"/>
                <w:lang w:eastAsia="bs-Latn-BA"/>
              </w:rPr>
            </w:pPr>
            <w:r w:rsidRPr="00C32F9E">
              <w:rPr>
                <w:rFonts w:ascii="Arial" w:eastAsia="Times New Roman" w:hAnsi="Arial" w:cs="Arial"/>
                <w:color w:val="000000"/>
                <w:sz w:val="20"/>
                <w:szCs w:val="20"/>
                <w:lang w:eastAsia="bs-Latn-BA"/>
              </w:rPr>
              <w:t>-0,</w:t>
            </w:r>
            <w:r w:rsidR="009E62FD" w:rsidRPr="00C32F9E">
              <w:rPr>
                <w:rFonts w:ascii="Arial" w:eastAsia="Times New Roman" w:hAnsi="Arial" w:cs="Arial"/>
                <w:color w:val="000000"/>
                <w:sz w:val="20"/>
                <w:szCs w:val="20"/>
                <w:lang w:eastAsia="bs-Latn-BA"/>
              </w:rPr>
              <w:t>31</w:t>
            </w:r>
            <w:r w:rsidRPr="00C32F9E">
              <w:rPr>
                <w:rFonts w:ascii="Arial" w:eastAsia="Times New Roman" w:hAnsi="Arial" w:cs="Arial"/>
                <w:color w:val="000000"/>
                <w:sz w:val="20"/>
                <w:szCs w:val="20"/>
                <w:lang w:eastAsia="bs-Latn-BA"/>
              </w:rPr>
              <w:t>%</w:t>
            </w:r>
          </w:p>
        </w:tc>
        <w:tc>
          <w:tcPr>
            <w:tcW w:w="1559" w:type="dxa"/>
            <w:shd w:val="clear" w:color="auto" w:fill="auto"/>
            <w:noWrap/>
            <w:vAlign w:val="center"/>
            <w:hideMark/>
          </w:tcPr>
          <w:p w14:paraId="119D83FC" w14:textId="365B2503" w:rsidR="00772BD0" w:rsidRPr="00C32F9E" w:rsidRDefault="009E62FD" w:rsidP="00760E3C">
            <w:pPr>
              <w:spacing w:after="0" w:line="240" w:lineRule="auto"/>
              <w:jc w:val="right"/>
              <w:rPr>
                <w:rFonts w:ascii="Arial" w:eastAsia="Times New Roman" w:hAnsi="Arial" w:cs="Arial"/>
                <w:color w:val="000000"/>
                <w:sz w:val="20"/>
                <w:szCs w:val="20"/>
                <w:lang w:eastAsia="bs-Latn-BA"/>
              </w:rPr>
            </w:pPr>
            <w:r w:rsidRPr="00445180">
              <w:rPr>
                <w:rFonts w:ascii="Arial" w:eastAsia="Times New Roman" w:hAnsi="Arial" w:cs="Arial"/>
                <w:color w:val="000000"/>
                <w:sz w:val="20"/>
                <w:szCs w:val="20"/>
                <w:lang w:eastAsia="bs-Latn-BA"/>
              </w:rPr>
              <w:t>-</w:t>
            </w:r>
            <w:r w:rsidR="007007CB" w:rsidRPr="00C32F9E">
              <w:rPr>
                <w:rFonts w:ascii="Arial" w:eastAsia="Times New Roman" w:hAnsi="Arial" w:cs="Arial"/>
                <w:color w:val="000000"/>
                <w:sz w:val="20"/>
                <w:szCs w:val="20"/>
                <w:lang w:eastAsia="bs-Latn-BA"/>
              </w:rPr>
              <w:t>0,1</w:t>
            </w:r>
            <w:r w:rsidR="00772BD0" w:rsidRPr="00C32F9E">
              <w:rPr>
                <w:rFonts w:ascii="Arial" w:eastAsia="Times New Roman" w:hAnsi="Arial" w:cs="Arial"/>
                <w:color w:val="000000"/>
                <w:sz w:val="20"/>
                <w:szCs w:val="20"/>
                <w:lang w:eastAsia="bs-Latn-BA"/>
              </w:rPr>
              <w:t>0%</w:t>
            </w:r>
          </w:p>
        </w:tc>
      </w:tr>
      <w:tr w:rsidR="009E62FD" w:rsidRPr="00772BD0" w14:paraId="3BE243D5" w14:textId="77777777" w:rsidTr="00445180">
        <w:trPr>
          <w:trHeight w:val="300"/>
        </w:trPr>
        <w:tc>
          <w:tcPr>
            <w:tcW w:w="4395" w:type="dxa"/>
            <w:shd w:val="clear" w:color="auto" w:fill="auto"/>
            <w:noWrap/>
            <w:vAlign w:val="center"/>
          </w:tcPr>
          <w:p w14:paraId="12AC07F6" w14:textId="128104D3" w:rsidR="009E62FD" w:rsidRPr="00C32F9E" w:rsidRDefault="009E62FD" w:rsidP="00760E3C">
            <w:pPr>
              <w:spacing w:after="0" w:line="240" w:lineRule="auto"/>
              <w:rPr>
                <w:rFonts w:ascii="Arial" w:eastAsia="Times New Roman" w:hAnsi="Arial" w:cs="Arial"/>
                <w:color w:val="000000"/>
                <w:sz w:val="20"/>
                <w:szCs w:val="20"/>
                <w:lang w:eastAsia="bs-Latn-BA"/>
              </w:rPr>
            </w:pPr>
            <w:r w:rsidRPr="00C32F9E">
              <w:rPr>
                <w:rFonts w:ascii="Arial" w:eastAsia="Times New Roman" w:hAnsi="Arial" w:cs="Arial"/>
                <w:color w:val="000000"/>
                <w:sz w:val="20"/>
                <w:szCs w:val="20"/>
                <w:lang w:eastAsia="bs-Latn-BA"/>
              </w:rPr>
              <w:t>IMF RFI USD Varijabilni</w:t>
            </w:r>
          </w:p>
        </w:tc>
        <w:tc>
          <w:tcPr>
            <w:tcW w:w="1701" w:type="dxa"/>
            <w:shd w:val="clear" w:color="auto" w:fill="auto"/>
            <w:noWrap/>
            <w:vAlign w:val="center"/>
          </w:tcPr>
          <w:p w14:paraId="6CBA14DF" w14:textId="1E5CC038" w:rsidR="009E62FD" w:rsidRPr="00445180" w:rsidRDefault="009E62FD" w:rsidP="00760E3C">
            <w:pPr>
              <w:spacing w:after="0" w:line="240" w:lineRule="auto"/>
              <w:jc w:val="right"/>
              <w:rPr>
                <w:rFonts w:ascii="Arial" w:eastAsia="Times New Roman" w:hAnsi="Arial" w:cs="Arial"/>
                <w:color w:val="000000"/>
                <w:sz w:val="20"/>
                <w:szCs w:val="20"/>
                <w:lang w:eastAsia="bs-Latn-BA"/>
              </w:rPr>
            </w:pPr>
            <w:r w:rsidRPr="00445180">
              <w:rPr>
                <w:rFonts w:ascii="Arial" w:eastAsia="Times New Roman" w:hAnsi="Arial" w:cs="Arial"/>
                <w:color w:val="000000"/>
                <w:sz w:val="20"/>
                <w:szCs w:val="20"/>
                <w:lang w:eastAsia="bs-Latn-BA"/>
              </w:rPr>
              <w:t>0,33%</w:t>
            </w:r>
          </w:p>
        </w:tc>
        <w:tc>
          <w:tcPr>
            <w:tcW w:w="1701" w:type="dxa"/>
            <w:shd w:val="clear" w:color="auto" w:fill="auto"/>
            <w:noWrap/>
            <w:vAlign w:val="center"/>
          </w:tcPr>
          <w:p w14:paraId="39BFAB2B" w14:textId="2702C03C" w:rsidR="009E62FD" w:rsidRPr="00445180" w:rsidRDefault="009E62FD" w:rsidP="00760E3C">
            <w:pPr>
              <w:spacing w:after="0" w:line="240" w:lineRule="auto"/>
              <w:jc w:val="right"/>
              <w:rPr>
                <w:rFonts w:ascii="Arial" w:eastAsia="Times New Roman" w:hAnsi="Arial" w:cs="Arial"/>
                <w:color w:val="000000"/>
                <w:sz w:val="20"/>
                <w:szCs w:val="20"/>
                <w:lang w:eastAsia="bs-Latn-BA"/>
              </w:rPr>
            </w:pPr>
            <w:r w:rsidRPr="00445180">
              <w:rPr>
                <w:rFonts w:ascii="Arial" w:eastAsia="Times New Roman" w:hAnsi="Arial" w:cs="Arial"/>
                <w:color w:val="000000"/>
                <w:sz w:val="20"/>
                <w:szCs w:val="20"/>
                <w:lang w:eastAsia="bs-Latn-BA"/>
              </w:rPr>
              <w:t>0,70%</w:t>
            </w:r>
          </w:p>
        </w:tc>
        <w:tc>
          <w:tcPr>
            <w:tcW w:w="1559" w:type="dxa"/>
            <w:shd w:val="clear" w:color="auto" w:fill="auto"/>
            <w:noWrap/>
            <w:vAlign w:val="center"/>
          </w:tcPr>
          <w:p w14:paraId="091669B7" w14:textId="15EA7C4A" w:rsidR="009E62FD" w:rsidRPr="00445180" w:rsidRDefault="009E62FD" w:rsidP="00760E3C">
            <w:pPr>
              <w:spacing w:after="0" w:line="240" w:lineRule="auto"/>
              <w:jc w:val="right"/>
              <w:rPr>
                <w:rFonts w:ascii="Arial" w:eastAsia="Times New Roman" w:hAnsi="Arial" w:cs="Arial"/>
                <w:color w:val="000000"/>
                <w:sz w:val="20"/>
                <w:szCs w:val="20"/>
                <w:lang w:eastAsia="bs-Latn-BA"/>
              </w:rPr>
            </w:pPr>
            <w:r w:rsidRPr="00445180">
              <w:rPr>
                <w:rFonts w:ascii="Arial" w:eastAsia="Times New Roman" w:hAnsi="Arial" w:cs="Arial"/>
                <w:color w:val="000000"/>
                <w:sz w:val="20"/>
                <w:szCs w:val="20"/>
                <w:lang w:eastAsia="bs-Latn-BA"/>
              </w:rPr>
              <w:t>1,04%</w:t>
            </w:r>
          </w:p>
        </w:tc>
      </w:tr>
      <w:tr w:rsidR="009E62FD" w:rsidRPr="00772BD0" w14:paraId="11F89E51" w14:textId="77777777" w:rsidTr="00445180">
        <w:trPr>
          <w:trHeight w:val="300"/>
        </w:trPr>
        <w:tc>
          <w:tcPr>
            <w:tcW w:w="4395" w:type="dxa"/>
            <w:shd w:val="clear" w:color="auto" w:fill="auto"/>
            <w:noWrap/>
            <w:vAlign w:val="center"/>
            <w:hideMark/>
          </w:tcPr>
          <w:p w14:paraId="55B4CABF" w14:textId="77777777" w:rsidR="009E62FD" w:rsidRPr="00C32F9E" w:rsidRDefault="009E62FD" w:rsidP="00760E3C">
            <w:pPr>
              <w:spacing w:after="0" w:line="240" w:lineRule="auto"/>
              <w:rPr>
                <w:rFonts w:ascii="Arial" w:eastAsia="Times New Roman" w:hAnsi="Arial" w:cs="Arial"/>
                <w:color w:val="000000"/>
                <w:sz w:val="20"/>
                <w:szCs w:val="20"/>
                <w:lang w:eastAsia="bs-Latn-BA"/>
              </w:rPr>
            </w:pPr>
            <w:r w:rsidRPr="00C32F9E">
              <w:rPr>
                <w:rFonts w:ascii="Arial" w:eastAsia="Times New Roman" w:hAnsi="Arial" w:cs="Arial"/>
                <w:color w:val="000000"/>
                <w:sz w:val="20"/>
                <w:szCs w:val="20"/>
                <w:lang w:eastAsia="bs-Latn-BA"/>
              </w:rPr>
              <w:t>IMF EFF USD Varijabilni</w:t>
            </w:r>
          </w:p>
        </w:tc>
        <w:tc>
          <w:tcPr>
            <w:tcW w:w="1701" w:type="dxa"/>
            <w:shd w:val="clear" w:color="auto" w:fill="auto"/>
            <w:noWrap/>
            <w:vAlign w:val="center"/>
            <w:hideMark/>
          </w:tcPr>
          <w:p w14:paraId="13D2EAF7" w14:textId="1915E116" w:rsidR="009E62FD" w:rsidRPr="00C32F9E" w:rsidRDefault="009E62FD" w:rsidP="00760E3C">
            <w:pPr>
              <w:spacing w:after="0" w:line="240" w:lineRule="auto"/>
              <w:jc w:val="right"/>
              <w:rPr>
                <w:rFonts w:ascii="Arial" w:eastAsia="Times New Roman" w:hAnsi="Arial" w:cs="Arial"/>
                <w:color w:val="000000"/>
                <w:sz w:val="20"/>
                <w:szCs w:val="20"/>
                <w:lang w:eastAsia="bs-Latn-BA"/>
              </w:rPr>
            </w:pPr>
            <w:r w:rsidRPr="00445180">
              <w:rPr>
                <w:rFonts w:ascii="Arial" w:eastAsia="Times New Roman" w:hAnsi="Arial" w:cs="Arial"/>
                <w:color w:val="000000"/>
                <w:sz w:val="20"/>
                <w:szCs w:val="20"/>
                <w:lang w:eastAsia="bs-Latn-BA"/>
              </w:rPr>
              <w:t>0,33%</w:t>
            </w:r>
          </w:p>
        </w:tc>
        <w:tc>
          <w:tcPr>
            <w:tcW w:w="1701" w:type="dxa"/>
            <w:shd w:val="clear" w:color="auto" w:fill="auto"/>
            <w:noWrap/>
            <w:vAlign w:val="center"/>
            <w:hideMark/>
          </w:tcPr>
          <w:p w14:paraId="1D8CB696" w14:textId="7768C84E" w:rsidR="009E62FD" w:rsidRPr="00C32F9E" w:rsidRDefault="009E62FD" w:rsidP="00760E3C">
            <w:pPr>
              <w:spacing w:after="0" w:line="240" w:lineRule="auto"/>
              <w:jc w:val="right"/>
              <w:rPr>
                <w:rFonts w:ascii="Arial" w:eastAsia="Times New Roman" w:hAnsi="Arial" w:cs="Arial"/>
                <w:color w:val="000000"/>
                <w:sz w:val="20"/>
                <w:szCs w:val="20"/>
                <w:lang w:eastAsia="bs-Latn-BA"/>
              </w:rPr>
            </w:pPr>
            <w:r w:rsidRPr="00445180">
              <w:rPr>
                <w:rFonts w:ascii="Arial" w:eastAsia="Times New Roman" w:hAnsi="Arial" w:cs="Arial"/>
                <w:color w:val="000000"/>
                <w:sz w:val="20"/>
                <w:szCs w:val="20"/>
                <w:lang w:eastAsia="bs-Latn-BA"/>
              </w:rPr>
              <w:t>0,70%</w:t>
            </w:r>
          </w:p>
        </w:tc>
        <w:tc>
          <w:tcPr>
            <w:tcW w:w="1559" w:type="dxa"/>
            <w:shd w:val="clear" w:color="auto" w:fill="auto"/>
            <w:noWrap/>
            <w:vAlign w:val="center"/>
            <w:hideMark/>
          </w:tcPr>
          <w:p w14:paraId="3A455C74" w14:textId="09D944D6" w:rsidR="009E62FD" w:rsidRPr="00C32F9E" w:rsidRDefault="009E62FD" w:rsidP="00760E3C">
            <w:pPr>
              <w:spacing w:after="0" w:line="240" w:lineRule="auto"/>
              <w:jc w:val="right"/>
              <w:rPr>
                <w:rFonts w:ascii="Arial" w:eastAsia="Times New Roman" w:hAnsi="Arial" w:cs="Arial"/>
                <w:color w:val="000000"/>
                <w:sz w:val="20"/>
                <w:szCs w:val="20"/>
                <w:lang w:eastAsia="bs-Latn-BA"/>
              </w:rPr>
            </w:pPr>
            <w:r w:rsidRPr="00445180">
              <w:rPr>
                <w:rFonts w:ascii="Arial" w:eastAsia="Times New Roman" w:hAnsi="Arial" w:cs="Arial"/>
                <w:color w:val="000000"/>
                <w:sz w:val="20"/>
                <w:szCs w:val="20"/>
                <w:lang w:eastAsia="bs-Latn-BA"/>
              </w:rPr>
              <w:t>1,04%</w:t>
            </w:r>
          </w:p>
        </w:tc>
      </w:tr>
      <w:tr w:rsidR="00772BD0" w:rsidRPr="00772BD0" w14:paraId="07FE1573" w14:textId="77777777" w:rsidTr="00445180">
        <w:trPr>
          <w:trHeight w:val="300"/>
        </w:trPr>
        <w:tc>
          <w:tcPr>
            <w:tcW w:w="4395" w:type="dxa"/>
            <w:shd w:val="clear" w:color="auto" w:fill="auto"/>
            <w:noWrap/>
            <w:vAlign w:val="center"/>
            <w:hideMark/>
          </w:tcPr>
          <w:p w14:paraId="09DE4A8B" w14:textId="3D5460CA" w:rsidR="00772BD0" w:rsidRPr="00C32F9E" w:rsidRDefault="003376D7" w:rsidP="00760E3C">
            <w:pPr>
              <w:spacing w:after="0" w:line="240" w:lineRule="auto"/>
              <w:rPr>
                <w:rFonts w:ascii="Arial" w:eastAsia="Times New Roman" w:hAnsi="Arial" w:cs="Arial"/>
                <w:color w:val="000000"/>
                <w:sz w:val="20"/>
                <w:szCs w:val="20"/>
                <w:lang w:eastAsia="bs-Latn-BA"/>
              </w:rPr>
            </w:pPr>
            <w:r w:rsidRPr="00C32F9E">
              <w:rPr>
                <w:rFonts w:ascii="Arial" w:eastAsia="Times New Roman" w:hAnsi="Arial" w:cs="Arial"/>
                <w:color w:val="000000"/>
                <w:sz w:val="20"/>
                <w:szCs w:val="20"/>
                <w:lang w:eastAsia="bs-Latn-BA"/>
              </w:rPr>
              <w:t>5Y</w:t>
            </w:r>
            <w:r w:rsidR="00772BD0" w:rsidRPr="00C32F9E">
              <w:rPr>
                <w:rFonts w:ascii="Arial" w:eastAsia="Times New Roman" w:hAnsi="Arial" w:cs="Arial"/>
                <w:color w:val="000000"/>
                <w:sz w:val="20"/>
                <w:szCs w:val="20"/>
                <w:lang w:eastAsia="bs-Latn-BA"/>
              </w:rPr>
              <w:t xml:space="preserve"> Eurobond</w:t>
            </w:r>
          </w:p>
        </w:tc>
        <w:tc>
          <w:tcPr>
            <w:tcW w:w="1701" w:type="dxa"/>
            <w:shd w:val="clear" w:color="auto" w:fill="auto"/>
            <w:noWrap/>
            <w:vAlign w:val="center"/>
            <w:hideMark/>
          </w:tcPr>
          <w:p w14:paraId="2FDE640E" w14:textId="6F3279D1" w:rsidR="00772BD0" w:rsidRPr="00C32F9E" w:rsidRDefault="009E62FD" w:rsidP="00760E3C">
            <w:pPr>
              <w:spacing w:after="0" w:line="240" w:lineRule="auto"/>
              <w:jc w:val="right"/>
              <w:rPr>
                <w:rFonts w:ascii="Arial" w:eastAsia="Times New Roman" w:hAnsi="Arial" w:cs="Arial"/>
                <w:color w:val="000000"/>
                <w:sz w:val="20"/>
                <w:szCs w:val="20"/>
                <w:lang w:eastAsia="bs-Latn-BA"/>
              </w:rPr>
            </w:pPr>
            <w:r w:rsidRPr="00C32F9E">
              <w:rPr>
                <w:rFonts w:ascii="Arial" w:eastAsia="Times New Roman" w:hAnsi="Arial" w:cs="Arial"/>
                <w:color w:val="000000"/>
                <w:sz w:val="20"/>
                <w:szCs w:val="20"/>
                <w:lang w:eastAsia="bs-Latn-BA"/>
              </w:rPr>
              <w:t>4,95</w:t>
            </w:r>
            <w:r w:rsidR="00772BD0" w:rsidRPr="00C32F9E">
              <w:rPr>
                <w:rFonts w:ascii="Arial" w:eastAsia="Times New Roman" w:hAnsi="Arial" w:cs="Arial"/>
                <w:color w:val="000000"/>
                <w:sz w:val="20"/>
                <w:szCs w:val="20"/>
                <w:lang w:eastAsia="bs-Latn-BA"/>
              </w:rPr>
              <w:t>%</w:t>
            </w:r>
          </w:p>
        </w:tc>
        <w:tc>
          <w:tcPr>
            <w:tcW w:w="1701" w:type="dxa"/>
            <w:shd w:val="clear" w:color="auto" w:fill="auto"/>
            <w:noWrap/>
            <w:vAlign w:val="center"/>
            <w:hideMark/>
          </w:tcPr>
          <w:p w14:paraId="01B1315A" w14:textId="7E7829FA" w:rsidR="00772BD0" w:rsidRPr="00C32F9E" w:rsidRDefault="003376D7" w:rsidP="00760E3C">
            <w:pPr>
              <w:spacing w:after="0" w:line="240" w:lineRule="auto"/>
              <w:jc w:val="right"/>
              <w:rPr>
                <w:rFonts w:ascii="Arial" w:eastAsia="Times New Roman" w:hAnsi="Arial" w:cs="Arial"/>
                <w:color w:val="000000"/>
                <w:sz w:val="20"/>
                <w:szCs w:val="20"/>
                <w:lang w:eastAsia="bs-Latn-BA"/>
              </w:rPr>
            </w:pPr>
            <w:r w:rsidRPr="00C32F9E">
              <w:rPr>
                <w:rFonts w:ascii="Arial" w:eastAsia="Times New Roman" w:hAnsi="Arial" w:cs="Arial"/>
                <w:color w:val="000000"/>
                <w:sz w:val="20"/>
                <w:szCs w:val="20"/>
                <w:lang w:eastAsia="bs-Latn-BA"/>
              </w:rPr>
              <w:t>5,</w:t>
            </w:r>
            <w:r w:rsidR="009E62FD" w:rsidRPr="00C32F9E">
              <w:rPr>
                <w:rFonts w:ascii="Arial" w:eastAsia="Times New Roman" w:hAnsi="Arial" w:cs="Arial"/>
                <w:color w:val="000000"/>
                <w:sz w:val="20"/>
                <w:szCs w:val="20"/>
                <w:lang w:eastAsia="bs-Latn-BA"/>
              </w:rPr>
              <w:t>15</w:t>
            </w:r>
            <w:r w:rsidR="00772BD0" w:rsidRPr="00C32F9E">
              <w:rPr>
                <w:rFonts w:ascii="Arial" w:eastAsia="Times New Roman" w:hAnsi="Arial" w:cs="Arial"/>
                <w:color w:val="000000"/>
                <w:sz w:val="20"/>
                <w:szCs w:val="20"/>
                <w:lang w:eastAsia="bs-Latn-BA"/>
              </w:rPr>
              <w:t>%</w:t>
            </w:r>
          </w:p>
        </w:tc>
        <w:tc>
          <w:tcPr>
            <w:tcW w:w="1559" w:type="dxa"/>
            <w:shd w:val="clear" w:color="auto" w:fill="auto"/>
            <w:noWrap/>
            <w:vAlign w:val="center"/>
            <w:hideMark/>
          </w:tcPr>
          <w:p w14:paraId="05BEE905" w14:textId="62EF611E" w:rsidR="00772BD0" w:rsidRPr="00C32F9E" w:rsidRDefault="003C0CA1" w:rsidP="00760E3C">
            <w:pPr>
              <w:spacing w:after="0" w:line="240" w:lineRule="auto"/>
              <w:jc w:val="right"/>
              <w:rPr>
                <w:rFonts w:ascii="Arial" w:eastAsia="Times New Roman" w:hAnsi="Arial" w:cs="Arial"/>
                <w:color w:val="000000"/>
                <w:sz w:val="20"/>
                <w:szCs w:val="20"/>
                <w:lang w:eastAsia="bs-Latn-BA"/>
              </w:rPr>
            </w:pPr>
            <w:r w:rsidRPr="00C32F9E">
              <w:rPr>
                <w:rFonts w:ascii="Arial" w:eastAsia="Times New Roman" w:hAnsi="Arial" w:cs="Arial"/>
                <w:color w:val="000000"/>
                <w:sz w:val="20"/>
                <w:szCs w:val="20"/>
                <w:lang w:eastAsia="bs-Latn-BA"/>
              </w:rPr>
              <w:t>5,</w:t>
            </w:r>
            <w:r w:rsidR="009E62FD" w:rsidRPr="00C32F9E">
              <w:rPr>
                <w:rFonts w:ascii="Arial" w:eastAsia="Times New Roman" w:hAnsi="Arial" w:cs="Arial"/>
                <w:color w:val="000000"/>
                <w:sz w:val="20"/>
                <w:szCs w:val="20"/>
                <w:lang w:eastAsia="bs-Latn-BA"/>
              </w:rPr>
              <w:t>3</w:t>
            </w:r>
            <w:r w:rsidRPr="00C32F9E">
              <w:rPr>
                <w:rFonts w:ascii="Arial" w:eastAsia="Times New Roman" w:hAnsi="Arial" w:cs="Arial"/>
                <w:color w:val="000000"/>
                <w:sz w:val="20"/>
                <w:szCs w:val="20"/>
                <w:lang w:eastAsia="bs-Latn-BA"/>
              </w:rPr>
              <w:t>5</w:t>
            </w:r>
            <w:r w:rsidR="00772BD0" w:rsidRPr="00C32F9E">
              <w:rPr>
                <w:rFonts w:ascii="Arial" w:eastAsia="Times New Roman" w:hAnsi="Arial" w:cs="Arial"/>
                <w:color w:val="000000"/>
                <w:sz w:val="20"/>
                <w:szCs w:val="20"/>
                <w:lang w:eastAsia="bs-Latn-BA"/>
              </w:rPr>
              <w:t>%</w:t>
            </w:r>
          </w:p>
        </w:tc>
      </w:tr>
      <w:tr w:rsidR="00772BD0" w:rsidRPr="00772BD0" w14:paraId="4C129097" w14:textId="77777777" w:rsidTr="00445180">
        <w:trPr>
          <w:trHeight w:val="300"/>
        </w:trPr>
        <w:tc>
          <w:tcPr>
            <w:tcW w:w="4395" w:type="dxa"/>
            <w:shd w:val="clear" w:color="auto" w:fill="auto"/>
            <w:noWrap/>
            <w:vAlign w:val="center"/>
            <w:hideMark/>
          </w:tcPr>
          <w:p w14:paraId="3989A2D4" w14:textId="211992A1" w:rsidR="00772BD0" w:rsidRPr="00C32F9E" w:rsidRDefault="003376D7" w:rsidP="00760E3C">
            <w:pPr>
              <w:spacing w:after="0" w:line="240" w:lineRule="auto"/>
              <w:rPr>
                <w:rFonts w:ascii="Arial" w:eastAsia="Times New Roman" w:hAnsi="Arial" w:cs="Arial"/>
                <w:color w:val="000000"/>
                <w:sz w:val="20"/>
                <w:szCs w:val="20"/>
                <w:lang w:eastAsia="bs-Latn-BA"/>
              </w:rPr>
            </w:pPr>
            <w:r w:rsidRPr="00C32F9E">
              <w:rPr>
                <w:rFonts w:ascii="Arial" w:eastAsia="Times New Roman" w:hAnsi="Arial" w:cs="Arial"/>
                <w:color w:val="000000"/>
                <w:sz w:val="20"/>
                <w:szCs w:val="20"/>
                <w:lang w:eastAsia="bs-Latn-BA"/>
              </w:rPr>
              <w:t>10Y</w:t>
            </w:r>
            <w:r w:rsidR="00772BD0" w:rsidRPr="00C32F9E">
              <w:rPr>
                <w:rFonts w:ascii="Arial" w:eastAsia="Times New Roman" w:hAnsi="Arial" w:cs="Arial"/>
                <w:color w:val="000000"/>
                <w:sz w:val="20"/>
                <w:szCs w:val="20"/>
                <w:lang w:eastAsia="bs-Latn-BA"/>
              </w:rPr>
              <w:t xml:space="preserve"> Eurobond</w:t>
            </w:r>
          </w:p>
        </w:tc>
        <w:tc>
          <w:tcPr>
            <w:tcW w:w="1701" w:type="dxa"/>
            <w:shd w:val="clear" w:color="auto" w:fill="auto"/>
            <w:noWrap/>
            <w:vAlign w:val="bottom"/>
            <w:hideMark/>
          </w:tcPr>
          <w:p w14:paraId="7038633A" w14:textId="146D9B23" w:rsidR="00772BD0" w:rsidRPr="00C32F9E" w:rsidRDefault="003C0CA1" w:rsidP="00760E3C">
            <w:pPr>
              <w:spacing w:after="0" w:line="240" w:lineRule="auto"/>
              <w:jc w:val="right"/>
              <w:rPr>
                <w:rFonts w:ascii="Arial" w:eastAsia="Times New Roman" w:hAnsi="Arial" w:cs="Arial"/>
                <w:color w:val="000000"/>
                <w:sz w:val="20"/>
                <w:szCs w:val="20"/>
                <w:lang w:eastAsia="bs-Latn-BA"/>
              </w:rPr>
            </w:pPr>
            <w:r w:rsidRPr="00C32F9E">
              <w:rPr>
                <w:rFonts w:ascii="Arial" w:eastAsia="Times New Roman" w:hAnsi="Arial" w:cs="Arial"/>
                <w:color w:val="000000"/>
                <w:sz w:val="20"/>
                <w:szCs w:val="20"/>
                <w:lang w:eastAsia="bs-Latn-BA"/>
              </w:rPr>
              <w:t>5,</w:t>
            </w:r>
            <w:r w:rsidR="009E62FD" w:rsidRPr="00C32F9E">
              <w:rPr>
                <w:rFonts w:ascii="Arial" w:eastAsia="Times New Roman" w:hAnsi="Arial" w:cs="Arial"/>
                <w:color w:val="000000"/>
                <w:sz w:val="20"/>
                <w:szCs w:val="20"/>
                <w:lang w:eastAsia="bs-Latn-BA"/>
              </w:rPr>
              <w:t>45</w:t>
            </w:r>
            <w:r w:rsidR="00772BD0" w:rsidRPr="00C32F9E">
              <w:rPr>
                <w:rFonts w:ascii="Arial" w:eastAsia="Times New Roman" w:hAnsi="Arial" w:cs="Arial"/>
                <w:color w:val="000000"/>
                <w:sz w:val="20"/>
                <w:szCs w:val="20"/>
                <w:lang w:eastAsia="bs-Latn-BA"/>
              </w:rPr>
              <w:t>%</w:t>
            </w:r>
          </w:p>
        </w:tc>
        <w:tc>
          <w:tcPr>
            <w:tcW w:w="1701" w:type="dxa"/>
            <w:shd w:val="clear" w:color="auto" w:fill="auto"/>
            <w:noWrap/>
            <w:vAlign w:val="bottom"/>
            <w:hideMark/>
          </w:tcPr>
          <w:p w14:paraId="3E439491" w14:textId="4BE53C05" w:rsidR="00772BD0" w:rsidRPr="00C32F9E" w:rsidRDefault="003C0CA1" w:rsidP="00760E3C">
            <w:pPr>
              <w:spacing w:after="0" w:line="240" w:lineRule="auto"/>
              <w:jc w:val="right"/>
              <w:rPr>
                <w:rFonts w:ascii="Arial" w:eastAsia="Times New Roman" w:hAnsi="Arial" w:cs="Arial"/>
                <w:color w:val="000000"/>
                <w:sz w:val="20"/>
                <w:szCs w:val="20"/>
                <w:lang w:eastAsia="bs-Latn-BA"/>
              </w:rPr>
            </w:pPr>
            <w:r w:rsidRPr="00C32F9E">
              <w:rPr>
                <w:rFonts w:ascii="Arial" w:eastAsia="Times New Roman" w:hAnsi="Arial" w:cs="Arial"/>
                <w:color w:val="000000"/>
                <w:sz w:val="20"/>
                <w:szCs w:val="20"/>
                <w:lang w:eastAsia="bs-Latn-BA"/>
              </w:rPr>
              <w:t>5,</w:t>
            </w:r>
            <w:r w:rsidR="009E62FD" w:rsidRPr="00C32F9E">
              <w:rPr>
                <w:rFonts w:ascii="Arial" w:eastAsia="Times New Roman" w:hAnsi="Arial" w:cs="Arial"/>
                <w:color w:val="000000"/>
                <w:sz w:val="20"/>
                <w:szCs w:val="20"/>
                <w:lang w:eastAsia="bs-Latn-BA"/>
              </w:rPr>
              <w:t>65</w:t>
            </w:r>
            <w:r w:rsidR="00772BD0" w:rsidRPr="00C32F9E">
              <w:rPr>
                <w:rFonts w:ascii="Arial" w:eastAsia="Times New Roman" w:hAnsi="Arial" w:cs="Arial"/>
                <w:color w:val="000000"/>
                <w:sz w:val="20"/>
                <w:szCs w:val="20"/>
                <w:lang w:eastAsia="bs-Latn-BA"/>
              </w:rPr>
              <w:t>%</w:t>
            </w:r>
          </w:p>
        </w:tc>
        <w:tc>
          <w:tcPr>
            <w:tcW w:w="1559" w:type="dxa"/>
            <w:shd w:val="clear" w:color="auto" w:fill="auto"/>
            <w:noWrap/>
            <w:vAlign w:val="bottom"/>
            <w:hideMark/>
          </w:tcPr>
          <w:p w14:paraId="41A7591D" w14:textId="343C6F66" w:rsidR="00772BD0" w:rsidRPr="00C32F9E" w:rsidRDefault="009E62FD" w:rsidP="00760E3C">
            <w:pPr>
              <w:spacing w:after="0" w:line="240" w:lineRule="auto"/>
              <w:jc w:val="right"/>
              <w:rPr>
                <w:rFonts w:ascii="Arial" w:eastAsia="Times New Roman" w:hAnsi="Arial" w:cs="Arial"/>
                <w:color w:val="000000"/>
                <w:sz w:val="20"/>
                <w:szCs w:val="20"/>
                <w:lang w:eastAsia="bs-Latn-BA"/>
              </w:rPr>
            </w:pPr>
            <w:r w:rsidRPr="00C32F9E">
              <w:rPr>
                <w:rFonts w:ascii="Arial" w:eastAsia="Times New Roman" w:hAnsi="Arial" w:cs="Arial"/>
                <w:color w:val="000000"/>
                <w:sz w:val="20"/>
                <w:szCs w:val="20"/>
                <w:lang w:eastAsia="bs-Latn-BA"/>
              </w:rPr>
              <w:t>5,85</w:t>
            </w:r>
            <w:r w:rsidR="00772BD0" w:rsidRPr="00C32F9E">
              <w:rPr>
                <w:rFonts w:ascii="Arial" w:eastAsia="Times New Roman" w:hAnsi="Arial" w:cs="Arial"/>
                <w:color w:val="000000"/>
                <w:sz w:val="20"/>
                <w:szCs w:val="20"/>
                <w:lang w:eastAsia="bs-Latn-BA"/>
              </w:rPr>
              <w:t>%</w:t>
            </w:r>
          </w:p>
        </w:tc>
      </w:tr>
      <w:tr w:rsidR="003376D7" w:rsidRPr="00772BD0" w14:paraId="534BD897" w14:textId="77777777" w:rsidTr="00445180">
        <w:trPr>
          <w:trHeight w:val="300"/>
        </w:trPr>
        <w:tc>
          <w:tcPr>
            <w:tcW w:w="4395" w:type="dxa"/>
            <w:shd w:val="clear" w:color="auto" w:fill="auto"/>
            <w:noWrap/>
            <w:vAlign w:val="center"/>
          </w:tcPr>
          <w:p w14:paraId="654A63DC" w14:textId="4118F7BE" w:rsidR="003376D7" w:rsidRPr="00C32F9E" w:rsidRDefault="003376D7" w:rsidP="00760E3C">
            <w:pPr>
              <w:spacing w:after="0" w:line="240" w:lineRule="auto"/>
              <w:rPr>
                <w:rFonts w:ascii="Arial" w:eastAsia="Times New Roman" w:hAnsi="Arial" w:cs="Arial"/>
                <w:color w:val="000000"/>
                <w:sz w:val="20"/>
                <w:szCs w:val="20"/>
                <w:lang w:eastAsia="bs-Latn-BA"/>
              </w:rPr>
            </w:pPr>
            <w:r w:rsidRPr="00C32F9E">
              <w:rPr>
                <w:rFonts w:ascii="Arial" w:eastAsia="Times New Roman" w:hAnsi="Arial" w:cs="Arial"/>
                <w:color w:val="000000"/>
                <w:sz w:val="20"/>
                <w:szCs w:val="20"/>
                <w:lang w:eastAsia="bs-Latn-BA"/>
              </w:rPr>
              <w:t>15Y Eurobond</w:t>
            </w:r>
          </w:p>
        </w:tc>
        <w:tc>
          <w:tcPr>
            <w:tcW w:w="1701" w:type="dxa"/>
            <w:shd w:val="clear" w:color="auto" w:fill="auto"/>
            <w:noWrap/>
            <w:vAlign w:val="bottom"/>
          </w:tcPr>
          <w:p w14:paraId="71E5DDE3" w14:textId="4D371CAE" w:rsidR="003376D7" w:rsidRPr="00C32F9E" w:rsidRDefault="003C0CA1" w:rsidP="00760E3C">
            <w:pPr>
              <w:spacing w:after="0" w:line="240" w:lineRule="auto"/>
              <w:jc w:val="right"/>
              <w:rPr>
                <w:rFonts w:ascii="Arial" w:eastAsia="Times New Roman" w:hAnsi="Arial" w:cs="Arial"/>
                <w:color w:val="000000"/>
                <w:sz w:val="20"/>
                <w:szCs w:val="20"/>
                <w:lang w:eastAsia="bs-Latn-BA"/>
              </w:rPr>
            </w:pPr>
            <w:r w:rsidRPr="00C32F9E">
              <w:rPr>
                <w:rFonts w:ascii="Arial" w:eastAsia="Times New Roman" w:hAnsi="Arial" w:cs="Arial"/>
                <w:color w:val="000000"/>
                <w:sz w:val="20"/>
                <w:szCs w:val="20"/>
                <w:lang w:eastAsia="bs-Latn-BA"/>
              </w:rPr>
              <w:t>5,94%</w:t>
            </w:r>
          </w:p>
        </w:tc>
        <w:tc>
          <w:tcPr>
            <w:tcW w:w="1701" w:type="dxa"/>
            <w:shd w:val="clear" w:color="auto" w:fill="auto"/>
            <w:noWrap/>
            <w:vAlign w:val="bottom"/>
          </w:tcPr>
          <w:p w14:paraId="1A7E4E0B" w14:textId="0D8A5EE5" w:rsidR="003376D7" w:rsidRPr="00C32F9E" w:rsidRDefault="003C0CA1" w:rsidP="00760E3C">
            <w:pPr>
              <w:spacing w:after="0" w:line="240" w:lineRule="auto"/>
              <w:jc w:val="right"/>
              <w:rPr>
                <w:rFonts w:ascii="Arial" w:eastAsia="Times New Roman" w:hAnsi="Arial" w:cs="Arial"/>
                <w:color w:val="000000"/>
                <w:sz w:val="20"/>
                <w:szCs w:val="20"/>
                <w:lang w:eastAsia="bs-Latn-BA"/>
              </w:rPr>
            </w:pPr>
            <w:r w:rsidRPr="00C32F9E">
              <w:rPr>
                <w:rFonts w:ascii="Arial" w:eastAsia="Times New Roman" w:hAnsi="Arial" w:cs="Arial"/>
                <w:color w:val="000000"/>
                <w:sz w:val="20"/>
                <w:szCs w:val="20"/>
                <w:lang w:eastAsia="bs-Latn-BA"/>
              </w:rPr>
              <w:t>6,</w:t>
            </w:r>
            <w:r w:rsidR="009E62FD" w:rsidRPr="00C32F9E">
              <w:rPr>
                <w:rFonts w:ascii="Arial" w:eastAsia="Times New Roman" w:hAnsi="Arial" w:cs="Arial"/>
                <w:color w:val="000000"/>
                <w:sz w:val="20"/>
                <w:szCs w:val="20"/>
                <w:lang w:eastAsia="bs-Latn-BA"/>
              </w:rPr>
              <w:t>14</w:t>
            </w:r>
            <w:r w:rsidRPr="00C32F9E">
              <w:rPr>
                <w:rFonts w:ascii="Arial" w:eastAsia="Times New Roman" w:hAnsi="Arial" w:cs="Arial"/>
                <w:color w:val="000000"/>
                <w:sz w:val="20"/>
                <w:szCs w:val="20"/>
                <w:lang w:eastAsia="bs-Latn-BA"/>
              </w:rPr>
              <w:t>%</w:t>
            </w:r>
          </w:p>
        </w:tc>
        <w:tc>
          <w:tcPr>
            <w:tcW w:w="1559" w:type="dxa"/>
            <w:shd w:val="clear" w:color="auto" w:fill="auto"/>
            <w:noWrap/>
            <w:vAlign w:val="bottom"/>
          </w:tcPr>
          <w:p w14:paraId="7A84CA25" w14:textId="10672B92" w:rsidR="003376D7" w:rsidRPr="00C32F9E" w:rsidRDefault="003C0CA1" w:rsidP="00760E3C">
            <w:pPr>
              <w:spacing w:after="0" w:line="240" w:lineRule="auto"/>
              <w:jc w:val="right"/>
              <w:rPr>
                <w:rFonts w:ascii="Arial" w:eastAsia="Times New Roman" w:hAnsi="Arial" w:cs="Arial"/>
                <w:color w:val="000000"/>
                <w:sz w:val="20"/>
                <w:szCs w:val="20"/>
                <w:lang w:eastAsia="bs-Latn-BA"/>
              </w:rPr>
            </w:pPr>
            <w:r w:rsidRPr="00C32F9E">
              <w:rPr>
                <w:rFonts w:ascii="Arial" w:eastAsia="Times New Roman" w:hAnsi="Arial" w:cs="Arial"/>
                <w:color w:val="000000"/>
                <w:sz w:val="20"/>
                <w:szCs w:val="20"/>
                <w:lang w:eastAsia="bs-Latn-BA"/>
              </w:rPr>
              <w:t>6,</w:t>
            </w:r>
            <w:r w:rsidR="009E62FD" w:rsidRPr="00C32F9E">
              <w:rPr>
                <w:rFonts w:ascii="Arial" w:eastAsia="Times New Roman" w:hAnsi="Arial" w:cs="Arial"/>
                <w:color w:val="000000"/>
                <w:sz w:val="20"/>
                <w:szCs w:val="20"/>
                <w:lang w:eastAsia="bs-Latn-BA"/>
              </w:rPr>
              <w:t>34</w:t>
            </w:r>
            <w:r w:rsidRPr="00C32F9E">
              <w:rPr>
                <w:rFonts w:ascii="Arial" w:eastAsia="Times New Roman" w:hAnsi="Arial" w:cs="Arial"/>
                <w:color w:val="000000"/>
                <w:sz w:val="20"/>
                <w:szCs w:val="20"/>
                <w:lang w:eastAsia="bs-Latn-BA"/>
              </w:rPr>
              <w:t>%</w:t>
            </w:r>
          </w:p>
        </w:tc>
      </w:tr>
    </w:tbl>
    <w:p w14:paraId="1F914D07" w14:textId="77777777" w:rsidR="005A3438" w:rsidRPr="00AF7CAC" w:rsidRDefault="005A3438" w:rsidP="00ED768D">
      <w:pPr>
        <w:spacing w:after="0" w:line="240" w:lineRule="auto"/>
        <w:jc w:val="both"/>
        <w:rPr>
          <w:rFonts w:ascii="Arial" w:hAnsi="Arial" w:cs="Arial"/>
          <w:sz w:val="24"/>
          <w:szCs w:val="24"/>
        </w:rPr>
      </w:pPr>
    </w:p>
    <w:p w14:paraId="343AB349" w14:textId="0CA5D491" w:rsidR="00977C8B" w:rsidRDefault="00ED768D" w:rsidP="00BE5B36">
      <w:pPr>
        <w:spacing w:after="0"/>
        <w:jc w:val="both"/>
        <w:rPr>
          <w:rFonts w:ascii="Arial" w:hAnsi="Arial" w:cs="Arial"/>
          <w:szCs w:val="24"/>
        </w:rPr>
      </w:pPr>
      <w:r w:rsidRPr="00D912D1">
        <w:rPr>
          <w:rFonts w:ascii="Arial" w:hAnsi="Arial" w:cs="Arial"/>
          <w:szCs w:val="24"/>
        </w:rPr>
        <w:t>Tab</w:t>
      </w:r>
      <w:r w:rsidR="00C705CB">
        <w:rPr>
          <w:rFonts w:ascii="Arial" w:hAnsi="Arial" w:cs="Arial"/>
          <w:szCs w:val="24"/>
        </w:rPr>
        <w:t>lica</w:t>
      </w:r>
      <w:r w:rsidRPr="00D912D1">
        <w:rPr>
          <w:rFonts w:ascii="Arial" w:hAnsi="Arial" w:cs="Arial"/>
          <w:szCs w:val="24"/>
        </w:rPr>
        <w:t xml:space="preserve"> 1</w:t>
      </w:r>
      <w:r w:rsidR="005A0B60" w:rsidRPr="00073673">
        <w:rPr>
          <w:rFonts w:ascii="Arial" w:hAnsi="Arial" w:cs="Arial"/>
          <w:szCs w:val="24"/>
        </w:rPr>
        <w:t>1</w:t>
      </w:r>
      <w:r w:rsidRPr="00073673">
        <w:rPr>
          <w:rFonts w:ascii="Arial" w:hAnsi="Arial" w:cs="Arial"/>
          <w:szCs w:val="24"/>
        </w:rPr>
        <w:t>. Proc</w:t>
      </w:r>
      <w:r w:rsidR="00D945EA" w:rsidRPr="00073673">
        <w:rPr>
          <w:rFonts w:ascii="Arial" w:hAnsi="Arial" w:cs="Arial"/>
          <w:szCs w:val="24"/>
        </w:rPr>
        <w:t>i</w:t>
      </w:r>
      <w:r w:rsidRPr="00073673">
        <w:rPr>
          <w:rFonts w:ascii="Arial" w:hAnsi="Arial" w:cs="Arial"/>
          <w:szCs w:val="24"/>
        </w:rPr>
        <w:t>jenjeni spread (margina) na inst</w:t>
      </w:r>
      <w:r w:rsidR="00D945EA" w:rsidRPr="00073673">
        <w:rPr>
          <w:rFonts w:ascii="Arial" w:hAnsi="Arial" w:cs="Arial"/>
          <w:szCs w:val="24"/>
        </w:rPr>
        <w:t>r</w:t>
      </w:r>
      <w:r w:rsidRPr="00073673">
        <w:rPr>
          <w:rFonts w:ascii="Arial" w:hAnsi="Arial" w:cs="Arial"/>
          <w:szCs w:val="24"/>
        </w:rPr>
        <w:t xml:space="preserve">umente </w:t>
      </w:r>
      <w:r w:rsidR="00BB7244" w:rsidRPr="00073673">
        <w:rPr>
          <w:rFonts w:ascii="Arial" w:hAnsi="Arial" w:cs="Arial"/>
          <w:szCs w:val="24"/>
        </w:rPr>
        <w:t xml:space="preserve">duga </w:t>
      </w:r>
      <w:r w:rsidRPr="00073673">
        <w:rPr>
          <w:rFonts w:ascii="Arial" w:hAnsi="Arial" w:cs="Arial"/>
          <w:szCs w:val="24"/>
        </w:rPr>
        <w:t xml:space="preserve">s varijabilnom kamatnom stopom u </w:t>
      </w:r>
      <w:r w:rsidR="00A31C4D">
        <w:rPr>
          <w:rFonts w:ascii="Arial" w:hAnsi="Arial" w:cs="Arial"/>
          <w:szCs w:val="24"/>
        </w:rPr>
        <w:t>razdoblju</w:t>
      </w:r>
      <w:r w:rsidRPr="00073673">
        <w:rPr>
          <w:rFonts w:ascii="Arial" w:hAnsi="Arial" w:cs="Arial"/>
          <w:szCs w:val="24"/>
        </w:rPr>
        <w:t xml:space="preserve"> </w:t>
      </w:r>
      <w:r w:rsidR="00B37D59" w:rsidRPr="00073673">
        <w:rPr>
          <w:rFonts w:ascii="Arial" w:hAnsi="Arial" w:cs="Arial"/>
          <w:szCs w:val="24"/>
        </w:rPr>
        <w:t xml:space="preserve">2022 </w:t>
      </w:r>
      <w:r w:rsidR="005A3438" w:rsidRPr="00073673">
        <w:rPr>
          <w:rFonts w:ascii="Arial" w:hAnsi="Arial" w:cs="Arial"/>
          <w:szCs w:val="24"/>
        </w:rPr>
        <w:t>– 202</w:t>
      </w:r>
      <w:r w:rsidR="00B37D59" w:rsidRPr="00445180">
        <w:rPr>
          <w:rFonts w:ascii="Arial" w:hAnsi="Arial" w:cs="Arial"/>
          <w:szCs w:val="24"/>
        </w:rPr>
        <w:t>4</w:t>
      </w:r>
      <w:r w:rsidR="005A3438" w:rsidRPr="00D912D1">
        <w:rPr>
          <w:rFonts w:ascii="Arial" w:hAnsi="Arial" w:cs="Arial"/>
          <w:szCs w:val="24"/>
        </w:rPr>
        <w:t xml:space="preserve">. </w:t>
      </w:r>
      <w:r w:rsidRPr="00073673">
        <w:rPr>
          <w:rFonts w:ascii="Arial" w:hAnsi="Arial" w:cs="Arial"/>
          <w:szCs w:val="24"/>
        </w:rPr>
        <w:t>godin</w:t>
      </w:r>
      <w:r w:rsidR="00133849" w:rsidRPr="00073673">
        <w:rPr>
          <w:rFonts w:ascii="Arial" w:hAnsi="Arial" w:cs="Arial"/>
          <w:szCs w:val="24"/>
        </w:rPr>
        <w:t>a</w:t>
      </w:r>
      <w:r w:rsidR="00BB7244" w:rsidRPr="00073673">
        <w:rPr>
          <w:rFonts w:ascii="Arial" w:hAnsi="Arial" w:cs="Arial"/>
          <w:szCs w:val="24"/>
        </w:rPr>
        <w:t xml:space="preserve"> korištene u MTDS AT</w:t>
      </w:r>
    </w:p>
    <w:tbl>
      <w:tblPr>
        <w:tblW w:w="5019" w:type="pct"/>
        <w:jc w:val="cente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4253"/>
        <w:gridCol w:w="1698"/>
        <w:gridCol w:w="1698"/>
        <w:gridCol w:w="1699"/>
      </w:tblGrid>
      <w:tr w:rsidR="00977C8B" w:rsidRPr="00977C8B" w14:paraId="3B6E533A" w14:textId="77777777" w:rsidTr="00445180">
        <w:trPr>
          <w:trHeight w:val="302"/>
          <w:jc w:val="center"/>
        </w:trPr>
        <w:tc>
          <w:tcPr>
            <w:tcW w:w="2275" w:type="pct"/>
            <w:shd w:val="clear" w:color="auto" w:fill="auto"/>
            <w:noWrap/>
            <w:vAlign w:val="center"/>
            <w:hideMark/>
          </w:tcPr>
          <w:p w14:paraId="4E824BC4" w14:textId="77777777" w:rsidR="00977C8B" w:rsidRPr="00C32F9E" w:rsidRDefault="00977C8B" w:rsidP="00977C8B">
            <w:pPr>
              <w:spacing w:after="0" w:line="240" w:lineRule="auto"/>
              <w:rPr>
                <w:rFonts w:ascii="Arial" w:eastAsia="Times New Roman" w:hAnsi="Arial" w:cs="Arial"/>
                <w:b/>
                <w:bCs/>
                <w:color w:val="FFFFFF"/>
                <w:sz w:val="20"/>
                <w:szCs w:val="20"/>
                <w:lang w:val="en-US"/>
              </w:rPr>
            </w:pPr>
            <w:r w:rsidRPr="00C32F9E">
              <w:rPr>
                <w:rFonts w:ascii="Arial" w:eastAsia="Times New Roman" w:hAnsi="Arial" w:cs="Arial"/>
                <w:b/>
                <w:bCs/>
                <w:color w:val="FFFFFF"/>
                <w:sz w:val="20"/>
                <w:szCs w:val="20"/>
                <w:lang w:val="en-US"/>
              </w:rPr>
              <w:t> </w:t>
            </w:r>
          </w:p>
        </w:tc>
        <w:tc>
          <w:tcPr>
            <w:tcW w:w="908" w:type="pct"/>
            <w:shd w:val="clear" w:color="auto" w:fill="auto"/>
            <w:noWrap/>
            <w:vAlign w:val="center"/>
            <w:hideMark/>
          </w:tcPr>
          <w:p w14:paraId="77A16F0C" w14:textId="77777777" w:rsidR="00977C8B" w:rsidRPr="00C32F9E" w:rsidRDefault="00977C8B" w:rsidP="00977C8B">
            <w:pPr>
              <w:spacing w:after="0" w:line="240" w:lineRule="auto"/>
              <w:jc w:val="center"/>
              <w:rPr>
                <w:rFonts w:ascii="Arial" w:eastAsia="Times New Roman" w:hAnsi="Arial" w:cs="Arial"/>
                <w:color w:val="000000"/>
                <w:sz w:val="20"/>
                <w:szCs w:val="20"/>
                <w:lang w:val="en-US"/>
              </w:rPr>
            </w:pPr>
            <w:r w:rsidRPr="00C32F9E">
              <w:rPr>
                <w:rFonts w:ascii="Arial" w:eastAsia="Times New Roman" w:hAnsi="Arial" w:cs="Arial"/>
                <w:color w:val="000000"/>
                <w:sz w:val="20"/>
                <w:szCs w:val="20"/>
              </w:rPr>
              <w:t>2022</w:t>
            </w:r>
          </w:p>
        </w:tc>
        <w:tc>
          <w:tcPr>
            <w:tcW w:w="908" w:type="pct"/>
            <w:shd w:val="clear" w:color="auto" w:fill="auto"/>
            <w:noWrap/>
            <w:vAlign w:val="center"/>
            <w:hideMark/>
          </w:tcPr>
          <w:p w14:paraId="072E1F31" w14:textId="77777777" w:rsidR="00977C8B" w:rsidRPr="00C32F9E" w:rsidRDefault="00977C8B" w:rsidP="00977C8B">
            <w:pPr>
              <w:spacing w:after="0" w:line="240" w:lineRule="auto"/>
              <w:jc w:val="center"/>
              <w:rPr>
                <w:rFonts w:ascii="Arial" w:eastAsia="Times New Roman" w:hAnsi="Arial" w:cs="Arial"/>
                <w:color w:val="000000"/>
                <w:sz w:val="20"/>
                <w:szCs w:val="20"/>
                <w:lang w:val="en-US"/>
              </w:rPr>
            </w:pPr>
            <w:r w:rsidRPr="00C32F9E">
              <w:rPr>
                <w:rFonts w:ascii="Arial" w:eastAsia="Times New Roman" w:hAnsi="Arial" w:cs="Arial"/>
                <w:color w:val="000000"/>
                <w:sz w:val="20"/>
                <w:szCs w:val="20"/>
              </w:rPr>
              <w:t>2023</w:t>
            </w:r>
          </w:p>
        </w:tc>
        <w:tc>
          <w:tcPr>
            <w:tcW w:w="909" w:type="pct"/>
            <w:shd w:val="clear" w:color="auto" w:fill="auto"/>
            <w:noWrap/>
            <w:vAlign w:val="center"/>
            <w:hideMark/>
          </w:tcPr>
          <w:p w14:paraId="0F6F49C9" w14:textId="77777777" w:rsidR="00977C8B" w:rsidRPr="00C32F9E" w:rsidRDefault="00977C8B" w:rsidP="00977C8B">
            <w:pPr>
              <w:spacing w:after="0" w:line="240" w:lineRule="auto"/>
              <w:jc w:val="center"/>
              <w:rPr>
                <w:rFonts w:ascii="Arial" w:eastAsia="Times New Roman" w:hAnsi="Arial" w:cs="Arial"/>
                <w:color w:val="000000"/>
                <w:sz w:val="20"/>
                <w:szCs w:val="20"/>
                <w:lang w:val="en-US"/>
              </w:rPr>
            </w:pPr>
            <w:r w:rsidRPr="00C32F9E">
              <w:rPr>
                <w:rFonts w:ascii="Arial" w:eastAsia="Times New Roman" w:hAnsi="Arial" w:cs="Arial"/>
                <w:color w:val="000000"/>
                <w:sz w:val="20"/>
                <w:szCs w:val="20"/>
              </w:rPr>
              <w:t>2024</w:t>
            </w:r>
          </w:p>
        </w:tc>
      </w:tr>
      <w:tr w:rsidR="00977C8B" w:rsidRPr="00977C8B" w14:paraId="035153EA" w14:textId="77777777" w:rsidTr="00445180">
        <w:trPr>
          <w:trHeight w:val="302"/>
          <w:jc w:val="center"/>
        </w:trPr>
        <w:tc>
          <w:tcPr>
            <w:tcW w:w="2275" w:type="pct"/>
            <w:shd w:val="clear" w:color="auto" w:fill="auto"/>
            <w:noWrap/>
            <w:vAlign w:val="center"/>
            <w:hideMark/>
          </w:tcPr>
          <w:p w14:paraId="127B9C2F" w14:textId="77777777" w:rsidR="00977C8B" w:rsidRPr="00445180" w:rsidRDefault="00977C8B" w:rsidP="00977C8B">
            <w:pPr>
              <w:spacing w:after="0" w:line="240" w:lineRule="auto"/>
              <w:rPr>
                <w:rFonts w:ascii="Arial" w:eastAsia="Times New Roman" w:hAnsi="Arial" w:cs="Arial"/>
                <w:bCs/>
                <w:color w:val="000000"/>
                <w:sz w:val="20"/>
                <w:szCs w:val="20"/>
                <w:lang w:val="en-US"/>
              </w:rPr>
            </w:pPr>
            <w:r w:rsidRPr="00445180">
              <w:rPr>
                <w:rFonts w:ascii="Arial" w:eastAsia="Times New Roman" w:hAnsi="Arial" w:cs="Arial"/>
                <w:bCs/>
                <w:color w:val="000000"/>
                <w:sz w:val="20"/>
                <w:szCs w:val="20"/>
              </w:rPr>
              <w:t>Koncesionalni USD Varijabilni</w:t>
            </w:r>
          </w:p>
        </w:tc>
        <w:tc>
          <w:tcPr>
            <w:tcW w:w="908" w:type="pct"/>
            <w:shd w:val="clear" w:color="auto" w:fill="auto"/>
            <w:noWrap/>
            <w:vAlign w:val="center"/>
            <w:hideMark/>
          </w:tcPr>
          <w:p w14:paraId="2B236ED3" w14:textId="77777777" w:rsidR="00977C8B" w:rsidRPr="00C32F9E" w:rsidRDefault="00977C8B" w:rsidP="00977C8B">
            <w:pPr>
              <w:spacing w:after="0" w:line="240" w:lineRule="auto"/>
              <w:jc w:val="right"/>
              <w:rPr>
                <w:rFonts w:ascii="Arial" w:eastAsia="Times New Roman" w:hAnsi="Arial" w:cs="Arial"/>
                <w:color w:val="000000"/>
                <w:sz w:val="20"/>
                <w:szCs w:val="20"/>
                <w:lang w:val="en-US"/>
              </w:rPr>
            </w:pPr>
            <w:r w:rsidRPr="00C32F9E">
              <w:rPr>
                <w:rFonts w:ascii="Arial" w:eastAsia="Times New Roman" w:hAnsi="Arial" w:cs="Arial"/>
                <w:color w:val="000000"/>
                <w:sz w:val="20"/>
                <w:szCs w:val="20"/>
              </w:rPr>
              <w:t>1,03%</w:t>
            </w:r>
          </w:p>
        </w:tc>
        <w:tc>
          <w:tcPr>
            <w:tcW w:w="908" w:type="pct"/>
            <w:shd w:val="clear" w:color="auto" w:fill="auto"/>
            <w:noWrap/>
            <w:vAlign w:val="center"/>
            <w:hideMark/>
          </w:tcPr>
          <w:p w14:paraId="095F4D87" w14:textId="77777777" w:rsidR="00977C8B" w:rsidRPr="00C32F9E" w:rsidRDefault="00977C8B" w:rsidP="00977C8B">
            <w:pPr>
              <w:spacing w:after="0" w:line="240" w:lineRule="auto"/>
              <w:jc w:val="right"/>
              <w:rPr>
                <w:rFonts w:ascii="Arial" w:eastAsia="Times New Roman" w:hAnsi="Arial" w:cs="Arial"/>
                <w:color w:val="000000"/>
                <w:sz w:val="20"/>
                <w:szCs w:val="20"/>
                <w:lang w:val="en-US"/>
              </w:rPr>
            </w:pPr>
            <w:r w:rsidRPr="00C32F9E">
              <w:rPr>
                <w:rFonts w:ascii="Arial" w:eastAsia="Times New Roman" w:hAnsi="Arial" w:cs="Arial"/>
                <w:color w:val="000000"/>
                <w:sz w:val="20"/>
                <w:szCs w:val="20"/>
              </w:rPr>
              <w:t>1,03%</w:t>
            </w:r>
          </w:p>
        </w:tc>
        <w:tc>
          <w:tcPr>
            <w:tcW w:w="909" w:type="pct"/>
            <w:shd w:val="clear" w:color="auto" w:fill="auto"/>
            <w:noWrap/>
            <w:vAlign w:val="center"/>
            <w:hideMark/>
          </w:tcPr>
          <w:p w14:paraId="282DE25A" w14:textId="77777777" w:rsidR="00977C8B" w:rsidRPr="00C32F9E" w:rsidRDefault="00977C8B" w:rsidP="00977C8B">
            <w:pPr>
              <w:spacing w:after="0" w:line="240" w:lineRule="auto"/>
              <w:jc w:val="right"/>
              <w:rPr>
                <w:rFonts w:ascii="Arial" w:eastAsia="Times New Roman" w:hAnsi="Arial" w:cs="Arial"/>
                <w:color w:val="000000"/>
                <w:sz w:val="20"/>
                <w:szCs w:val="20"/>
                <w:lang w:val="en-US"/>
              </w:rPr>
            </w:pPr>
            <w:r w:rsidRPr="00C32F9E">
              <w:rPr>
                <w:rFonts w:ascii="Arial" w:eastAsia="Times New Roman" w:hAnsi="Arial" w:cs="Arial"/>
                <w:color w:val="000000"/>
                <w:sz w:val="20"/>
                <w:szCs w:val="20"/>
              </w:rPr>
              <w:t>1,03%</w:t>
            </w:r>
          </w:p>
        </w:tc>
      </w:tr>
      <w:tr w:rsidR="00977C8B" w:rsidRPr="00977C8B" w14:paraId="3A5CE603" w14:textId="77777777" w:rsidTr="00445180">
        <w:trPr>
          <w:trHeight w:val="302"/>
          <w:jc w:val="center"/>
        </w:trPr>
        <w:tc>
          <w:tcPr>
            <w:tcW w:w="2275" w:type="pct"/>
            <w:shd w:val="clear" w:color="auto" w:fill="auto"/>
            <w:noWrap/>
            <w:vAlign w:val="center"/>
            <w:hideMark/>
          </w:tcPr>
          <w:p w14:paraId="620CFAD8" w14:textId="77777777" w:rsidR="00977C8B" w:rsidRPr="00445180" w:rsidRDefault="00977C8B" w:rsidP="00977C8B">
            <w:pPr>
              <w:spacing w:after="0" w:line="240" w:lineRule="auto"/>
              <w:rPr>
                <w:rFonts w:ascii="Arial" w:eastAsia="Times New Roman" w:hAnsi="Arial" w:cs="Arial"/>
                <w:bCs/>
                <w:color w:val="000000"/>
                <w:sz w:val="20"/>
                <w:szCs w:val="20"/>
                <w:lang w:val="en-US"/>
              </w:rPr>
            </w:pPr>
            <w:r w:rsidRPr="00445180">
              <w:rPr>
                <w:rFonts w:ascii="Arial" w:eastAsia="Times New Roman" w:hAnsi="Arial" w:cs="Arial"/>
                <w:bCs/>
                <w:color w:val="000000"/>
                <w:sz w:val="20"/>
                <w:szCs w:val="20"/>
              </w:rPr>
              <w:t>Koncesionalni EUR Varijabilni</w:t>
            </w:r>
          </w:p>
        </w:tc>
        <w:tc>
          <w:tcPr>
            <w:tcW w:w="908" w:type="pct"/>
            <w:shd w:val="clear" w:color="auto" w:fill="auto"/>
            <w:noWrap/>
            <w:vAlign w:val="center"/>
            <w:hideMark/>
          </w:tcPr>
          <w:p w14:paraId="27000B36" w14:textId="77777777" w:rsidR="00977C8B" w:rsidRPr="00C32F9E" w:rsidRDefault="00977C8B" w:rsidP="00977C8B">
            <w:pPr>
              <w:spacing w:after="0" w:line="240" w:lineRule="auto"/>
              <w:jc w:val="right"/>
              <w:rPr>
                <w:rFonts w:ascii="Arial" w:eastAsia="Times New Roman" w:hAnsi="Arial" w:cs="Arial"/>
                <w:color w:val="000000"/>
                <w:sz w:val="20"/>
                <w:szCs w:val="20"/>
                <w:lang w:val="en-US"/>
              </w:rPr>
            </w:pPr>
            <w:r w:rsidRPr="00C32F9E">
              <w:rPr>
                <w:rFonts w:ascii="Arial" w:eastAsia="Times New Roman" w:hAnsi="Arial" w:cs="Arial"/>
                <w:color w:val="000000"/>
                <w:sz w:val="20"/>
                <w:szCs w:val="20"/>
              </w:rPr>
              <w:t>1,03%</w:t>
            </w:r>
          </w:p>
        </w:tc>
        <w:tc>
          <w:tcPr>
            <w:tcW w:w="908" w:type="pct"/>
            <w:shd w:val="clear" w:color="auto" w:fill="auto"/>
            <w:noWrap/>
            <w:vAlign w:val="center"/>
            <w:hideMark/>
          </w:tcPr>
          <w:p w14:paraId="47BADFD2" w14:textId="77777777" w:rsidR="00977C8B" w:rsidRPr="00C32F9E" w:rsidRDefault="00977C8B" w:rsidP="00977C8B">
            <w:pPr>
              <w:spacing w:after="0" w:line="240" w:lineRule="auto"/>
              <w:jc w:val="right"/>
              <w:rPr>
                <w:rFonts w:ascii="Arial" w:eastAsia="Times New Roman" w:hAnsi="Arial" w:cs="Arial"/>
                <w:color w:val="000000"/>
                <w:sz w:val="20"/>
                <w:szCs w:val="20"/>
                <w:lang w:val="en-US"/>
              </w:rPr>
            </w:pPr>
            <w:r w:rsidRPr="00C32F9E">
              <w:rPr>
                <w:rFonts w:ascii="Arial" w:eastAsia="Times New Roman" w:hAnsi="Arial" w:cs="Arial"/>
                <w:color w:val="000000"/>
                <w:sz w:val="20"/>
                <w:szCs w:val="20"/>
              </w:rPr>
              <w:t>1,03%</w:t>
            </w:r>
          </w:p>
        </w:tc>
        <w:tc>
          <w:tcPr>
            <w:tcW w:w="909" w:type="pct"/>
            <w:shd w:val="clear" w:color="auto" w:fill="auto"/>
            <w:noWrap/>
            <w:vAlign w:val="center"/>
            <w:hideMark/>
          </w:tcPr>
          <w:p w14:paraId="672966E2" w14:textId="77777777" w:rsidR="00977C8B" w:rsidRPr="00C32F9E" w:rsidRDefault="00977C8B" w:rsidP="00977C8B">
            <w:pPr>
              <w:spacing w:after="0" w:line="240" w:lineRule="auto"/>
              <w:jc w:val="right"/>
              <w:rPr>
                <w:rFonts w:ascii="Arial" w:eastAsia="Times New Roman" w:hAnsi="Arial" w:cs="Arial"/>
                <w:color w:val="000000"/>
                <w:sz w:val="20"/>
                <w:szCs w:val="20"/>
                <w:lang w:val="en-US"/>
              </w:rPr>
            </w:pPr>
            <w:r w:rsidRPr="00C32F9E">
              <w:rPr>
                <w:rFonts w:ascii="Arial" w:eastAsia="Times New Roman" w:hAnsi="Arial" w:cs="Arial"/>
                <w:color w:val="000000"/>
                <w:sz w:val="20"/>
                <w:szCs w:val="20"/>
              </w:rPr>
              <w:t>1,03%</w:t>
            </w:r>
          </w:p>
        </w:tc>
      </w:tr>
      <w:tr w:rsidR="00977C8B" w:rsidRPr="00977C8B" w14:paraId="4C620D13" w14:textId="77777777" w:rsidTr="00445180">
        <w:trPr>
          <w:trHeight w:val="302"/>
          <w:jc w:val="center"/>
        </w:trPr>
        <w:tc>
          <w:tcPr>
            <w:tcW w:w="2275" w:type="pct"/>
            <w:shd w:val="clear" w:color="auto" w:fill="auto"/>
            <w:noWrap/>
            <w:vAlign w:val="center"/>
            <w:hideMark/>
          </w:tcPr>
          <w:p w14:paraId="18F0C8E0" w14:textId="77777777" w:rsidR="00977C8B" w:rsidRPr="00445180" w:rsidRDefault="00977C8B" w:rsidP="00977C8B">
            <w:pPr>
              <w:spacing w:after="0" w:line="240" w:lineRule="auto"/>
              <w:rPr>
                <w:rFonts w:ascii="Arial" w:eastAsia="Times New Roman" w:hAnsi="Arial" w:cs="Arial"/>
                <w:bCs/>
                <w:color w:val="000000"/>
                <w:sz w:val="20"/>
                <w:szCs w:val="20"/>
                <w:lang w:val="en-US"/>
              </w:rPr>
            </w:pPr>
            <w:r w:rsidRPr="00445180">
              <w:rPr>
                <w:rFonts w:ascii="Arial" w:eastAsia="Times New Roman" w:hAnsi="Arial" w:cs="Arial"/>
                <w:bCs/>
                <w:color w:val="000000"/>
                <w:sz w:val="20"/>
                <w:szCs w:val="20"/>
              </w:rPr>
              <w:t>IMF RFI USD Varijabilni</w:t>
            </w:r>
          </w:p>
        </w:tc>
        <w:tc>
          <w:tcPr>
            <w:tcW w:w="908" w:type="pct"/>
            <w:shd w:val="clear" w:color="auto" w:fill="auto"/>
            <w:noWrap/>
            <w:vAlign w:val="center"/>
            <w:hideMark/>
          </w:tcPr>
          <w:p w14:paraId="6856ED4C" w14:textId="77777777" w:rsidR="00977C8B" w:rsidRPr="00C32F9E" w:rsidRDefault="00977C8B" w:rsidP="00977C8B">
            <w:pPr>
              <w:spacing w:after="0" w:line="240" w:lineRule="auto"/>
              <w:jc w:val="right"/>
              <w:rPr>
                <w:rFonts w:ascii="Arial" w:eastAsia="Times New Roman" w:hAnsi="Arial" w:cs="Arial"/>
                <w:color w:val="000000"/>
                <w:sz w:val="20"/>
                <w:szCs w:val="20"/>
                <w:lang w:val="en-US"/>
              </w:rPr>
            </w:pPr>
            <w:r w:rsidRPr="00C32F9E">
              <w:rPr>
                <w:rFonts w:ascii="Arial" w:eastAsia="Times New Roman" w:hAnsi="Arial" w:cs="Arial"/>
                <w:color w:val="000000"/>
                <w:sz w:val="20"/>
                <w:szCs w:val="20"/>
              </w:rPr>
              <w:t>1,00%</w:t>
            </w:r>
          </w:p>
        </w:tc>
        <w:tc>
          <w:tcPr>
            <w:tcW w:w="908" w:type="pct"/>
            <w:shd w:val="clear" w:color="auto" w:fill="auto"/>
            <w:noWrap/>
            <w:vAlign w:val="center"/>
            <w:hideMark/>
          </w:tcPr>
          <w:p w14:paraId="69DA7817" w14:textId="77777777" w:rsidR="00977C8B" w:rsidRPr="00C32F9E" w:rsidRDefault="00977C8B" w:rsidP="00977C8B">
            <w:pPr>
              <w:spacing w:after="0" w:line="240" w:lineRule="auto"/>
              <w:jc w:val="right"/>
              <w:rPr>
                <w:rFonts w:ascii="Arial" w:eastAsia="Times New Roman" w:hAnsi="Arial" w:cs="Arial"/>
                <w:color w:val="000000"/>
                <w:sz w:val="20"/>
                <w:szCs w:val="20"/>
                <w:lang w:val="en-US"/>
              </w:rPr>
            </w:pPr>
            <w:r w:rsidRPr="00C32F9E">
              <w:rPr>
                <w:rFonts w:ascii="Arial" w:eastAsia="Times New Roman" w:hAnsi="Arial" w:cs="Arial"/>
                <w:color w:val="000000"/>
                <w:sz w:val="20"/>
                <w:szCs w:val="20"/>
              </w:rPr>
              <w:t>1,00%</w:t>
            </w:r>
          </w:p>
        </w:tc>
        <w:tc>
          <w:tcPr>
            <w:tcW w:w="909" w:type="pct"/>
            <w:shd w:val="clear" w:color="auto" w:fill="auto"/>
            <w:noWrap/>
            <w:vAlign w:val="center"/>
            <w:hideMark/>
          </w:tcPr>
          <w:p w14:paraId="7D3DF161" w14:textId="77777777" w:rsidR="00977C8B" w:rsidRPr="00C32F9E" w:rsidRDefault="00977C8B" w:rsidP="00977C8B">
            <w:pPr>
              <w:spacing w:after="0" w:line="240" w:lineRule="auto"/>
              <w:jc w:val="right"/>
              <w:rPr>
                <w:rFonts w:ascii="Arial" w:eastAsia="Times New Roman" w:hAnsi="Arial" w:cs="Arial"/>
                <w:color w:val="000000"/>
                <w:sz w:val="20"/>
                <w:szCs w:val="20"/>
                <w:lang w:val="en-US"/>
              </w:rPr>
            </w:pPr>
            <w:r w:rsidRPr="00C32F9E">
              <w:rPr>
                <w:rFonts w:ascii="Arial" w:eastAsia="Times New Roman" w:hAnsi="Arial" w:cs="Arial"/>
                <w:color w:val="000000"/>
                <w:sz w:val="20"/>
                <w:szCs w:val="20"/>
              </w:rPr>
              <w:t>1,00%</w:t>
            </w:r>
          </w:p>
        </w:tc>
      </w:tr>
      <w:tr w:rsidR="00977C8B" w:rsidRPr="00977C8B" w14:paraId="41C6BB0D" w14:textId="77777777" w:rsidTr="00445180">
        <w:trPr>
          <w:trHeight w:val="318"/>
          <w:jc w:val="center"/>
        </w:trPr>
        <w:tc>
          <w:tcPr>
            <w:tcW w:w="2275" w:type="pct"/>
            <w:shd w:val="clear" w:color="auto" w:fill="auto"/>
            <w:noWrap/>
            <w:vAlign w:val="center"/>
            <w:hideMark/>
          </w:tcPr>
          <w:p w14:paraId="689C6F09" w14:textId="77777777" w:rsidR="00977C8B" w:rsidRPr="00445180" w:rsidRDefault="00977C8B" w:rsidP="00977C8B">
            <w:pPr>
              <w:spacing w:after="0" w:line="240" w:lineRule="auto"/>
              <w:rPr>
                <w:rFonts w:ascii="Arial" w:eastAsia="Times New Roman" w:hAnsi="Arial" w:cs="Arial"/>
                <w:bCs/>
                <w:color w:val="000000"/>
                <w:sz w:val="20"/>
                <w:szCs w:val="20"/>
                <w:lang w:val="en-US"/>
              </w:rPr>
            </w:pPr>
            <w:r w:rsidRPr="00445180">
              <w:rPr>
                <w:rFonts w:ascii="Arial" w:eastAsia="Times New Roman" w:hAnsi="Arial" w:cs="Arial"/>
                <w:bCs/>
                <w:color w:val="000000"/>
                <w:sz w:val="20"/>
                <w:szCs w:val="20"/>
              </w:rPr>
              <w:t>IMF EFF USD Varijabilni</w:t>
            </w:r>
          </w:p>
        </w:tc>
        <w:tc>
          <w:tcPr>
            <w:tcW w:w="908" w:type="pct"/>
            <w:shd w:val="clear" w:color="auto" w:fill="auto"/>
            <w:noWrap/>
            <w:vAlign w:val="center"/>
            <w:hideMark/>
          </w:tcPr>
          <w:p w14:paraId="545CA401" w14:textId="77777777" w:rsidR="00977C8B" w:rsidRPr="00C32F9E" w:rsidRDefault="00977C8B" w:rsidP="00977C8B">
            <w:pPr>
              <w:spacing w:after="0" w:line="240" w:lineRule="auto"/>
              <w:jc w:val="right"/>
              <w:rPr>
                <w:rFonts w:ascii="Arial" w:eastAsia="Times New Roman" w:hAnsi="Arial" w:cs="Arial"/>
                <w:color w:val="000000"/>
                <w:sz w:val="20"/>
                <w:szCs w:val="20"/>
                <w:lang w:val="en-US"/>
              </w:rPr>
            </w:pPr>
            <w:r w:rsidRPr="00C32F9E">
              <w:rPr>
                <w:rFonts w:ascii="Arial" w:eastAsia="Times New Roman" w:hAnsi="Arial" w:cs="Arial"/>
                <w:color w:val="000000"/>
                <w:sz w:val="20"/>
                <w:szCs w:val="20"/>
              </w:rPr>
              <w:t>1,00%</w:t>
            </w:r>
          </w:p>
        </w:tc>
        <w:tc>
          <w:tcPr>
            <w:tcW w:w="908" w:type="pct"/>
            <w:shd w:val="clear" w:color="auto" w:fill="auto"/>
            <w:noWrap/>
            <w:vAlign w:val="center"/>
            <w:hideMark/>
          </w:tcPr>
          <w:p w14:paraId="010C9E3F" w14:textId="77777777" w:rsidR="00977C8B" w:rsidRPr="00C32F9E" w:rsidRDefault="00977C8B" w:rsidP="00977C8B">
            <w:pPr>
              <w:spacing w:after="0" w:line="240" w:lineRule="auto"/>
              <w:jc w:val="right"/>
              <w:rPr>
                <w:rFonts w:ascii="Arial" w:eastAsia="Times New Roman" w:hAnsi="Arial" w:cs="Arial"/>
                <w:color w:val="000000"/>
                <w:sz w:val="20"/>
                <w:szCs w:val="20"/>
                <w:lang w:val="en-US"/>
              </w:rPr>
            </w:pPr>
            <w:r w:rsidRPr="00C32F9E">
              <w:rPr>
                <w:rFonts w:ascii="Arial" w:eastAsia="Times New Roman" w:hAnsi="Arial" w:cs="Arial"/>
                <w:color w:val="000000"/>
                <w:sz w:val="20"/>
                <w:szCs w:val="20"/>
              </w:rPr>
              <w:t>1,00%</w:t>
            </w:r>
          </w:p>
        </w:tc>
        <w:tc>
          <w:tcPr>
            <w:tcW w:w="909" w:type="pct"/>
            <w:shd w:val="clear" w:color="auto" w:fill="auto"/>
            <w:noWrap/>
            <w:vAlign w:val="center"/>
            <w:hideMark/>
          </w:tcPr>
          <w:p w14:paraId="5C1F8F3B" w14:textId="77777777" w:rsidR="00977C8B" w:rsidRPr="00C32F9E" w:rsidRDefault="00977C8B" w:rsidP="00977C8B">
            <w:pPr>
              <w:spacing w:after="0" w:line="240" w:lineRule="auto"/>
              <w:jc w:val="right"/>
              <w:rPr>
                <w:rFonts w:ascii="Arial" w:eastAsia="Times New Roman" w:hAnsi="Arial" w:cs="Arial"/>
                <w:color w:val="000000"/>
                <w:sz w:val="20"/>
                <w:szCs w:val="20"/>
                <w:lang w:val="en-US"/>
              </w:rPr>
            </w:pPr>
            <w:r w:rsidRPr="00C32F9E">
              <w:rPr>
                <w:rFonts w:ascii="Arial" w:eastAsia="Times New Roman" w:hAnsi="Arial" w:cs="Arial"/>
                <w:color w:val="000000"/>
                <w:sz w:val="20"/>
                <w:szCs w:val="20"/>
              </w:rPr>
              <w:t>1,00%</w:t>
            </w:r>
          </w:p>
        </w:tc>
      </w:tr>
    </w:tbl>
    <w:p w14:paraId="0E3FD37C" w14:textId="77777777" w:rsidR="005B6230" w:rsidRPr="00073673" w:rsidRDefault="005B6230" w:rsidP="00BE5B36">
      <w:pPr>
        <w:spacing w:after="0"/>
        <w:jc w:val="both"/>
        <w:rPr>
          <w:rFonts w:ascii="Arial" w:hAnsi="Arial" w:cs="Arial"/>
          <w:sz w:val="24"/>
          <w:szCs w:val="24"/>
        </w:rPr>
      </w:pPr>
    </w:p>
    <w:p w14:paraId="28A5FC3B" w14:textId="4EBB48BC" w:rsidR="00ED768D" w:rsidRPr="00A97D61" w:rsidRDefault="00ED768D" w:rsidP="00713ED7">
      <w:pPr>
        <w:pStyle w:val="ParagraphNumbering"/>
        <w:keepNext/>
        <w:numPr>
          <w:ilvl w:val="0"/>
          <w:numId w:val="0"/>
        </w:numPr>
        <w:spacing w:after="0" w:line="276" w:lineRule="auto"/>
        <w:ind w:firstLine="420"/>
        <w:jc w:val="both"/>
        <w:rPr>
          <w:rFonts w:ascii="Arial" w:hAnsi="Arial" w:cs="Arial"/>
          <w:sz w:val="22"/>
        </w:rPr>
      </w:pPr>
      <w:r w:rsidRPr="00073673">
        <w:rPr>
          <w:rFonts w:ascii="Arial" w:hAnsi="Arial" w:cs="Arial"/>
          <w:sz w:val="22"/>
        </w:rPr>
        <w:lastRenderedPageBreak/>
        <w:t>B</w:t>
      </w:r>
      <w:r w:rsidR="007C3030" w:rsidRPr="00073673">
        <w:rPr>
          <w:rFonts w:ascii="Arial" w:hAnsi="Arial" w:cs="Arial"/>
          <w:sz w:val="22"/>
        </w:rPr>
        <w:t xml:space="preserve">osna </w:t>
      </w:r>
      <w:r w:rsidRPr="00073673">
        <w:rPr>
          <w:rFonts w:ascii="Arial" w:hAnsi="Arial" w:cs="Arial"/>
          <w:sz w:val="22"/>
        </w:rPr>
        <w:t>i</w:t>
      </w:r>
      <w:r w:rsidR="007C3030" w:rsidRPr="00073673">
        <w:rPr>
          <w:rFonts w:ascii="Arial" w:hAnsi="Arial" w:cs="Arial"/>
          <w:sz w:val="22"/>
        </w:rPr>
        <w:t xml:space="preserve"> </w:t>
      </w:r>
      <w:r w:rsidRPr="00073673">
        <w:rPr>
          <w:rFonts w:ascii="Arial" w:hAnsi="Arial" w:cs="Arial"/>
          <w:sz w:val="22"/>
        </w:rPr>
        <w:t>H</w:t>
      </w:r>
      <w:r w:rsidR="007C3030" w:rsidRPr="00073673">
        <w:rPr>
          <w:rFonts w:ascii="Arial" w:hAnsi="Arial" w:cs="Arial"/>
          <w:sz w:val="22"/>
        </w:rPr>
        <w:t>ercegovina</w:t>
      </w:r>
      <w:r w:rsidRPr="00073673">
        <w:rPr>
          <w:rFonts w:ascii="Arial" w:hAnsi="Arial" w:cs="Arial"/>
          <w:sz w:val="22"/>
        </w:rPr>
        <w:t xml:space="preserve"> ima kreditni rejting B od S&amp;P</w:t>
      </w:r>
      <w:r w:rsidRPr="00073673">
        <w:rPr>
          <w:rFonts w:ascii="Arial" w:hAnsi="Arial" w:cs="Arial"/>
          <w:sz w:val="22"/>
          <w:vertAlign w:val="superscript"/>
        </w:rPr>
        <w:footnoteReference w:id="16"/>
      </w:r>
      <w:r w:rsidRPr="00073673">
        <w:rPr>
          <w:rFonts w:ascii="Arial" w:hAnsi="Arial" w:cs="Arial"/>
          <w:sz w:val="22"/>
          <w:vertAlign w:val="superscript"/>
        </w:rPr>
        <w:t xml:space="preserve"> </w:t>
      </w:r>
      <w:r w:rsidRPr="00073673">
        <w:rPr>
          <w:rFonts w:ascii="Arial" w:hAnsi="Arial" w:cs="Arial"/>
          <w:sz w:val="22"/>
        </w:rPr>
        <w:t>i B3 od Moody's</w:t>
      </w:r>
      <w:r w:rsidRPr="00073673">
        <w:rPr>
          <w:rFonts w:ascii="Arial" w:hAnsi="Arial" w:cs="Arial"/>
          <w:sz w:val="22"/>
          <w:vertAlign w:val="superscript"/>
        </w:rPr>
        <w:footnoteReference w:id="17"/>
      </w:r>
      <w:r w:rsidRPr="00073673">
        <w:rPr>
          <w:rFonts w:ascii="Arial" w:hAnsi="Arial" w:cs="Arial"/>
          <w:sz w:val="22"/>
        </w:rPr>
        <w:t>. Oba kreditna rejtinga  svrstavaju Bosnu i Hercegovinu u skupinu zemalja s visokim kreditnim rizikom – neinvestitorski rejting, odnosno u grupu zemalja koja može izmi</w:t>
      </w:r>
      <w:r w:rsidR="00C705CB">
        <w:rPr>
          <w:rFonts w:ascii="Arial" w:hAnsi="Arial" w:cs="Arial"/>
          <w:sz w:val="22"/>
        </w:rPr>
        <w:t>rivati trenutne dugoročne ob</w:t>
      </w:r>
      <w:r w:rsidRPr="00073673">
        <w:rPr>
          <w:rFonts w:ascii="Arial" w:hAnsi="Arial" w:cs="Arial"/>
          <w:sz w:val="22"/>
        </w:rPr>
        <w:t>veze</w:t>
      </w:r>
      <w:r w:rsidR="0007589E" w:rsidRPr="00073673">
        <w:rPr>
          <w:rFonts w:ascii="Arial" w:hAnsi="Arial" w:cs="Arial"/>
          <w:sz w:val="22"/>
        </w:rPr>
        <w:t>,</w:t>
      </w:r>
      <w:r w:rsidRPr="00073673">
        <w:rPr>
          <w:rFonts w:ascii="Arial" w:hAnsi="Arial" w:cs="Arial"/>
          <w:sz w:val="22"/>
        </w:rPr>
        <w:t xml:space="preserve"> ali nepovoljna ekonomska kretanja mogu dovesti </w:t>
      </w:r>
      <w:r w:rsidR="0007589E" w:rsidRPr="00073673">
        <w:rPr>
          <w:rFonts w:ascii="Arial" w:hAnsi="Arial" w:cs="Arial"/>
          <w:sz w:val="22"/>
        </w:rPr>
        <w:t>do</w:t>
      </w:r>
      <w:r w:rsidRPr="00073673">
        <w:rPr>
          <w:rFonts w:ascii="Arial" w:hAnsi="Arial" w:cs="Arial"/>
          <w:sz w:val="22"/>
        </w:rPr>
        <w:t xml:space="preserve"> problem</w:t>
      </w:r>
      <w:r w:rsidR="0007589E" w:rsidRPr="00073673">
        <w:rPr>
          <w:rFonts w:ascii="Arial" w:hAnsi="Arial" w:cs="Arial"/>
          <w:sz w:val="22"/>
        </w:rPr>
        <w:t>a u</w:t>
      </w:r>
      <w:r w:rsidRPr="00073673">
        <w:rPr>
          <w:rFonts w:ascii="Arial" w:hAnsi="Arial" w:cs="Arial"/>
          <w:sz w:val="22"/>
        </w:rPr>
        <w:t xml:space="preserve"> servisiranj</w:t>
      </w:r>
      <w:r w:rsidR="00EC030A" w:rsidRPr="00073673">
        <w:rPr>
          <w:rFonts w:ascii="Arial" w:hAnsi="Arial" w:cs="Arial"/>
          <w:sz w:val="22"/>
        </w:rPr>
        <w:t>u</w:t>
      </w:r>
      <w:r w:rsidR="00C705CB">
        <w:rPr>
          <w:rFonts w:ascii="Arial" w:hAnsi="Arial" w:cs="Arial"/>
          <w:sz w:val="22"/>
        </w:rPr>
        <w:t xml:space="preserve"> njenih ob</w:t>
      </w:r>
      <w:r w:rsidRPr="00073673">
        <w:rPr>
          <w:rFonts w:ascii="Arial" w:hAnsi="Arial" w:cs="Arial"/>
          <w:sz w:val="22"/>
        </w:rPr>
        <w:t xml:space="preserve">veza. </w:t>
      </w:r>
    </w:p>
    <w:p w14:paraId="02CA34A9" w14:textId="77777777" w:rsidR="00C00D11" w:rsidRPr="00AF7CAC" w:rsidRDefault="00C00D11" w:rsidP="00D35AE0">
      <w:pPr>
        <w:spacing w:after="0" w:line="240" w:lineRule="auto"/>
        <w:ind w:firstLine="426"/>
        <w:jc w:val="both"/>
        <w:rPr>
          <w:rFonts w:ascii="Arial" w:eastAsia="SimSun" w:hAnsi="Arial" w:cs="Arial"/>
          <w:sz w:val="24"/>
          <w:szCs w:val="24"/>
        </w:rPr>
      </w:pPr>
    </w:p>
    <w:p w14:paraId="2252E6FA" w14:textId="62AB5368" w:rsidR="00ED768D" w:rsidRDefault="00ED768D" w:rsidP="00D35AE0">
      <w:pPr>
        <w:pStyle w:val="ParagraphNumbering"/>
        <w:keepNext/>
        <w:numPr>
          <w:ilvl w:val="0"/>
          <w:numId w:val="0"/>
        </w:numPr>
        <w:tabs>
          <w:tab w:val="left" w:pos="720"/>
        </w:tabs>
        <w:spacing w:after="0" w:line="240" w:lineRule="auto"/>
        <w:jc w:val="both"/>
        <w:rPr>
          <w:rFonts w:ascii="Arial" w:hAnsi="Arial" w:cs="Arial"/>
        </w:rPr>
      </w:pPr>
      <w:r w:rsidRPr="002B5DCA">
        <w:rPr>
          <w:rFonts w:ascii="Arial" w:hAnsi="Arial" w:cs="Arial"/>
          <w:sz w:val="22"/>
        </w:rPr>
        <w:t>Tab</w:t>
      </w:r>
      <w:r w:rsidR="00C705CB">
        <w:rPr>
          <w:rFonts w:ascii="Arial" w:hAnsi="Arial" w:cs="Arial"/>
          <w:sz w:val="22"/>
        </w:rPr>
        <w:t>lica</w:t>
      </w:r>
      <w:r w:rsidRPr="002B5DCA">
        <w:rPr>
          <w:rFonts w:ascii="Arial" w:hAnsi="Arial" w:cs="Arial"/>
          <w:sz w:val="22"/>
        </w:rPr>
        <w:t xml:space="preserve"> 1</w:t>
      </w:r>
      <w:r w:rsidR="005A0B60" w:rsidRPr="002B5DCA">
        <w:rPr>
          <w:rFonts w:ascii="Arial" w:hAnsi="Arial" w:cs="Arial"/>
          <w:sz w:val="22"/>
        </w:rPr>
        <w:t>2</w:t>
      </w:r>
      <w:r w:rsidRPr="002B5DCA">
        <w:rPr>
          <w:rFonts w:ascii="Arial" w:hAnsi="Arial" w:cs="Arial"/>
          <w:sz w:val="22"/>
        </w:rPr>
        <w:t>: Pregled dugoročnog rejtinga pojedinih zemalja iz šireg okruženja</w:t>
      </w:r>
    </w:p>
    <w:p w14:paraId="3211F83C" w14:textId="77777777" w:rsidR="00A97D61" w:rsidRPr="00AF7CAC" w:rsidRDefault="00A97D61" w:rsidP="00D35AE0">
      <w:pPr>
        <w:pStyle w:val="ParagraphNumbering"/>
        <w:keepNext/>
        <w:numPr>
          <w:ilvl w:val="0"/>
          <w:numId w:val="0"/>
        </w:numPr>
        <w:tabs>
          <w:tab w:val="left" w:pos="720"/>
        </w:tabs>
        <w:spacing w:after="0" w:line="240" w:lineRule="auto"/>
        <w:jc w:val="both"/>
        <w:rPr>
          <w:rFonts w:ascii="Arial" w:hAnsi="Arial" w:cs="Arial"/>
        </w:rPr>
      </w:pPr>
    </w:p>
    <w:tbl>
      <w:tblPr>
        <w:tblW w:w="5000"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59"/>
        <w:gridCol w:w="3110"/>
        <w:gridCol w:w="2954"/>
      </w:tblGrid>
      <w:tr w:rsidR="00A97D61" w:rsidRPr="00A97D61" w14:paraId="682077DF" w14:textId="77777777" w:rsidTr="00445180">
        <w:trPr>
          <w:trHeight w:val="300"/>
          <w:jc w:val="center"/>
        </w:trPr>
        <w:tc>
          <w:tcPr>
            <w:tcW w:w="1748" w:type="pct"/>
            <w:vMerge w:val="restart"/>
            <w:shd w:val="clear" w:color="000000" w:fill="FFFFFF"/>
            <w:vAlign w:val="center"/>
            <w:hideMark/>
          </w:tcPr>
          <w:p w14:paraId="61D5A657" w14:textId="77777777" w:rsidR="00A97D61" w:rsidRPr="00A97D61" w:rsidRDefault="00A97D61" w:rsidP="00A97D61">
            <w:pPr>
              <w:spacing w:after="0" w:line="240" w:lineRule="auto"/>
              <w:jc w:val="center"/>
              <w:rPr>
                <w:rFonts w:ascii="Arial" w:eastAsia="Times New Roman" w:hAnsi="Arial" w:cs="Arial"/>
                <w:i/>
                <w:sz w:val="20"/>
                <w:szCs w:val="20"/>
                <w:lang w:val="bs-Latn-BA" w:eastAsia="bs-Latn-BA"/>
              </w:rPr>
            </w:pPr>
            <w:r w:rsidRPr="00A97D61">
              <w:rPr>
                <w:rFonts w:ascii="Arial" w:eastAsia="Times New Roman" w:hAnsi="Arial" w:cs="Arial"/>
                <w:i/>
                <w:sz w:val="20"/>
                <w:szCs w:val="20"/>
                <w:lang w:val="bs-Latn-BA" w:eastAsia="bs-Latn-BA"/>
              </w:rPr>
              <w:t>Država</w:t>
            </w:r>
          </w:p>
        </w:tc>
        <w:tc>
          <w:tcPr>
            <w:tcW w:w="1668" w:type="pct"/>
            <w:shd w:val="clear" w:color="000000" w:fill="FFFFFF"/>
            <w:vAlign w:val="center"/>
            <w:hideMark/>
          </w:tcPr>
          <w:p w14:paraId="5C5B418D" w14:textId="77777777" w:rsidR="00A97D61" w:rsidRPr="00A97D61" w:rsidRDefault="00A97D61" w:rsidP="00A97D61">
            <w:pPr>
              <w:spacing w:after="0" w:line="240" w:lineRule="auto"/>
              <w:jc w:val="center"/>
              <w:rPr>
                <w:rFonts w:ascii="Arial" w:eastAsia="Times New Roman" w:hAnsi="Arial" w:cs="Arial"/>
                <w:i/>
                <w:sz w:val="20"/>
                <w:szCs w:val="20"/>
                <w:lang w:val="bs-Latn-BA" w:eastAsia="bs-Latn-BA"/>
              </w:rPr>
            </w:pPr>
            <w:r w:rsidRPr="00A97D61">
              <w:rPr>
                <w:rFonts w:ascii="Arial" w:eastAsia="Times New Roman" w:hAnsi="Arial" w:cs="Arial"/>
                <w:i/>
                <w:sz w:val="20"/>
                <w:szCs w:val="20"/>
                <w:lang w:val="bs-Latn-BA" w:eastAsia="bs-Latn-BA"/>
              </w:rPr>
              <w:t>Moody's Investors Service</w:t>
            </w:r>
          </w:p>
        </w:tc>
        <w:tc>
          <w:tcPr>
            <w:tcW w:w="1584" w:type="pct"/>
            <w:shd w:val="clear" w:color="000000" w:fill="FFFFFF"/>
            <w:vAlign w:val="center"/>
            <w:hideMark/>
          </w:tcPr>
          <w:p w14:paraId="33EEB848" w14:textId="77777777" w:rsidR="00A97D61" w:rsidRPr="00A97D61" w:rsidRDefault="00A97D61" w:rsidP="00A97D61">
            <w:pPr>
              <w:spacing w:after="0" w:line="240" w:lineRule="auto"/>
              <w:jc w:val="center"/>
              <w:rPr>
                <w:rFonts w:ascii="Arial" w:eastAsia="Times New Roman" w:hAnsi="Arial" w:cs="Arial"/>
                <w:i/>
                <w:sz w:val="20"/>
                <w:szCs w:val="20"/>
                <w:lang w:val="bs-Latn-BA" w:eastAsia="bs-Latn-BA"/>
              </w:rPr>
            </w:pPr>
            <w:r w:rsidRPr="00A97D61">
              <w:rPr>
                <w:rFonts w:ascii="Arial" w:eastAsia="Times New Roman" w:hAnsi="Arial" w:cs="Arial"/>
                <w:i/>
                <w:sz w:val="20"/>
                <w:szCs w:val="20"/>
                <w:lang w:val="bs-Latn-BA" w:eastAsia="bs-Latn-BA"/>
              </w:rPr>
              <w:t>Standard &amp; Poor's</w:t>
            </w:r>
          </w:p>
        </w:tc>
      </w:tr>
      <w:tr w:rsidR="00A97D61" w:rsidRPr="00A97D61" w14:paraId="2F8EDD97" w14:textId="77777777" w:rsidTr="00445180">
        <w:trPr>
          <w:trHeight w:val="300"/>
          <w:jc w:val="center"/>
        </w:trPr>
        <w:tc>
          <w:tcPr>
            <w:tcW w:w="1748" w:type="pct"/>
            <w:vMerge/>
            <w:vAlign w:val="center"/>
            <w:hideMark/>
          </w:tcPr>
          <w:p w14:paraId="40A39E6C" w14:textId="77777777" w:rsidR="00A97D61" w:rsidRPr="00A97D61" w:rsidRDefault="00A97D61" w:rsidP="00A97D61">
            <w:pPr>
              <w:spacing w:after="0" w:line="240" w:lineRule="auto"/>
              <w:rPr>
                <w:rFonts w:ascii="Arial" w:eastAsia="Times New Roman" w:hAnsi="Arial" w:cs="Arial"/>
                <w:i/>
                <w:sz w:val="20"/>
                <w:szCs w:val="20"/>
                <w:lang w:val="bs-Latn-BA" w:eastAsia="bs-Latn-BA"/>
              </w:rPr>
            </w:pPr>
          </w:p>
        </w:tc>
        <w:tc>
          <w:tcPr>
            <w:tcW w:w="1668" w:type="pct"/>
            <w:shd w:val="clear" w:color="000000" w:fill="FFFFFF"/>
            <w:vAlign w:val="center"/>
            <w:hideMark/>
          </w:tcPr>
          <w:p w14:paraId="60016B1A" w14:textId="77777777" w:rsidR="00A97D61" w:rsidRPr="00D912D1" w:rsidRDefault="00A97D61" w:rsidP="00A97D61">
            <w:pPr>
              <w:spacing w:after="0" w:line="240" w:lineRule="auto"/>
              <w:jc w:val="center"/>
              <w:rPr>
                <w:rFonts w:ascii="Arial" w:eastAsia="Times New Roman" w:hAnsi="Arial" w:cs="Arial"/>
                <w:i/>
                <w:sz w:val="20"/>
                <w:szCs w:val="20"/>
                <w:lang w:val="bs-Latn-BA" w:eastAsia="bs-Latn-BA"/>
              </w:rPr>
            </w:pPr>
            <w:r w:rsidRPr="00D912D1">
              <w:rPr>
                <w:rFonts w:ascii="Arial" w:eastAsia="Times New Roman" w:hAnsi="Arial" w:cs="Arial"/>
                <w:i/>
                <w:sz w:val="20"/>
                <w:szCs w:val="20"/>
                <w:lang w:val="bs-Latn-BA" w:eastAsia="bs-Latn-BA"/>
              </w:rPr>
              <w:t>Dugoročni / izgled</w:t>
            </w:r>
          </w:p>
        </w:tc>
        <w:tc>
          <w:tcPr>
            <w:tcW w:w="1584" w:type="pct"/>
            <w:shd w:val="clear" w:color="000000" w:fill="FFFFFF"/>
            <w:vAlign w:val="center"/>
            <w:hideMark/>
          </w:tcPr>
          <w:p w14:paraId="3176A46E" w14:textId="77777777" w:rsidR="00A97D61" w:rsidRPr="00073673" w:rsidRDefault="00A97D61" w:rsidP="00A97D61">
            <w:pPr>
              <w:spacing w:after="0" w:line="240" w:lineRule="auto"/>
              <w:jc w:val="center"/>
              <w:rPr>
                <w:rFonts w:ascii="Arial" w:eastAsia="Times New Roman" w:hAnsi="Arial" w:cs="Arial"/>
                <w:i/>
                <w:sz w:val="20"/>
                <w:szCs w:val="20"/>
                <w:lang w:val="bs-Latn-BA" w:eastAsia="bs-Latn-BA"/>
              </w:rPr>
            </w:pPr>
            <w:r w:rsidRPr="00073673">
              <w:rPr>
                <w:rFonts w:ascii="Arial" w:eastAsia="Times New Roman" w:hAnsi="Arial" w:cs="Arial"/>
                <w:i/>
                <w:sz w:val="20"/>
                <w:szCs w:val="20"/>
                <w:lang w:val="bs-Latn-BA" w:eastAsia="bs-Latn-BA"/>
              </w:rPr>
              <w:t>Dugoročni / izgled</w:t>
            </w:r>
          </w:p>
        </w:tc>
      </w:tr>
      <w:tr w:rsidR="00286C5F" w:rsidRPr="00A97D61" w14:paraId="13C988EB" w14:textId="77777777" w:rsidTr="00445180">
        <w:trPr>
          <w:trHeight w:val="300"/>
          <w:jc w:val="center"/>
        </w:trPr>
        <w:tc>
          <w:tcPr>
            <w:tcW w:w="1748" w:type="pct"/>
            <w:shd w:val="clear" w:color="000000" w:fill="FFFFFF"/>
            <w:vAlign w:val="center"/>
            <w:hideMark/>
          </w:tcPr>
          <w:p w14:paraId="16D7A43A" w14:textId="77777777" w:rsidR="00286C5F" w:rsidRPr="00A97D61" w:rsidRDefault="00286C5F" w:rsidP="00286C5F">
            <w:pPr>
              <w:spacing w:after="0" w:line="240" w:lineRule="auto"/>
              <w:rPr>
                <w:rFonts w:ascii="Arial" w:eastAsia="Times New Roman" w:hAnsi="Arial" w:cs="Arial"/>
                <w:i/>
                <w:color w:val="000000"/>
                <w:sz w:val="20"/>
                <w:szCs w:val="20"/>
                <w:lang w:val="bs-Latn-BA" w:eastAsia="bs-Latn-BA"/>
              </w:rPr>
            </w:pPr>
            <w:r w:rsidRPr="00A97D61">
              <w:rPr>
                <w:rFonts w:ascii="Arial" w:eastAsia="Times New Roman" w:hAnsi="Arial" w:cs="Arial"/>
                <w:i/>
                <w:color w:val="000000"/>
                <w:sz w:val="20"/>
                <w:szCs w:val="20"/>
                <w:lang w:val="bs-Latn-BA" w:eastAsia="bs-Latn-BA"/>
              </w:rPr>
              <w:t>Albanija</w:t>
            </w:r>
          </w:p>
        </w:tc>
        <w:tc>
          <w:tcPr>
            <w:tcW w:w="1668" w:type="pct"/>
            <w:shd w:val="clear" w:color="000000" w:fill="FFFFFF"/>
            <w:vAlign w:val="center"/>
            <w:hideMark/>
          </w:tcPr>
          <w:p w14:paraId="69C40BA7" w14:textId="45CD8D83" w:rsidR="00286C5F" w:rsidRPr="00445180" w:rsidRDefault="00286C5F" w:rsidP="00286C5F">
            <w:pPr>
              <w:spacing w:after="0" w:line="240" w:lineRule="auto"/>
              <w:jc w:val="center"/>
              <w:rPr>
                <w:rFonts w:ascii="Arial" w:eastAsia="Times New Roman" w:hAnsi="Arial" w:cs="Arial"/>
                <w:i/>
                <w:sz w:val="20"/>
                <w:szCs w:val="20"/>
                <w:lang w:val="bs-Latn-BA" w:eastAsia="bs-Latn-BA"/>
              </w:rPr>
            </w:pPr>
            <w:r w:rsidRPr="00445180">
              <w:rPr>
                <w:rFonts w:ascii="Arial" w:eastAsia="Times New Roman" w:hAnsi="Arial" w:cs="Arial"/>
                <w:i/>
                <w:sz w:val="20"/>
                <w:szCs w:val="20"/>
                <w:lang w:val="bs-Latn-BA" w:eastAsia="bs-Latn-BA"/>
              </w:rPr>
              <w:t>B1 / stabilan</w:t>
            </w:r>
          </w:p>
        </w:tc>
        <w:tc>
          <w:tcPr>
            <w:tcW w:w="1584" w:type="pct"/>
            <w:shd w:val="clear" w:color="000000" w:fill="FFFFFF"/>
            <w:vAlign w:val="center"/>
            <w:hideMark/>
          </w:tcPr>
          <w:p w14:paraId="20FFE38E" w14:textId="79BAA78A" w:rsidR="00286C5F" w:rsidRPr="00445180" w:rsidRDefault="00286C5F" w:rsidP="00286C5F">
            <w:pPr>
              <w:spacing w:after="0" w:line="240" w:lineRule="auto"/>
              <w:jc w:val="center"/>
              <w:rPr>
                <w:rFonts w:ascii="Arial" w:eastAsia="Times New Roman" w:hAnsi="Arial" w:cs="Arial"/>
                <w:i/>
                <w:sz w:val="20"/>
                <w:szCs w:val="20"/>
                <w:lang w:val="bs-Latn-BA" w:eastAsia="bs-Latn-BA"/>
              </w:rPr>
            </w:pPr>
            <w:r w:rsidRPr="00445180">
              <w:rPr>
                <w:rFonts w:ascii="Arial" w:eastAsia="Times New Roman" w:hAnsi="Arial" w:cs="Arial"/>
                <w:i/>
                <w:sz w:val="20"/>
                <w:szCs w:val="20"/>
                <w:lang w:val="bs-Latn-BA" w:eastAsia="bs-Latn-BA"/>
              </w:rPr>
              <w:t>B+/ stabilan</w:t>
            </w:r>
          </w:p>
        </w:tc>
      </w:tr>
      <w:tr w:rsidR="00A97D61" w:rsidRPr="00A97D61" w14:paraId="044F754F" w14:textId="77777777" w:rsidTr="00445180">
        <w:trPr>
          <w:trHeight w:val="300"/>
          <w:jc w:val="center"/>
        </w:trPr>
        <w:tc>
          <w:tcPr>
            <w:tcW w:w="1748" w:type="pct"/>
            <w:shd w:val="clear" w:color="000000" w:fill="FFFFFF"/>
            <w:vAlign w:val="center"/>
            <w:hideMark/>
          </w:tcPr>
          <w:p w14:paraId="35965A0A" w14:textId="77777777" w:rsidR="00A97D61" w:rsidRPr="00A97D61" w:rsidRDefault="00A97D61" w:rsidP="00A97D61">
            <w:pPr>
              <w:spacing w:after="0" w:line="240" w:lineRule="auto"/>
              <w:rPr>
                <w:rFonts w:ascii="Arial" w:eastAsia="Times New Roman" w:hAnsi="Arial" w:cs="Arial"/>
                <w:b/>
                <w:bCs/>
                <w:i/>
                <w:color w:val="000000"/>
                <w:sz w:val="20"/>
                <w:szCs w:val="20"/>
                <w:lang w:val="bs-Latn-BA" w:eastAsia="bs-Latn-BA"/>
              </w:rPr>
            </w:pPr>
            <w:r w:rsidRPr="00A97D61">
              <w:rPr>
                <w:rFonts w:ascii="Arial" w:eastAsia="Times New Roman" w:hAnsi="Arial" w:cs="Arial"/>
                <w:b/>
                <w:bCs/>
                <w:i/>
                <w:color w:val="000000"/>
                <w:sz w:val="20"/>
                <w:szCs w:val="20"/>
                <w:lang w:val="bs-Latn-BA" w:eastAsia="bs-Latn-BA"/>
              </w:rPr>
              <w:t>Bosna i Hercegovina</w:t>
            </w:r>
          </w:p>
        </w:tc>
        <w:tc>
          <w:tcPr>
            <w:tcW w:w="1668" w:type="pct"/>
            <w:shd w:val="clear" w:color="000000" w:fill="FFFFFF"/>
            <w:vAlign w:val="center"/>
            <w:hideMark/>
          </w:tcPr>
          <w:p w14:paraId="64091416" w14:textId="77777777" w:rsidR="00A97D61" w:rsidRPr="00D912D1" w:rsidRDefault="00A97D61" w:rsidP="00A97D61">
            <w:pPr>
              <w:spacing w:after="0" w:line="240" w:lineRule="auto"/>
              <w:jc w:val="center"/>
              <w:rPr>
                <w:rFonts w:ascii="Arial" w:eastAsia="Times New Roman" w:hAnsi="Arial" w:cs="Arial"/>
                <w:b/>
                <w:bCs/>
                <w:i/>
                <w:color w:val="000000"/>
                <w:sz w:val="20"/>
                <w:szCs w:val="20"/>
                <w:lang w:val="bs-Latn-BA" w:eastAsia="bs-Latn-BA"/>
              </w:rPr>
            </w:pPr>
            <w:r w:rsidRPr="00D912D1">
              <w:rPr>
                <w:rFonts w:ascii="Arial" w:eastAsia="Times New Roman" w:hAnsi="Arial" w:cs="Arial"/>
                <w:b/>
                <w:bCs/>
                <w:i/>
                <w:color w:val="000000"/>
                <w:sz w:val="20"/>
                <w:szCs w:val="20"/>
                <w:lang w:val="bs-Latn-BA" w:eastAsia="bs-Latn-BA"/>
              </w:rPr>
              <w:t>B3 / stabilan</w:t>
            </w:r>
          </w:p>
        </w:tc>
        <w:tc>
          <w:tcPr>
            <w:tcW w:w="1584" w:type="pct"/>
            <w:shd w:val="clear" w:color="000000" w:fill="FFFFFF"/>
            <w:vAlign w:val="center"/>
            <w:hideMark/>
          </w:tcPr>
          <w:p w14:paraId="4B5483C2" w14:textId="77777777" w:rsidR="00A97D61" w:rsidRPr="00073673" w:rsidRDefault="00A97D61" w:rsidP="00A97D61">
            <w:pPr>
              <w:spacing w:after="0" w:line="240" w:lineRule="auto"/>
              <w:jc w:val="center"/>
              <w:rPr>
                <w:rFonts w:ascii="Arial" w:eastAsia="Times New Roman" w:hAnsi="Arial" w:cs="Arial"/>
                <w:b/>
                <w:bCs/>
                <w:i/>
                <w:color w:val="000000"/>
                <w:sz w:val="20"/>
                <w:szCs w:val="20"/>
                <w:lang w:val="bs-Latn-BA" w:eastAsia="bs-Latn-BA"/>
              </w:rPr>
            </w:pPr>
            <w:r w:rsidRPr="00073673">
              <w:rPr>
                <w:rFonts w:ascii="Arial" w:eastAsia="Times New Roman" w:hAnsi="Arial" w:cs="Arial"/>
                <w:b/>
                <w:bCs/>
                <w:i/>
                <w:color w:val="000000"/>
                <w:sz w:val="20"/>
                <w:szCs w:val="20"/>
                <w:lang w:val="bs-Latn-BA" w:eastAsia="bs-Latn-BA"/>
              </w:rPr>
              <w:t>B / stabilan</w:t>
            </w:r>
          </w:p>
        </w:tc>
      </w:tr>
      <w:tr w:rsidR="00A97D61" w:rsidRPr="00A97D61" w14:paraId="763C88A3" w14:textId="77777777" w:rsidTr="00445180">
        <w:trPr>
          <w:trHeight w:val="300"/>
          <w:jc w:val="center"/>
        </w:trPr>
        <w:tc>
          <w:tcPr>
            <w:tcW w:w="1748" w:type="pct"/>
            <w:shd w:val="clear" w:color="000000" w:fill="FFFFFF"/>
            <w:vAlign w:val="center"/>
            <w:hideMark/>
          </w:tcPr>
          <w:p w14:paraId="77540447" w14:textId="77777777" w:rsidR="00A97D61" w:rsidRPr="00A97D61" w:rsidRDefault="00A97D61" w:rsidP="00A97D61">
            <w:pPr>
              <w:spacing w:after="0" w:line="240" w:lineRule="auto"/>
              <w:rPr>
                <w:rFonts w:ascii="Arial" w:eastAsia="Times New Roman" w:hAnsi="Arial" w:cs="Arial"/>
                <w:i/>
                <w:color w:val="000000"/>
                <w:sz w:val="20"/>
                <w:szCs w:val="20"/>
                <w:lang w:val="bs-Latn-BA" w:eastAsia="bs-Latn-BA"/>
              </w:rPr>
            </w:pPr>
            <w:r w:rsidRPr="00A97D61">
              <w:rPr>
                <w:rFonts w:ascii="Arial" w:eastAsia="Times New Roman" w:hAnsi="Arial" w:cs="Arial"/>
                <w:i/>
                <w:color w:val="000000"/>
                <w:sz w:val="20"/>
                <w:szCs w:val="20"/>
                <w:lang w:val="bs-Latn-BA" w:eastAsia="bs-Latn-BA"/>
              </w:rPr>
              <w:t>Bugarska</w:t>
            </w:r>
          </w:p>
        </w:tc>
        <w:tc>
          <w:tcPr>
            <w:tcW w:w="1668" w:type="pct"/>
            <w:shd w:val="clear" w:color="000000" w:fill="FFFFFF"/>
            <w:vAlign w:val="center"/>
            <w:hideMark/>
          </w:tcPr>
          <w:p w14:paraId="6D351AEA" w14:textId="77777777" w:rsidR="00A97D61" w:rsidRPr="00445180" w:rsidRDefault="00A97D61" w:rsidP="00A97D61">
            <w:pPr>
              <w:spacing w:after="0" w:line="240" w:lineRule="auto"/>
              <w:jc w:val="center"/>
              <w:rPr>
                <w:rFonts w:ascii="Arial" w:eastAsia="Times New Roman" w:hAnsi="Arial" w:cs="Arial"/>
                <w:i/>
                <w:sz w:val="20"/>
                <w:szCs w:val="20"/>
                <w:lang w:val="bs-Latn-BA" w:eastAsia="bs-Latn-BA"/>
              </w:rPr>
            </w:pPr>
            <w:r w:rsidRPr="00445180">
              <w:rPr>
                <w:rFonts w:ascii="Arial" w:eastAsia="Times New Roman" w:hAnsi="Arial" w:cs="Arial"/>
                <w:i/>
                <w:sz w:val="20"/>
                <w:szCs w:val="20"/>
                <w:lang w:val="bs-Latn-BA" w:eastAsia="bs-Latn-BA"/>
              </w:rPr>
              <w:t>Baa1 / stabilan</w:t>
            </w:r>
          </w:p>
        </w:tc>
        <w:tc>
          <w:tcPr>
            <w:tcW w:w="1584" w:type="pct"/>
            <w:shd w:val="clear" w:color="000000" w:fill="FFFFFF"/>
            <w:vAlign w:val="center"/>
            <w:hideMark/>
          </w:tcPr>
          <w:p w14:paraId="29567E6B" w14:textId="77777777" w:rsidR="00A97D61" w:rsidRPr="00445180" w:rsidRDefault="00A97D61" w:rsidP="00A97D61">
            <w:pPr>
              <w:spacing w:after="0" w:line="240" w:lineRule="auto"/>
              <w:jc w:val="center"/>
              <w:rPr>
                <w:rFonts w:ascii="Arial" w:eastAsia="Times New Roman" w:hAnsi="Arial" w:cs="Arial"/>
                <w:i/>
                <w:sz w:val="20"/>
                <w:szCs w:val="20"/>
                <w:lang w:val="bs-Latn-BA" w:eastAsia="bs-Latn-BA"/>
              </w:rPr>
            </w:pPr>
            <w:r w:rsidRPr="00445180">
              <w:rPr>
                <w:rFonts w:ascii="Arial" w:eastAsia="Times New Roman" w:hAnsi="Arial" w:cs="Arial"/>
                <w:i/>
                <w:sz w:val="20"/>
                <w:szCs w:val="20"/>
                <w:lang w:val="bs-Latn-BA" w:eastAsia="bs-Latn-BA"/>
              </w:rPr>
              <w:t>BBB / stabilan</w:t>
            </w:r>
          </w:p>
        </w:tc>
      </w:tr>
      <w:tr w:rsidR="00286C5F" w:rsidRPr="00A97D61" w14:paraId="59200722" w14:textId="77777777" w:rsidTr="00445180">
        <w:trPr>
          <w:trHeight w:val="300"/>
          <w:jc w:val="center"/>
        </w:trPr>
        <w:tc>
          <w:tcPr>
            <w:tcW w:w="1748" w:type="pct"/>
            <w:shd w:val="clear" w:color="000000" w:fill="FFFFFF"/>
            <w:vAlign w:val="center"/>
            <w:hideMark/>
          </w:tcPr>
          <w:p w14:paraId="0B52D725" w14:textId="77777777" w:rsidR="00286C5F" w:rsidRPr="00A97D61" w:rsidRDefault="00286C5F" w:rsidP="00286C5F">
            <w:pPr>
              <w:spacing w:after="0" w:line="240" w:lineRule="auto"/>
              <w:rPr>
                <w:rFonts w:ascii="Arial" w:eastAsia="Times New Roman" w:hAnsi="Arial" w:cs="Arial"/>
                <w:i/>
                <w:color w:val="000000"/>
                <w:sz w:val="20"/>
                <w:szCs w:val="20"/>
                <w:lang w:val="bs-Latn-BA" w:eastAsia="bs-Latn-BA"/>
              </w:rPr>
            </w:pPr>
            <w:r w:rsidRPr="00A97D61">
              <w:rPr>
                <w:rFonts w:ascii="Arial" w:eastAsia="Times New Roman" w:hAnsi="Arial" w:cs="Arial"/>
                <w:i/>
                <w:color w:val="000000"/>
                <w:sz w:val="20"/>
                <w:szCs w:val="20"/>
                <w:lang w:val="bs-Latn-BA" w:eastAsia="bs-Latn-BA"/>
              </w:rPr>
              <w:t>Crna Gora</w:t>
            </w:r>
          </w:p>
        </w:tc>
        <w:tc>
          <w:tcPr>
            <w:tcW w:w="1668" w:type="pct"/>
            <w:shd w:val="clear" w:color="000000" w:fill="FFFFFF"/>
            <w:vAlign w:val="center"/>
            <w:hideMark/>
          </w:tcPr>
          <w:p w14:paraId="041458B9" w14:textId="08BA47E1" w:rsidR="00286C5F" w:rsidRPr="00445180" w:rsidRDefault="00286C5F" w:rsidP="00286C5F">
            <w:pPr>
              <w:spacing w:after="0" w:line="240" w:lineRule="auto"/>
              <w:jc w:val="center"/>
              <w:rPr>
                <w:rFonts w:ascii="Arial" w:eastAsia="Times New Roman" w:hAnsi="Arial" w:cs="Arial"/>
                <w:i/>
                <w:sz w:val="20"/>
                <w:szCs w:val="20"/>
                <w:lang w:val="bs-Latn-BA" w:eastAsia="bs-Latn-BA"/>
              </w:rPr>
            </w:pPr>
            <w:r w:rsidRPr="00445180">
              <w:rPr>
                <w:rFonts w:ascii="Arial" w:eastAsia="Times New Roman" w:hAnsi="Arial" w:cs="Arial"/>
                <w:i/>
                <w:sz w:val="20"/>
                <w:szCs w:val="20"/>
                <w:lang w:val="bs-Latn-BA" w:eastAsia="bs-Latn-BA"/>
              </w:rPr>
              <w:t>B1 / stabilan</w:t>
            </w:r>
          </w:p>
        </w:tc>
        <w:tc>
          <w:tcPr>
            <w:tcW w:w="1584" w:type="pct"/>
            <w:shd w:val="clear" w:color="000000" w:fill="FFFFFF"/>
            <w:vAlign w:val="center"/>
            <w:hideMark/>
          </w:tcPr>
          <w:p w14:paraId="1B9C601D" w14:textId="6D644832" w:rsidR="00286C5F" w:rsidRPr="00445180" w:rsidRDefault="00286C5F" w:rsidP="00286C5F">
            <w:pPr>
              <w:spacing w:after="0" w:line="240" w:lineRule="auto"/>
              <w:jc w:val="center"/>
              <w:rPr>
                <w:rFonts w:ascii="Arial" w:eastAsia="Times New Roman" w:hAnsi="Arial" w:cs="Arial"/>
                <w:i/>
                <w:sz w:val="20"/>
                <w:szCs w:val="20"/>
                <w:lang w:val="bs-Latn-BA" w:eastAsia="bs-Latn-BA"/>
              </w:rPr>
            </w:pPr>
            <w:r w:rsidRPr="00445180">
              <w:rPr>
                <w:rFonts w:ascii="Arial" w:eastAsia="Times New Roman" w:hAnsi="Arial" w:cs="Arial"/>
                <w:i/>
                <w:sz w:val="20"/>
                <w:szCs w:val="20"/>
                <w:lang w:val="bs-Latn-BA" w:eastAsia="bs-Latn-BA"/>
              </w:rPr>
              <w:t>B / stabilan</w:t>
            </w:r>
          </w:p>
        </w:tc>
      </w:tr>
      <w:tr w:rsidR="00286C5F" w:rsidRPr="00A97D61" w14:paraId="64A9BDDF" w14:textId="77777777" w:rsidTr="00445180">
        <w:trPr>
          <w:trHeight w:val="300"/>
          <w:jc w:val="center"/>
        </w:trPr>
        <w:tc>
          <w:tcPr>
            <w:tcW w:w="1748" w:type="pct"/>
            <w:shd w:val="clear" w:color="000000" w:fill="FFFFFF"/>
            <w:vAlign w:val="center"/>
            <w:hideMark/>
          </w:tcPr>
          <w:p w14:paraId="3CBE91F2" w14:textId="77777777" w:rsidR="00286C5F" w:rsidRPr="00A97D61" w:rsidRDefault="00286C5F" w:rsidP="00286C5F">
            <w:pPr>
              <w:spacing w:after="0" w:line="240" w:lineRule="auto"/>
              <w:rPr>
                <w:rFonts w:ascii="Arial" w:eastAsia="Times New Roman" w:hAnsi="Arial" w:cs="Arial"/>
                <w:i/>
                <w:color w:val="000000"/>
                <w:sz w:val="20"/>
                <w:szCs w:val="20"/>
                <w:lang w:val="bs-Latn-BA" w:eastAsia="bs-Latn-BA"/>
              </w:rPr>
            </w:pPr>
            <w:r w:rsidRPr="00A97D61">
              <w:rPr>
                <w:rFonts w:ascii="Arial" w:eastAsia="Times New Roman" w:hAnsi="Arial" w:cs="Arial"/>
                <w:i/>
                <w:color w:val="000000"/>
                <w:sz w:val="20"/>
                <w:szCs w:val="20"/>
                <w:lang w:val="bs-Latn-BA" w:eastAsia="bs-Latn-BA"/>
              </w:rPr>
              <w:t>Grčka</w:t>
            </w:r>
          </w:p>
        </w:tc>
        <w:tc>
          <w:tcPr>
            <w:tcW w:w="1668" w:type="pct"/>
            <w:shd w:val="clear" w:color="000000" w:fill="FFFFFF"/>
            <w:vAlign w:val="center"/>
            <w:hideMark/>
          </w:tcPr>
          <w:p w14:paraId="75F1CEA5" w14:textId="3B328E9D" w:rsidR="00286C5F" w:rsidRPr="00445180" w:rsidRDefault="00286C5F" w:rsidP="00286C5F">
            <w:pPr>
              <w:spacing w:after="0" w:line="240" w:lineRule="auto"/>
              <w:jc w:val="center"/>
              <w:rPr>
                <w:rFonts w:ascii="Arial" w:eastAsia="Times New Roman" w:hAnsi="Arial" w:cs="Arial"/>
                <w:i/>
                <w:sz w:val="20"/>
                <w:szCs w:val="20"/>
                <w:lang w:val="bs-Latn-BA" w:eastAsia="bs-Latn-BA"/>
              </w:rPr>
            </w:pPr>
            <w:r w:rsidRPr="00445180">
              <w:rPr>
                <w:rFonts w:ascii="Arial" w:eastAsia="Times New Roman" w:hAnsi="Arial" w:cs="Arial"/>
                <w:i/>
                <w:sz w:val="20"/>
                <w:szCs w:val="20"/>
                <w:lang w:val="bs-Latn-BA" w:eastAsia="bs-Latn-BA"/>
              </w:rPr>
              <w:t>Ba3 / stabilan</w:t>
            </w:r>
          </w:p>
        </w:tc>
        <w:tc>
          <w:tcPr>
            <w:tcW w:w="1584" w:type="pct"/>
            <w:shd w:val="clear" w:color="000000" w:fill="FFFFFF"/>
            <w:vAlign w:val="center"/>
            <w:hideMark/>
          </w:tcPr>
          <w:p w14:paraId="5891990F" w14:textId="1D95FEF8" w:rsidR="00286C5F" w:rsidRPr="00445180" w:rsidRDefault="00286C5F" w:rsidP="00286C5F">
            <w:pPr>
              <w:spacing w:after="0" w:line="240" w:lineRule="auto"/>
              <w:jc w:val="center"/>
              <w:rPr>
                <w:rFonts w:ascii="Arial" w:eastAsia="Times New Roman" w:hAnsi="Arial" w:cs="Arial"/>
                <w:i/>
                <w:sz w:val="20"/>
                <w:szCs w:val="20"/>
                <w:lang w:val="bs-Latn-BA" w:eastAsia="bs-Latn-BA"/>
              </w:rPr>
            </w:pPr>
            <w:r w:rsidRPr="00445180">
              <w:rPr>
                <w:rFonts w:ascii="Arial" w:eastAsia="Times New Roman" w:hAnsi="Arial" w:cs="Arial"/>
                <w:i/>
                <w:sz w:val="20"/>
                <w:szCs w:val="20"/>
                <w:lang w:val="bs-Latn-BA" w:eastAsia="bs-Latn-BA"/>
              </w:rPr>
              <w:t>BB / pozitivan</w:t>
            </w:r>
          </w:p>
        </w:tc>
      </w:tr>
      <w:tr w:rsidR="00286C5F" w:rsidRPr="00A97D61" w14:paraId="54EA5BDD" w14:textId="77777777" w:rsidTr="00445180">
        <w:trPr>
          <w:trHeight w:val="300"/>
          <w:jc w:val="center"/>
        </w:trPr>
        <w:tc>
          <w:tcPr>
            <w:tcW w:w="1748" w:type="pct"/>
            <w:shd w:val="clear" w:color="000000" w:fill="FFFFFF"/>
            <w:vAlign w:val="center"/>
            <w:hideMark/>
          </w:tcPr>
          <w:p w14:paraId="5EE603A7" w14:textId="77777777" w:rsidR="00286C5F" w:rsidRPr="00A97D61" w:rsidRDefault="00286C5F" w:rsidP="00286C5F">
            <w:pPr>
              <w:spacing w:after="0" w:line="240" w:lineRule="auto"/>
              <w:rPr>
                <w:rFonts w:ascii="Arial" w:eastAsia="Times New Roman" w:hAnsi="Arial" w:cs="Arial"/>
                <w:i/>
                <w:color w:val="000000"/>
                <w:sz w:val="20"/>
                <w:szCs w:val="20"/>
                <w:lang w:val="bs-Latn-BA" w:eastAsia="bs-Latn-BA"/>
              </w:rPr>
            </w:pPr>
            <w:r w:rsidRPr="00A97D61">
              <w:rPr>
                <w:rFonts w:ascii="Arial" w:eastAsia="Times New Roman" w:hAnsi="Arial" w:cs="Arial"/>
                <w:i/>
                <w:color w:val="000000"/>
                <w:sz w:val="20"/>
                <w:szCs w:val="20"/>
                <w:lang w:val="bs-Latn-BA" w:eastAsia="bs-Latn-BA"/>
              </w:rPr>
              <w:t>Hrvatska</w:t>
            </w:r>
          </w:p>
        </w:tc>
        <w:tc>
          <w:tcPr>
            <w:tcW w:w="1668" w:type="pct"/>
            <w:shd w:val="clear" w:color="000000" w:fill="FFFFFF"/>
            <w:vAlign w:val="center"/>
            <w:hideMark/>
          </w:tcPr>
          <w:p w14:paraId="3927103C" w14:textId="1E633315" w:rsidR="00286C5F" w:rsidRPr="00445180" w:rsidRDefault="00286C5F" w:rsidP="00286C5F">
            <w:pPr>
              <w:spacing w:after="0" w:line="240" w:lineRule="auto"/>
              <w:jc w:val="center"/>
              <w:rPr>
                <w:rFonts w:ascii="Arial" w:eastAsia="Times New Roman" w:hAnsi="Arial" w:cs="Arial"/>
                <w:i/>
                <w:sz w:val="20"/>
                <w:szCs w:val="20"/>
                <w:lang w:val="bs-Latn-BA" w:eastAsia="bs-Latn-BA"/>
              </w:rPr>
            </w:pPr>
            <w:r w:rsidRPr="00445180">
              <w:rPr>
                <w:rFonts w:ascii="Arial" w:eastAsia="Times New Roman" w:hAnsi="Arial" w:cs="Arial"/>
                <w:i/>
                <w:sz w:val="20"/>
                <w:szCs w:val="20"/>
                <w:lang w:val="bs-Latn-BA" w:eastAsia="bs-Latn-BA"/>
              </w:rPr>
              <w:t>Ba1 / stabilan</w:t>
            </w:r>
          </w:p>
        </w:tc>
        <w:tc>
          <w:tcPr>
            <w:tcW w:w="1584" w:type="pct"/>
            <w:shd w:val="clear" w:color="000000" w:fill="FFFFFF"/>
            <w:vAlign w:val="center"/>
            <w:hideMark/>
          </w:tcPr>
          <w:p w14:paraId="2AA69D39" w14:textId="5EAB6EF0" w:rsidR="00286C5F" w:rsidRPr="00445180" w:rsidRDefault="00286C5F" w:rsidP="00286C5F">
            <w:pPr>
              <w:spacing w:after="0" w:line="240" w:lineRule="auto"/>
              <w:jc w:val="center"/>
              <w:rPr>
                <w:rFonts w:ascii="Arial" w:eastAsia="Times New Roman" w:hAnsi="Arial" w:cs="Arial"/>
                <w:i/>
                <w:sz w:val="20"/>
                <w:szCs w:val="20"/>
                <w:lang w:val="bs-Latn-BA" w:eastAsia="bs-Latn-BA"/>
              </w:rPr>
            </w:pPr>
            <w:r w:rsidRPr="00445180">
              <w:rPr>
                <w:rFonts w:ascii="Arial" w:eastAsia="Times New Roman" w:hAnsi="Arial" w:cs="Arial"/>
                <w:i/>
                <w:sz w:val="20"/>
                <w:szCs w:val="20"/>
                <w:lang w:val="bs-Latn-BA" w:eastAsia="bs-Latn-BA"/>
              </w:rPr>
              <w:t>BBB- / stabilan</w:t>
            </w:r>
          </w:p>
        </w:tc>
      </w:tr>
      <w:tr w:rsidR="00286C5F" w:rsidRPr="00A97D61" w14:paraId="410486E9" w14:textId="77777777" w:rsidTr="00445180">
        <w:trPr>
          <w:trHeight w:val="300"/>
          <w:jc w:val="center"/>
        </w:trPr>
        <w:tc>
          <w:tcPr>
            <w:tcW w:w="1748" w:type="pct"/>
            <w:shd w:val="clear" w:color="000000" w:fill="FFFFFF"/>
            <w:vAlign w:val="center"/>
            <w:hideMark/>
          </w:tcPr>
          <w:p w14:paraId="3DD3040D" w14:textId="77777777" w:rsidR="00286C5F" w:rsidRPr="00A97D61" w:rsidRDefault="00286C5F" w:rsidP="00286C5F">
            <w:pPr>
              <w:spacing w:after="0" w:line="240" w:lineRule="auto"/>
              <w:rPr>
                <w:rFonts w:ascii="Arial" w:eastAsia="Times New Roman" w:hAnsi="Arial" w:cs="Arial"/>
                <w:i/>
                <w:color w:val="000000"/>
                <w:sz w:val="20"/>
                <w:szCs w:val="20"/>
                <w:lang w:val="bs-Latn-BA" w:eastAsia="bs-Latn-BA"/>
              </w:rPr>
            </w:pPr>
            <w:r w:rsidRPr="00A97D61">
              <w:rPr>
                <w:rFonts w:ascii="Arial" w:eastAsia="Times New Roman" w:hAnsi="Arial" w:cs="Arial"/>
                <w:i/>
                <w:color w:val="000000"/>
                <w:sz w:val="20"/>
                <w:szCs w:val="20"/>
                <w:lang w:val="bs-Latn-BA" w:eastAsia="bs-Latn-BA"/>
              </w:rPr>
              <w:t>Mađarska</w:t>
            </w:r>
          </w:p>
        </w:tc>
        <w:tc>
          <w:tcPr>
            <w:tcW w:w="1668" w:type="pct"/>
            <w:shd w:val="clear" w:color="000000" w:fill="FFFFFF"/>
            <w:vAlign w:val="center"/>
            <w:hideMark/>
          </w:tcPr>
          <w:p w14:paraId="634F4D99" w14:textId="71CBE3DF" w:rsidR="00286C5F" w:rsidRPr="00445180" w:rsidRDefault="00286C5F" w:rsidP="00286C5F">
            <w:pPr>
              <w:spacing w:after="0" w:line="240" w:lineRule="auto"/>
              <w:jc w:val="center"/>
              <w:rPr>
                <w:rFonts w:ascii="Arial" w:eastAsia="Times New Roman" w:hAnsi="Arial" w:cs="Arial"/>
                <w:i/>
                <w:sz w:val="20"/>
                <w:szCs w:val="20"/>
                <w:lang w:val="bs-Latn-BA" w:eastAsia="bs-Latn-BA"/>
              </w:rPr>
            </w:pPr>
            <w:r w:rsidRPr="00445180">
              <w:rPr>
                <w:rFonts w:ascii="Arial" w:eastAsia="Times New Roman" w:hAnsi="Arial" w:cs="Arial"/>
                <w:i/>
                <w:sz w:val="20"/>
                <w:szCs w:val="20"/>
                <w:lang w:val="bs-Latn-BA" w:eastAsia="bs-Latn-BA"/>
              </w:rPr>
              <w:t>Baa2 / stabilan</w:t>
            </w:r>
          </w:p>
        </w:tc>
        <w:tc>
          <w:tcPr>
            <w:tcW w:w="1584" w:type="pct"/>
            <w:shd w:val="clear" w:color="000000" w:fill="FFFFFF"/>
            <w:vAlign w:val="center"/>
            <w:hideMark/>
          </w:tcPr>
          <w:p w14:paraId="7460CF7B" w14:textId="35F1D76D" w:rsidR="00286C5F" w:rsidRPr="00445180" w:rsidRDefault="00286C5F" w:rsidP="00286C5F">
            <w:pPr>
              <w:spacing w:after="0" w:line="240" w:lineRule="auto"/>
              <w:jc w:val="center"/>
              <w:rPr>
                <w:rFonts w:ascii="Arial" w:eastAsia="Times New Roman" w:hAnsi="Arial" w:cs="Arial"/>
                <w:i/>
                <w:sz w:val="20"/>
                <w:szCs w:val="20"/>
                <w:lang w:val="bs-Latn-BA" w:eastAsia="bs-Latn-BA"/>
              </w:rPr>
            </w:pPr>
            <w:r w:rsidRPr="00445180">
              <w:rPr>
                <w:rFonts w:ascii="Arial" w:eastAsia="Times New Roman" w:hAnsi="Arial" w:cs="Arial"/>
                <w:i/>
                <w:sz w:val="20"/>
                <w:szCs w:val="20"/>
                <w:lang w:val="bs-Latn-BA" w:eastAsia="bs-Latn-BA"/>
              </w:rPr>
              <w:t>BBB / stabilan</w:t>
            </w:r>
          </w:p>
        </w:tc>
      </w:tr>
      <w:tr w:rsidR="00286C5F" w:rsidRPr="00A97D61" w14:paraId="393C4176" w14:textId="77777777" w:rsidTr="00445180">
        <w:trPr>
          <w:trHeight w:val="300"/>
          <w:jc w:val="center"/>
        </w:trPr>
        <w:tc>
          <w:tcPr>
            <w:tcW w:w="1748" w:type="pct"/>
            <w:shd w:val="clear" w:color="000000" w:fill="FFFFFF"/>
            <w:vAlign w:val="center"/>
            <w:hideMark/>
          </w:tcPr>
          <w:p w14:paraId="65B881C4" w14:textId="77777777" w:rsidR="00286C5F" w:rsidRPr="00A97D61" w:rsidRDefault="00286C5F" w:rsidP="00286C5F">
            <w:pPr>
              <w:spacing w:after="0" w:line="240" w:lineRule="auto"/>
              <w:rPr>
                <w:rFonts w:ascii="Arial" w:eastAsia="Times New Roman" w:hAnsi="Arial" w:cs="Arial"/>
                <w:i/>
                <w:color w:val="000000"/>
                <w:sz w:val="20"/>
                <w:szCs w:val="20"/>
                <w:lang w:val="bs-Latn-BA" w:eastAsia="bs-Latn-BA"/>
              </w:rPr>
            </w:pPr>
            <w:r w:rsidRPr="00A97D61">
              <w:rPr>
                <w:rFonts w:ascii="Arial" w:eastAsia="Times New Roman" w:hAnsi="Arial" w:cs="Arial"/>
                <w:i/>
                <w:color w:val="000000"/>
                <w:sz w:val="20"/>
                <w:szCs w:val="20"/>
                <w:lang w:val="bs-Latn-BA" w:eastAsia="bs-Latn-BA"/>
              </w:rPr>
              <w:t>Sjeverna Makedonija</w:t>
            </w:r>
          </w:p>
        </w:tc>
        <w:tc>
          <w:tcPr>
            <w:tcW w:w="1668" w:type="pct"/>
            <w:shd w:val="clear" w:color="000000" w:fill="FFFFFF"/>
            <w:vAlign w:val="center"/>
            <w:hideMark/>
          </w:tcPr>
          <w:p w14:paraId="72573655" w14:textId="19E23C5A" w:rsidR="00286C5F" w:rsidRPr="00445180" w:rsidRDefault="00286C5F" w:rsidP="00286C5F">
            <w:pPr>
              <w:spacing w:after="0" w:line="240" w:lineRule="auto"/>
              <w:jc w:val="center"/>
              <w:rPr>
                <w:rFonts w:ascii="Arial" w:eastAsia="Times New Roman" w:hAnsi="Arial" w:cs="Arial"/>
                <w:i/>
                <w:sz w:val="20"/>
                <w:szCs w:val="20"/>
                <w:lang w:val="bs-Latn-BA" w:eastAsia="bs-Latn-BA"/>
              </w:rPr>
            </w:pPr>
            <w:r w:rsidRPr="00445180">
              <w:rPr>
                <w:rFonts w:ascii="Arial" w:eastAsia="Times New Roman" w:hAnsi="Arial" w:cs="Arial"/>
                <w:i/>
                <w:sz w:val="20"/>
                <w:szCs w:val="20"/>
                <w:lang w:val="bs-Latn-BA" w:eastAsia="bs-Latn-BA"/>
              </w:rPr>
              <w:t>-</w:t>
            </w:r>
          </w:p>
        </w:tc>
        <w:tc>
          <w:tcPr>
            <w:tcW w:w="1584" w:type="pct"/>
            <w:shd w:val="clear" w:color="000000" w:fill="FFFFFF"/>
            <w:vAlign w:val="center"/>
            <w:hideMark/>
          </w:tcPr>
          <w:p w14:paraId="16CC5DEE" w14:textId="173214AD" w:rsidR="00286C5F" w:rsidRPr="00445180" w:rsidRDefault="00286C5F" w:rsidP="00286C5F">
            <w:pPr>
              <w:spacing w:after="0" w:line="240" w:lineRule="auto"/>
              <w:jc w:val="center"/>
              <w:rPr>
                <w:rFonts w:ascii="Arial" w:eastAsia="Times New Roman" w:hAnsi="Arial" w:cs="Arial"/>
                <w:i/>
                <w:sz w:val="20"/>
                <w:szCs w:val="20"/>
                <w:lang w:val="bs-Latn-BA" w:eastAsia="bs-Latn-BA"/>
              </w:rPr>
            </w:pPr>
            <w:r w:rsidRPr="00445180">
              <w:rPr>
                <w:rFonts w:ascii="Arial" w:eastAsia="Times New Roman" w:hAnsi="Arial" w:cs="Arial"/>
                <w:i/>
                <w:sz w:val="20"/>
                <w:szCs w:val="20"/>
                <w:lang w:val="bs-Latn-BA" w:eastAsia="bs-Latn-BA"/>
              </w:rPr>
              <w:t>BB- / stabilan</w:t>
            </w:r>
          </w:p>
        </w:tc>
      </w:tr>
      <w:tr w:rsidR="00286C5F" w:rsidRPr="00A97D61" w14:paraId="0E847943" w14:textId="77777777" w:rsidTr="00445180">
        <w:trPr>
          <w:trHeight w:val="300"/>
          <w:jc w:val="center"/>
        </w:trPr>
        <w:tc>
          <w:tcPr>
            <w:tcW w:w="1748" w:type="pct"/>
            <w:shd w:val="clear" w:color="000000" w:fill="FFFFFF"/>
            <w:vAlign w:val="center"/>
            <w:hideMark/>
          </w:tcPr>
          <w:p w14:paraId="57A82914" w14:textId="11EC6FCF" w:rsidR="00286C5F" w:rsidRPr="00A97D61" w:rsidRDefault="00286C5F" w:rsidP="00C705CB">
            <w:pPr>
              <w:spacing w:after="0" w:line="240" w:lineRule="auto"/>
              <w:rPr>
                <w:rFonts w:ascii="Arial" w:eastAsia="Times New Roman" w:hAnsi="Arial" w:cs="Arial"/>
                <w:i/>
                <w:color w:val="000000"/>
                <w:sz w:val="20"/>
                <w:szCs w:val="20"/>
                <w:lang w:val="bs-Latn-BA" w:eastAsia="bs-Latn-BA"/>
              </w:rPr>
            </w:pPr>
            <w:r w:rsidRPr="00A97D61">
              <w:rPr>
                <w:rFonts w:ascii="Arial" w:eastAsia="Times New Roman" w:hAnsi="Arial" w:cs="Arial"/>
                <w:i/>
                <w:color w:val="000000"/>
                <w:sz w:val="20"/>
                <w:szCs w:val="20"/>
                <w:lang w:val="bs-Latn-BA" w:eastAsia="bs-Latn-BA"/>
              </w:rPr>
              <w:t>Rumun</w:t>
            </w:r>
            <w:r w:rsidR="00C705CB">
              <w:rPr>
                <w:rFonts w:ascii="Arial" w:eastAsia="Times New Roman" w:hAnsi="Arial" w:cs="Arial"/>
                <w:i/>
                <w:color w:val="000000"/>
                <w:sz w:val="20"/>
                <w:szCs w:val="20"/>
                <w:lang w:val="bs-Latn-BA" w:eastAsia="bs-Latn-BA"/>
              </w:rPr>
              <w:t>jska</w:t>
            </w:r>
          </w:p>
        </w:tc>
        <w:tc>
          <w:tcPr>
            <w:tcW w:w="1668" w:type="pct"/>
            <w:shd w:val="clear" w:color="000000" w:fill="FFFFFF"/>
            <w:vAlign w:val="center"/>
            <w:hideMark/>
          </w:tcPr>
          <w:p w14:paraId="693CBC9B" w14:textId="500549AB" w:rsidR="00286C5F" w:rsidRPr="00445180" w:rsidRDefault="00286C5F" w:rsidP="00286C5F">
            <w:pPr>
              <w:spacing w:after="0" w:line="240" w:lineRule="auto"/>
              <w:jc w:val="center"/>
              <w:rPr>
                <w:rFonts w:ascii="Arial" w:eastAsia="Times New Roman" w:hAnsi="Arial" w:cs="Arial"/>
                <w:i/>
                <w:sz w:val="20"/>
                <w:szCs w:val="20"/>
                <w:lang w:val="bs-Latn-BA" w:eastAsia="bs-Latn-BA"/>
              </w:rPr>
            </w:pPr>
            <w:r w:rsidRPr="00445180">
              <w:rPr>
                <w:rFonts w:ascii="Arial" w:eastAsia="Times New Roman" w:hAnsi="Arial" w:cs="Arial"/>
                <w:i/>
                <w:sz w:val="20"/>
                <w:szCs w:val="20"/>
                <w:lang w:val="bs-Latn-BA" w:eastAsia="bs-Latn-BA"/>
              </w:rPr>
              <w:t>Baa3 / stabilan</w:t>
            </w:r>
          </w:p>
        </w:tc>
        <w:tc>
          <w:tcPr>
            <w:tcW w:w="1584" w:type="pct"/>
            <w:shd w:val="clear" w:color="000000" w:fill="FFFFFF"/>
            <w:vAlign w:val="center"/>
            <w:hideMark/>
          </w:tcPr>
          <w:p w14:paraId="5A1C6611" w14:textId="75E7FAC3" w:rsidR="00286C5F" w:rsidRPr="00445180" w:rsidRDefault="00286C5F" w:rsidP="00286C5F">
            <w:pPr>
              <w:spacing w:after="0" w:line="240" w:lineRule="auto"/>
              <w:jc w:val="center"/>
              <w:rPr>
                <w:rFonts w:ascii="Arial" w:eastAsia="Times New Roman" w:hAnsi="Arial" w:cs="Arial"/>
                <w:i/>
                <w:sz w:val="20"/>
                <w:szCs w:val="20"/>
                <w:lang w:val="bs-Latn-BA" w:eastAsia="bs-Latn-BA"/>
              </w:rPr>
            </w:pPr>
            <w:r w:rsidRPr="00445180">
              <w:rPr>
                <w:rFonts w:ascii="Arial" w:eastAsia="Times New Roman" w:hAnsi="Arial" w:cs="Arial"/>
                <w:i/>
                <w:sz w:val="20"/>
                <w:szCs w:val="20"/>
                <w:lang w:val="bs-Latn-BA" w:eastAsia="bs-Latn-BA"/>
              </w:rPr>
              <w:t>BBB- / stabilan</w:t>
            </w:r>
          </w:p>
        </w:tc>
      </w:tr>
      <w:tr w:rsidR="00286C5F" w:rsidRPr="00A97D61" w14:paraId="779F85CA" w14:textId="77777777" w:rsidTr="00445180">
        <w:trPr>
          <w:trHeight w:val="300"/>
          <w:jc w:val="center"/>
        </w:trPr>
        <w:tc>
          <w:tcPr>
            <w:tcW w:w="1748" w:type="pct"/>
            <w:shd w:val="clear" w:color="000000" w:fill="FFFFFF"/>
            <w:vAlign w:val="center"/>
            <w:hideMark/>
          </w:tcPr>
          <w:p w14:paraId="0B2CC613" w14:textId="77777777" w:rsidR="00286C5F" w:rsidRPr="00A97D61" w:rsidRDefault="00286C5F" w:rsidP="00286C5F">
            <w:pPr>
              <w:spacing w:after="0" w:line="240" w:lineRule="auto"/>
              <w:rPr>
                <w:rFonts w:ascii="Arial" w:eastAsia="Times New Roman" w:hAnsi="Arial" w:cs="Arial"/>
                <w:i/>
                <w:color w:val="000000"/>
                <w:sz w:val="20"/>
                <w:szCs w:val="20"/>
                <w:lang w:val="bs-Latn-BA" w:eastAsia="bs-Latn-BA"/>
              </w:rPr>
            </w:pPr>
            <w:r w:rsidRPr="00A97D61">
              <w:rPr>
                <w:rFonts w:ascii="Arial" w:eastAsia="Times New Roman" w:hAnsi="Arial" w:cs="Arial"/>
                <w:i/>
                <w:color w:val="000000"/>
                <w:sz w:val="20"/>
                <w:szCs w:val="20"/>
                <w:lang w:val="bs-Latn-BA" w:eastAsia="bs-Latn-BA"/>
              </w:rPr>
              <w:t>Slovenija</w:t>
            </w:r>
          </w:p>
        </w:tc>
        <w:tc>
          <w:tcPr>
            <w:tcW w:w="1668" w:type="pct"/>
            <w:shd w:val="clear" w:color="000000" w:fill="FFFFFF"/>
            <w:vAlign w:val="center"/>
            <w:hideMark/>
          </w:tcPr>
          <w:p w14:paraId="4FB78C5C" w14:textId="5F8BFC48" w:rsidR="00286C5F" w:rsidRPr="00445180" w:rsidRDefault="00286C5F" w:rsidP="00286C5F">
            <w:pPr>
              <w:spacing w:after="0" w:line="240" w:lineRule="auto"/>
              <w:jc w:val="center"/>
              <w:rPr>
                <w:rFonts w:ascii="Arial" w:eastAsia="Times New Roman" w:hAnsi="Arial" w:cs="Arial"/>
                <w:i/>
                <w:sz w:val="20"/>
                <w:szCs w:val="20"/>
                <w:lang w:val="bs-Latn-BA" w:eastAsia="bs-Latn-BA"/>
              </w:rPr>
            </w:pPr>
            <w:r w:rsidRPr="00445180">
              <w:rPr>
                <w:rFonts w:ascii="Arial" w:eastAsia="Times New Roman" w:hAnsi="Arial" w:cs="Arial"/>
                <w:i/>
                <w:sz w:val="20"/>
                <w:szCs w:val="20"/>
                <w:lang w:val="bs-Latn-BA" w:eastAsia="bs-Latn-BA"/>
              </w:rPr>
              <w:t>A3 / stabilan</w:t>
            </w:r>
          </w:p>
        </w:tc>
        <w:tc>
          <w:tcPr>
            <w:tcW w:w="1584" w:type="pct"/>
            <w:shd w:val="clear" w:color="000000" w:fill="FFFFFF"/>
            <w:vAlign w:val="center"/>
            <w:hideMark/>
          </w:tcPr>
          <w:p w14:paraId="4F908DDF" w14:textId="185A304C" w:rsidR="00286C5F" w:rsidRPr="00445180" w:rsidRDefault="00286C5F" w:rsidP="00286C5F">
            <w:pPr>
              <w:spacing w:after="0" w:line="240" w:lineRule="auto"/>
              <w:jc w:val="center"/>
              <w:rPr>
                <w:rFonts w:ascii="Arial" w:eastAsia="Times New Roman" w:hAnsi="Arial" w:cs="Arial"/>
                <w:i/>
                <w:sz w:val="20"/>
                <w:szCs w:val="20"/>
                <w:lang w:val="bs-Latn-BA" w:eastAsia="bs-Latn-BA"/>
              </w:rPr>
            </w:pPr>
            <w:r w:rsidRPr="00445180">
              <w:rPr>
                <w:rFonts w:ascii="Arial" w:eastAsia="Times New Roman" w:hAnsi="Arial" w:cs="Arial"/>
                <w:i/>
                <w:sz w:val="20"/>
                <w:szCs w:val="20"/>
                <w:lang w:val="bs-Latn-BA" w:eastAsia="bs-Latn-BA"/>
              </w:rPr>
              <w:t>AA- / stabilan</w:t>
            </w:r>
          </w:p>
        </w:tc>
      </w:tr>
      <w:tr w:rsidR="00286C5F" w:rsidRPr="00A97D61" w14:paraId="4C05F0CA" w14:textId="77777777" w:rsidTr="00445180">
        <w:trPr>
          <w:trHeight w:val="300"/>
          <w:jc w:val="center"/>
        </w:trPr>
        <w:tc>
          <w:tcPr>
            <w:tcW w:w="1748" w:type="pct"/>
            <w:shd w:val="clear" w:color="000000" w:fill="FFFFFF"/>
            <w:vAlign w:val="center"/>
            <w:hideMark/>
          </w:tcPr>
          <w:p w14:paraId="3DDC9829" w14:textId="77777777" w:rsidR="00286C5F" w:rsidRPr="00A97D61" w:rsidRDefault="00286C5F" w:rsidP="00286C5F">
            <w:pPr>
              <w:spacing w:after="0" w:line="240" w:lineRule="auto"/>
              <w:rPr>
                <w:rFonts w:ascii="Arial" w:eastAsia="Times New Roman" w:hAnsi="Arial" w:cs="Arial"/>
                <w:i/>
                <w:color w:val="000000"/>
                <w:sz w:val="20"/>
                <w:szCs w:val="20"/>
                <w:lang w:val="bs-Latn-BA" w:eastAsia="bs-Latn-BA"/>
              </w:rPr>
            </w:pPr>
            <w:r w:rsidRPr="00A97D61">
              <w:rPr>
                <w:rFonts w:ascii="Arial" w:eastAsia="Times New Roman" w:hAnsi="Arial" w:cs="Arial"/>
                <w:i/>
                <w:color w:val="000000"/>
                <w:sz w:val="20"/>
                <w:szCs w:val="20"/>
                <w:lang w:val="bs-Latn-BA" w:eastAsia="bs-Latn-BA"/>
              </w:rPr>
              <w:t>Srbija</w:t>
            </w:r>
          </w:p>
        </w:tc>
        <w:tc>
          <w:tcPr>
            <w:tcW w:w="1668" w:type="pct"/>
            <w:shd w:val="clear" w:color="000000" w:fill="FFFFFF"/>
            <w:vAlign w:val="center"/>
            <w:hideMark/>
          </w:tcPr>
          <w:p w14:paraId="52C62773" w14:textId="56FB9ACA" w:rsidR="00286C5F" w:rsidRPr="00445180" w:rsidRDefault="00286C5F" w:rsidP="00286C5F">
            <w:pPr>
              <w:spacing w:after="0" w:line="240" w:lineRule="auto"/>
              <w:jc w:val="center"/>
              <w:rPr>
                <w:rFonts w:ascii="Arial" w:eastAsia="Times New Roman" w:hAnsi="Arial" w:cs="Arial"/>
                <w:i/>
                <w:sz w:val="20"/>
                <w:szCs w:val="20"/>
                <w:lang w:val="bs-Latn-BA" w:eastAsia="bs-Latn-BA"/>
              </w:rPr>
            </w:pPr>
            <w:r w:rsidRPr="00445180">
              <w:rPr>
                <w:rFonts w:ascii="Arial" w:eastAsia="Times New Roman" w:hAnsi="Arial" w:cs="Arial"/>
                <w:i/>
                <w:sz w:val="20"/>
                <w:szCs w:val="20"/>
                <w:lang w:val="bs-Latn-BA" w:eastAsia="bs-Latn-BA"/>
              </w:rPr>
              <w:t>Ba2 / stabilan</w:t>
            </w:r>
          </w:p>
        </w:tc>
        <w:tc>
          <w:tcPr>
            <w:tcW w:w="1584" w:type="pct"/>
            <w:shd w:val="clear" w:color="000000" w:fill="FFFFFF"/>
            <w:vAlign w:val="center"/>
            <w:hideMark/>
          </w:tcPr>
          <w:p w14:paraId="16E4365B" w14:textId="0D6E26A8" w:rsidR="00286C5F" w:rsidRPr="00445180" w:rsidRDefault="00286C5F" w:rsidP="00286C5F">
            <w:pPr>
              <w:spacing w:after="0" w:line="240" w:lineRule="auto"/>
              <w:jc w:val="center"/>
              <w:rPr>
                <w:rFonts w:ascii="Arial" w:eastAsia="Times New Roman" w:hAnsi="Arial" w:cs="Arial"/>
                <w:i/>
                <w:sz w:val="20"/>
                <w:szCs w:val="20"/>
                <w:lang w:val="bs-Latn-BA" w:eastAsia="bs-Latn-BA"/>
              </w:rPr>
            </w:pPr>
            <w:r w:rsidRPr="00445180">
              <w:rPr>
                <w:rFonts w:ascii="Arial" w:eastAsia="Times New Roman" w:hAnsi="Arial" w:cs="Arial"/>
                <w:i/>
                <w:sz w:val="20"/>
                <w:szCs w:val="20"/>
                <w:lang w:val="bs-Latn-BA" w:eastAsia="bs-Latn-BA"/>
              </w:rPr>
              <w:t>BB+ / pozitivan</w:t>
            </w:r>
          </w:p>
        </w:tc>
      </w:tr>
    </w:tbl>
    <w:p w14:paraId="14F137F7" w14:textId="77777777" w:rsidR="00ED768D" w:rsidRDefault="00ED768D" w:rsidP="00445180">
      <w:pPr>
        <w:spacing w:after="0" w:line="240" w:lineRule="auto"/>
        <w:jc w:val="center"/>
        <w:rPr>
          <w:rFonts w:ascii="Arial" w:hAnsi="Arial" w:cs="Arial"/>
          <w:sz w:val="20"/>
        </w:rPr>
      </w:pPr>
      <w:r w:rsidRPr="00AF7CAC">
        <w:rPr>
          <w:rFonts w:ascii="Arial" w:hAnsi="Arial" w:cs="Arial"/>
          <w:sz w:val="20"/>
        </w:rPr>
        <w:t>Izvor: Centralna banka Bosne i Hercegovine</w:t>
      </w:r>
      <w:r w:rsidR="003C2CA0" w:rsidRPr="00AF7CAC">
        <w:rPr>
          <w:rStyle w:val="FootnoteReference"/>
          <w:rFonts w:ascii="Arial" w:hAnsi="Arial" w:cs="Arial"/>
          <w:sz w:val="20"/>
        </w:rPr>
        <w:footnoteReference w:id="18"/>
      </w:r>
    </w:p>
    <w:p w14:paraId="7A87CA38" w14:textId="52C4F1CE" w:rsidR="00BF7FA5" w:rsidRDefault="00BF7FA5" w:rsidP="00701C8F">
      <w:pPr>
        <w:pStyle w:val="ParagraphNumbering"/>
        <w:keepNext/>
        <w:numPr>
          <w:ilvl w:val="0"/>
          <w:numId w:val="0"/>
        </w:numPr>
        <w:spacing w:after="0" w:line="276" w:lineRule="auto"/>
        <w:ind w:firstLine="420"/>
        <w:jc w:val="both"/>
        <w:rPr>
          <w:rFonts w:ascii="Arial" w:hAnsi="Arial" w:cs="Arial"/>
          <w:sz w:val="22"/>
        </w:rPr>
      </w:pPr>
    </w:p>
    <w:p w14:paraId="687D5974" w14:textId="77777777" w:rsidR="00C705CB" w:rsidRDefault="00C705CB" w:rsidP="00701C8F">
      <w:pPr>
        <w:pStyle w:val="ParagraphNumbering"/>
        <w:keepNext/>
        <w:numPr>
          <w:ilvl w:val="0"/>
          <w:numId w:val="0"/>
        </w:numPr>
        <w:spacing w:after="0" w:line="276" w:lineRule="auto"/>
        <w:ind w:firstLine="420"/>
        <w:jc w:val="both"/>
        <w:rPr>
          <w:rFonts w:ascii="Arial" w:hAnsi="Arial" w:cs="Arial"/>
          <w:sz w:val="22"/>
        </w:rPr>
      </w:pPr>
    </w:p>
    <w:p w14:paraId="04FCA88B" w14:textId="0D9C9FAF" w:rsidR="00CF5EC0" w:rsidRPr="005826C0" w:rsidRDefault="00017C6F" w:rsidP="00701C8F">
      <w:pPr>
        <w:pStyle w:val="ParagraphNumbering"/>
        <w:keepNext/>
        <w:numPr>
          <w:ilvl w:val="0"/>
          <w:numId w:val="0"/>
        </w:numPr>
        <w:spacing w:after="0" w:line="276" w:lineRule="auto"/>
        <w:ind w:firstLine="420"/>
        <w:jc w:val="both"/>
        <w:rPr>
          <w:rFonts w:ascii="Arial" w:hAnsi="Arial" w:cs="Arial"/>
        </w:rPr>
      </w:pPr>
      <w:r w:rsidRPr="005826C0">
        <w:rPr>
          <w:rFonts w:ascii="Arial" w:hAnsi="Arial" w:cs="Arial"/>
          <w:sz w:val="22"/>
        </w:rPr>
        <w:t>Mada</w:t>
      </w:r>
      <w:r w:rsidR="00CF5EC0" w:rsidRPr="005826C0">
        <w:rPr>
          <w:rFonts w:ascii="Arial" w:hAnsi="Arial" w:cs="Arial"/>
          <w:sz w:val="22"/>
        </w:rPr>
        <w:t xml:space="preserve"> je to </w:t>
      </w:r>
      <w:r w:rsidR="00F34DF6">
        <w:rPr>
          <w:rFonts w:ascii="Arial" w:hAnsi="Arial" w:cs="Arial"/>
          <w:sz w:val="22"/>
        </w:rPr>
        <w:t xml:space="preserve">poželjna opcija za Federaciju BiH, zbog neadekvatnog pravnog okvira na </w:t>
      </w:r>
      <w:r w:rsidR="00C705CB">
        <w:rPr>
          <w:rFonts w:ascii="Arial" w:hAnsi="Arial" w:cs="Arial"/>
          <w:sz w:val="22"/>
        </w:rPr>
        <w:t>razini</w:t>
      </w:r>
      <w:r w:rsidR="00F34DF6">
        <w:rPr>
          <w:rFonts w:ascii="Arial" w:hAnsi="Arial" w:cs="Arial"/>
          <w:sz w:val="22"/>
        </w:rPr>
        <w:t xml:space="preserve"> BiH i izvjesnog političkog rizika</w:t>
      </w:r>
      <w:r w:rsidR="00CF5EC0" w:rsidRPr="005826C0">
        <w:rPr>
          <w:rFonts w:ascii="Arial" w:hAnsi="Arial" w:cs="Arial"/>
          <w:sz w:val="22"/>
        </w:rPr>
        <w:t xml:space="preserve">, </w:t>
      </w:r>
      <w:r w:rsidR="00D35AE0" w:rsidRPr="005826C0">
        <w:rPr>
          <w:rFonts w:ascii="Arial" w:hAnsi="Arial" w:cs="Arial"/>
          <w:sz w:val="22"/>
        </w:rPr>
        <w:t>Federacija BiH</w:t>
      </w:r>
      <w:r w:rsidR="00CF5EC0" w:rsidRPr="005826C0">
        <w:rPr>
          <w:rFonts w:ascii="Arial" w:hAnsi="Arial" w:cs="Arial"/>
          <w:sz w:val="22"/>
        </w:rPr>
        <w:t xml:space="preserve"> još uvijek nije </w:t>
      </w:r>
      <w:r w:rsidR="00C705CB" w:rsidRPr="005826C0">
        <w:rPr>
          <w:rFonts w:ascii="Arial" w:hAnsi="Arial" w:cs="Arial"/>
          <w:sz w:val="22"/>
        </w:rPr>
        <w:t>emitirala</w:t>
      </w:r>
      <w:r w:rsidR="00CF5EC0" w:rsidRPr="005826C0">
        <w:rPr>
          <w:rFonts w:ascii="Arial" w:hAnsi="Arial" w:cs="Arial"/>
          <w:sz w:val="22"/>
        </w:rPr>
        <w:t xml:space="preserve"> vrijednosne papire na međunarodnom </w:t>
      </w:r>
      <w:r w:rsidR="009A78EF">
        <w:rPr>
          <w:rFonts w:ascii="Arial" w:hAnsi="Arial" w:cs="Arial"/>
          <w:sz w:val="22"/>
        </w:rPr>
        <w:t>financ</w:t>
      </w:r>
      <w:r w:rsidR="00CF5EC0" w:rsidRPr="005826C0">
        <w:rPr>
          <w:rFonts w:ascii="Arial" w:hAnsi="Arial" w:cs="Arial"/>
          <w:sz w:val="22"/>
        </w:rPr>
        <w:t>ijskom tržištu.</w:t>
      </w:r>
      <w:r w:rsidR="00887DBC" w:rsidRPr="005826C0">
        <w:rPr>
          <w:rFonts w:ascii="Arial" w:hAnsi="Arial" w:cs="Arial"/>
          <w:sz w:val="22"/>
        </w:rPr>
        <w:t xml:space="preserve"> U cilju procjene troškova takve vrste zaduženja Ministarstvo </w:t>
      </w:r>
      <w:r w:rsidR="009A78EF">
        <w:rPr>
          <w:rFonts w:ascii="Arial" w:hAnsi="Arial" w:cs="Arial"/>
          <w:sz w:val="22"/>
        </w:rPr>
        <w:t>financ</w:t>
      </w:r>
      <w:r w:rsidR="00887DBC" w:rsidRPr="005826C0">
        <w:rPr>
          <w:rFonts w:ascii="Arial" w:hAnsi="Arial" w:cs="Arial"/>
          <w:sz w:val="22"/>
        </w:rPr>
        <w:t xml:space="preserve">ija testiralo je nekoliko instrumenata duga (Euroobveznica) različitih dospijeća kao alternativne izvore </w:t>
      </w:r>
      <w:r w:rsidR="009A78EF">
        <w:rPr>
          <w:rFonts w:ascii="Arial" w:hAnsi="Arial" w:cs="Arial"/>
          <w:sz w:val="22"/>
        </w:rPr>
        <w:t>financ</w:t>
      </w:r>
      <w:r w:rsidR="00887DBC" w:rsidRPr="005826C0">
        <w:rPr>
          <w:rFonts w:ascii="Arial" w:hAnsi="Arial" w:cs="Arial"/>
          <w:sz w:val="22"/>
        </w:rPr>
        <w:t xml:space="preserve">iranja u </w:t>
      </w:r>
      <w:r w:rsidR="00A31C4D">
        <w:rPr>
          <w:rFonts w:ascii="Arial" w:hAnsi="Arial" w:cs="Arial"/>
          <w:sz w:val="22"/>
        </w:rPr>
        <w:t>razdoblju</w:t>
      </w:r>
      <w:r w:rsidR="00887DBC" w:rsidRPr="005826C0">
        <w:rPr>
          <w:rFonts w:ascii="Arial" w:hAnsi="Arial" w:cs="Arial"/>
          <w:sz w:val="22"/>
        </w:rPr>
        <w:t xml:space="preserve"> </w:t>
      </w:r>
      <w:r w:rsidR="005826C0" w:rsidRPr="005826C0">
        <w:rPr>
          <w:rFonts w:ascii="Arial" w:hAnsi="Arial" w:cs="Arial"/>
          <w:sz w:val="22"/>
        </w:rPr>
        <w:t xml:space="preserve">2022 </w:t>
      </w:r>
      <w:r w:rsidR="00FA7567" w:rsidRPr="005826C0">
        <w:rPr>
          <w:rFonts w:ascii="Arial" w:hAnsi="Arial" w:cs="Arial"/>
          <w:sz w:val="22"/>
        </w:rPr>
        <w:t xml:space="preserve">– </w:t>
      </w:r>
      <w:r w:rsidR="005826C0" w:rsidRPr="005826C0">
        <w:rPr>
          <w:rFonts w:ascii="Arial" w:hAnsi="Arial" w:cs="Arial"/>
          <w:sz w:val="22"/>
        </w:rPr>
        <w:t>2024</w:t>
      </w:r>
      <w:r w:rsidR="00887DBC" w:rsidRPr="005826C0">
        <w:rPr>
          <w:rFonts w:ascii="Arial" w:hAnsi="Arial" w:cs="Arial"/>
          <w:sz w:val="22"/>
        </w:rPr>
        <w:t>. godina</w:t>
      </w:r>
      <w:r w:rsidR="00D35AE0" w:rsidRPr="005826C0">
        <w:rPr>
          <w:rFonts w:ascii="Arial" w:hAnsi="Arial" w:cs="Arial"/>
          <w:sz w:val="22"/>
        </w:rPr>
        <w:t>.</w:t>
      </w:r>
    </w:p>
    <w:p w14:paraId="6BDA9D9B" w14:textId="77777777" w:rsidR="00DB02AE" w:rsidRPr="005826C0" w:rsidRDefault="00DB02AE" w:rsidP="00701C8F">
      <w:pPr>
        <w:pStyle w:val="ParagraphNumbering"/>
        <w:keepNext/>
        <w:numPr>
          <w:ilvl w:val="0"/>
          <w:numId w:val="0"/>
        </w:numPr>
        <w:spacing w:after="0" w:line="276" w:lineRule="auto"/>
        <w:ind w:firstLine="420"/>
        <w:jc w:val="both"/>
        <w:rPr>
          <w:rFonts w:ascii="Arial" w:hAnsi="Arial" w:cs="Arial"/>
          <w:sz w:val="20"/>
        </w:rPr>
      </w:pPr>
    </w:p>
    <w:p w14:paraId="5FF0C3D6" w14:textId="2842C841" w:rsidR="00ED768D" w:rsidRDefault="004457DE" w:rsidP="00D1611F">
      <w:pPr>
        <w:spacing w:after="0"/>
        <w:ind w:firstLine="284"/>
        <w:jc w:val="both"/>
        <w:rPr>
          <w:rFonts w:ascii="Arial" w:eastAsiaTheme="minorEastAsia" w:hAnsi="Arial" w:cs="Arial"/>
          <w:szCs w:val="24"/>
          <w:lang w:eastAsia="en-GB"/>
        </w:rPr>
      </w:pPr>
      <w:r>
        <w:rPr>
          <w:rFonts w:ascii="Arial" w:hAnsi="Arial" w:cs="Arial"/>
          <w:szCs w:val="24"/>
        </w:rPr>
        <w:t xml:space="preserve"> </w:t>
      </w:r>
      <w:r w:rsidR="00C705CB">
        <w:rPr>
          <w:rFonts w:ascii="Arial" w:eastAsiaTheme="minorEastAsia" w:hAnsi="Arial" w:cs="Arial"/>
          <w:szCs w:val="24"/>
          <w:lang w:eastAsia="en-GB"/>
        </w:rPr>
        <w:t>Tečaj</w:t>
      </w:r>
      <w:r w:rsidR="00B52C0C" w:rsidRPr="005826C0">
        <w:rPr>
          <w:rFonts w:ascii="Arial" w:eastAsiaTheme="minorEastAsia" w:hAnsi="Arial" w:cs="Arial"/>
          <w:szCs w:val="24"/>
          <w:lang w:eastAsia="en-GB"/>
        </w:rPr>
        <w:t xml:space="preserve"> USD/EUR je </w:t>
      </w:r>
      <w:r w:rsidR="00C705CB" w:rsidRPr="005826C0">
        <w:rPr>
          <w:rFonts w:ascii="Arial" w:eastAsiaTheme="minorEastAsia" w:hAnsi="Arial" w:cs="Arial"/>
          <w:szCs w:val="24"/>
          <w:lang w:eastAsia="en-GB"/>
        </w:rPr>
        <w:t>historijski</w:t>
      </w:r>
      <w:r w:rsidR="00B52C0C" w:rsidRPr="005826C0">
        <w:rPr>
          <w:rFonts w:ascii="Arial" w:eastAsiaTheme="minorEastAsia" w:hAnsi="Arial" w:cs="Arial"/>
          <w:szCs w:val="24"/>
          <w:lang w:eastAsia="en-GB"/>
        </w:rPr>
        <w:t xml:space="preserve"> relativno nestabilan.</w:t>
      </w:r>
      <w:r w:rsidR="00CF5EC0" w:rsidRPr="005826C0">
        <w:rPr>
          <w:rFonts w:ascii="Arial" w:eastAsiaTheme="minorEastAsia" w:hAnsi="Arial" w:cs="Arial"/>
          <w:szCs w:val="24"/>
          <w:lang w:eastAsia="en-GB"/>
        </w:rPr>
        <w:t xml:space="preserve"> </w:t>
      </w:r>
      <w:r w:rsidR="00215CCD" w:rsidRPr="005826C0">
        <w:rPr>
          <w:rFonts w:ascii="Arial" w:eastAsiaTheme="minorEastAsia" w:hAnsi="Arial" w:cs="Arial"/>
          <w:szCs w:val="24"/>
          <w:lang w:eastAsia="en-GB"/>
        </w:rPr>
        <w:t xml:space="preserve">Imajući u vidu </w:t>
      </w:r>
      <w:r w:rsidR="00ED768D" w:rsidRPr="005826C0">
        <w:rPr>
          <w:rFonts w:ascii="Arial" w:eastAsiaTheme="minorEastAsia" w:hAnsi="Arial" w:cs="Arial"/>
          <w:szCs w:val="24"/>
          <w:lang w:eastAsia="en-GB"/>
        </w:rPr>
        <w:t>aranžman valutnog odbora</w:t>
      </w:r>
      <w:r w:rsidR="00215CCD" w:rsidRPr="005826C0">
        <w:rPr>
          <w:rFonts w:ascii="Arial" w:eastAsiaTheme="minorEastAsia" w:hAnsi="Arial" w:cs="Arial"/>
          <w:szCs w:val="24"/>
          <w:lang w:eastAsia="en-GB"/>
        </w:rPr>
        <w:t xml:space="preserve"> (currency board) putem kojeg je valuta Bosne i Hercegovine vezana za EUR u fiksnom omjeru (1EUR=1,95583 KM)</w:t>
      </w:r>
      <w:r w:rsidR="00ED768D" w:rsidRPr="005826C0">
        <w:rPr>
          <w:rFonts w:ascii="Arial" w:eastAsiaTheme="minorEastAsia" w:hAnsi="Arial" w:cs="Arial"/>
          <w:szCs w:val="24"/>
          <w:lang w:eastAsia="en-GB"/>
        </w:rPr>
        <w:t xml:space="preserve">, glavni valutni rizik </w:t>
      </w:r>
      <w:r w:rsidR="009A78EF">
        <w:rPr>
          <w:rFonts w:ascii="Arial" w:eastAsiaTheme="minorEastAsia" w:hAnsi="Arial" w:cs="Arial"/>
          <w:szCs w:val="24"/>
          <w:lang w:eastAsia="en-GB"/>
        </w:rPr>
        <w:t>portfelja</w:t>
      </w:r>
      <w:r w:rsidR="00ED768D" w:rsidRPr="005826C0">
        <w:rPr>
          <w:rFonts w:ascii="Arial" w:eastAsiaTheme="minorEastAsia" w:hAnsi="Arial" w:cs="Arial"/>
          <w:szCs w:val="24"/>
          <w:lang w:eastAsia="en-GB"/>
        </w:rPr>
        <w:t xml:space="preserve"> duga </w:t>
      </w:r>
      <w:r w:rsidR="00565613" w:rsidRPr="005826C0">
        <w:rPr>
          <w:rFonts w:ascii="Arial" w:eastAsiaTheme="minorEastAsia" w:hAnsi="Arial" w:cs="Arial"/>
          <w:szCs w:val="24"/>
          <w:lang w:eastAsia="en-GB"/>
        </w:rPr>
        <w:t xml:space="preserve">Federacije BiH </w:t>
      </w:r>
      <w:r w:rsidR="00ED768D" w:rsidRPr="005826C0">
        <w:rPr>
          <w:rFonts w:ascii="Arial" w:eastAsiaTheme="minorEastAsia" w:hAnsi="Arial" w:cs="Arial"/>
          <w:szCs w:val="24"/>
          <w:lang w:eastAsia="en-GB"/>
        </w:rPr>
        <w:t xml:space="preserve">predstavlja </w:t>
      </w:r>
      <w:r w:rsidR="00565613" w:rsidRPr="005826C0">
        <w:rPr>
          <w:rFonts w:ascii="Arial" w:eastAsiaTheme="minorEastAsia" w:hAnsi="Arial" w:cs="Arial"/>
          <w:szCs w:val="24"/>
          <w:lang w:eastAsia="en-GB"/>
        </w:rPr>
        <w:t>promjena vrijednosti</w:t>
      </w:r>
      <w:r w:rsidR="00ED768D" w:rsidRPr="005826C0">
        <w:rPr>
          <w:rFonts w:ascii="Arial" w:eastAsiaTheme="minorEastAsia" w:hAnsi="Arial" w:cs="Arial"/>
          <w:szCs w:val="24"/>
          <w:lang w:eastAsia="en-GB"/>
        </w:rPr>
        <w:t xml:space="preserve"> EUR</w:t>
      </w:r>
      <w:r w:rsidR="00565613" w:rsidRPr="005826C0">
        <w:rPr>
          <w:rFonts w:ascii="Arial" w:eastAsiaTheme="minorEastAsia" w:hAnsi="Arial" w:cs="Arial"/>
          <w:szCs w:val="24"/>
          <w:lang w:eastAsia="en-GB"/>
        </w:rPr>
        <w:t>-a</w:t>
      </w:r>
      <w:r w:rsidR="00ED768D" w:rsidRPr="005826C0">
        <w:rPr>
          <w:rFonts w:ascii="Arial" w:eastAsiaTheme="minorEastAsia" w:hAnsi="Arial" w:cs="Arial"/>
          <w:szCs w:val="24"/>
          <w:lang w:eastAsia="en-GB"/>
        </w:rPr>
        <w:t xml:space="preserve"> u odnosu na ostale strane valute, uglavnom USD</w:t>
      </w:r>
      <w:r w:rsidR="00565613" w:rsidRPr="005826C0">
        <w:rPr>
          <w:rFonts w:ascii="Arial" w:eastAsiaTheme="minorEastAsia" w:hAnsi="Arial" w:cs="Arial"/>
          <w:szCs w:val="24"/>
          <w:lang w:eastAsia="en-GB"/>
        </w:rPr>
        <w:t xml:space="preserve"> i SDR</w:t>
      </w:r>
      <w:r w:rsidR="00ED768D" w:rsidRPr="005826C0">
        <w:rPr>
          <w:rFonts w:ascii="Arial" w:eastAsiaTheme="minorEastAsia" w:hAnsi="Arial" w:cs="Arial"/>
          <w:szCs w:val="24"/>
          <w:lang w:eastAsia="en-GB"/>
        </w:rPr>
        <w:t xml:space="preserve">. </w:t>
      </w:r>
    </w:p>
    <w:p w14:paraId="2F39BC30" w14:textId="77777777" w:rsidR="005826C0" w:rsidRPr="005826C0" w:rsidRDefault="005826C0" w:rsidP="00D1611F">
      <w:pPr>
        <w:spacing w:after="0"/>
        <w:ind w:firstLine="284"/>
        <w:jc w:val="both"/>
        <w:rPr>
          <w:rFonts w:ascii="Arial" w:eastAsiaTheme="minorEastAsia" w:hAnsi="Arial" w:cs="Arial"/>
          <w:szCs w:val="24"/>
          <w:lang w:eastAsia="en-GB"/>
        </w:rPr>
      </w:pPr>
    </w:p>
    <w:p w14:paraId="3708EEC9" w14:textId="2DDE2FDD" w:rsidR="00D1611F" w:rsidRDefault="00D1611F" w:rsidP="00D1611F">
      <w:pPr>
        <w:spacing w:after="0"/>
        <w:ind w:firstLine="284"/>
        <w:jc w:val="both"/>
        <w:rPr>
          <w:rFonts w:ascii="Arial" w:eastAsiaTheme="minorEastAsia" w:hAnsi="Arial" w:cs="Arial"/>
          <w:szCs w:val="24"/>
          <w:lang w:eastAsia="en-GB"/>
        </w:rPr>
      </w:pPr>
      <w:r w:rsidRPr="005826C0">
        <w:rPr>
          <w:rFonts w:ascii="Arial" w:eastAsiaTheme="minorEastAsia" w:hAnsi="Arial" w:cs="Arial"/>
          <w:szCs w:val="24"/>
          <w:lang w:eastAsia="en-GB"/>
        </w:rPr>
        <w:t xml:space="preserve">Pretpostavka je da će odnos EUR/USD, odnosno KM/USD u </w:t>
      </w:r>
      <w:r w:rsidR="00A31C4D">
        <w:rPr>
          <w:rFonts w:ascii="Arial" w:eastAsiaTheme="minorEastAsia" w:hAnsi="Arial" w:cs="Arial"/>
          <w:szCs w:val="24"/>
          <w:lang w:eastAsia="en-GB"/>
        </w:rPr>
        <w:t>razdoblju</w:t>
      </w:r>
      <w:r w:rsidRPr="005826C0">
        <w:rPr>
          <w:rFonts w:ascii="Arial" w:eastAsiaTheme="minorEastAsia" w:hAnsi="Arial" w:cs="Arial"/>
          <w:szCs w:val="24"/>
          <w:lang w:eastAsia="en-GB"/>
        </w:rPr>
        <w:t xml:space="preserve"> na koji se odnosi strategija ostati na isto</w:t>
      </w:r>
      <w:r w:rsidR="00C705CB">
        <w:rPr>
          <w:rFonts w:ascii="Arial" w:eastAsiaTheme="minorEastAsia" w:hAnsi="Arial" w:cs="Arial"/>
          <w:szCs w:val="24"/>
          <w:lang w:eastAsia="en-GB"/>
        </w:rPr>
        <w:t>j</w:t>
      </w:r>
      <w:r w:rsidRPr="005826C0">
        <w:rPr>
          <w:rFonts w:ascii="Arial" w:eastAsiaTheme="minorEastAsia" w:hAnsi="Arial" w:cs="Arial"/>
          <w:szCs w:val="24"/>
          <w:lang w:eastAsia="en-GB"/>
        </w:rPr>
        <w:t xml:space="preserve"> </w:t>
      </w:r>
      <w:r w:rsidR="00C705CB">
        <w:rPr>
          <w:rFonts w:ascii="Arial" w:eastAsiaTheme="minorEastAsia" w:hAnsi="Arial" w:cs="Arial"/>
          <w:szCs w:val="24"/>
          <w:lang w:eastAsia="en-GB"/>
        </w:rPr>
        <w:t>razini</w:t>
      </w:r>
      <w:r w:rsidRPr="005826C0">
        <w:rPr>
          <w:rFonts w:ascii="Arial" w:eastAsiaTheme="minorEastAsia" w:hAnsi="Arial" w:cs="Arial"/>
          <w:szCs w:val="24"/>
          <w:lang w:eastAsia="en-GB"/>
        </w:rPr>
        <w:t xml:space="preserve"> kao na kraju </w:t>
      </w:r>
      <w:r w:rsidR="005826C0" w:rsidRPr="005826C0">
        <w:rPr>
          <w:rFonts w:ascii="Arial" w:eastAsiaTheme="minorEastAsia" w:hAnsi="Arial" w:cs="Arial"/>
          <w:szCs w:val="24"/>
          <w:lang w:eastAsia="en-GB"/>
        </w:rPr>
        <w:t>2021</w:t>
      </w:r>
      <w:r w:rsidRPr="005826C0">
        <w:rPr>
          <w:rFonts w:ascii="Arial" w:eastAsiaTheme="minorEastAsia" w:hAnsi="Arial" w:cs="Arial"/>
          <w:szCs w:val="24"/>
          <w:lang w:eastAsia="en-GB"/>
        </w:rPr>
        <w:t xml:space="preserve">. godine odnosno da neće biti niti aprecijacije niti deprecijacije deviznog </w:t>
      </w:r>
      <w:r w:rsidR="00C705CB">
        <w:rPr>
          <w:rFonts w:ascii="Arial" w:eastAsiaTheme="minorEastAsia" w:hAnsi="Arial" w:cs="Arial"/>
          <w:szCs w:val="24"/>
          <w:lang w:eastAsia="en-GB"/>
        </w:rPr>
        <w:t>tečaja</w:t>
      </w:r>
      <w:r w:rsidRPr="005826C0">
        <w:rPr>
          <w:rFonts w:ascii="Arial" w:eastAsiaTheme="minorEastAsia" w:hAnsi="Arial" w:cs="Arial"/>
          <w:szCs w:val="24"/>
          <w:lang w:eastAsia="en-GB"/>
        </w:rPr>
        <w:t>.</w:t>
      </w:r>
    </w:p>
    <w:p w14:paraId="2837E472" w14:textId="77777777" w:rsidR="005826C0" w:rsidRPr="005826C0" w:rsidRDefault="005826C0" w:rsidP="00D1611F">
      <w:pPr>
        <w:spacing w:after="0"/>
        <w:ind w:firstLine="284"/>
        <w:jc w:val="both"/>
        <w:rPr>
          <w:rFonts w:ascii="Arial" w:hAnsi="Arial" w:cs="Arial"/>
          <w:szCs w:val="24"/>
        </w:rPr>
      </w:pPr>
    </w:p>
    <w:p w14:paraId="35396E50" w14:textId="77777777" w:rsidR="00C705CB" w:rsidRDefault="00C705CB">
      <w:pPr>
        <w:rPr>
          <w:rFonts w:ascii="Arial" w:hAnsi="Arial" w:cs="Arial"/>
          <w:szCs w:val="24"/>
        </w:rPr>
      </w:pPr>
      <w:r>
        <w:rPr>
          <w:rFonts w:ascii="Arial" w:hAnsi="Arial" w:cs="Arial"/>
          <w:szCs w:val="24"/>
        </w:rPr>
        <w:br w:type="page"/>
      </w:r>
    </w:p>
    <w:p w14:paraId="3AD9D984" w14:textId="73A2523A" w:rsidR="00B540B2" w:rsidRPr="005A67B8" w:rsidRDefault="008A7690" w:rsidP="00400A00">
      <w:pPr>
        <w:spacing w:after="0"/>
        <w:jc w:val="both"/>
        <w:rPr>
          <w:rFonts w:ascii="Arial" w:hAnsi="Arial" w:cs="Arial"/>
          <w:szCs w:val="24"/>
        </w:rPr>
      </w:pPr>
      <w:r w:rsidRPr="005826C0">
        <w:rPr>
          <w:rFonts w:ascii="Arial" w:hAnsi="Arial" w:cs="Arial"/>
          <w:szCs w:val="24"/>
        </w:rPr>
        <w:lastRenderedPageBreak/>
        <w:t>Slika  11</w:t>
      </w:r>
      <w:r w:rsidR="00B540B2" w:rsidRPr="005826C0">
        <w:rPr>
          <w:rFonts w:ascii="Arial" w:hAnsi="Arial" w:cs="Arial"/>
          <w:szCs w:val="24"/>
        </w:rPr>
        <w:t>. Kurs EUR/USD 20</w:t>
      </w:r>
      <w:r w:rsidR="00E3004D" w:rsidRPr="005826C0">
        <w:rPr>
          <w:rFonts w:ascii="Arial" w:hAnsi="Arial" w:cs="Arial"/>
          <w:szCs w:val="24"/>
        </w:rPr>
        <w:t>00</w:t>
      </w:r>
      <w:r w:rsidR="00713ED7" w:rsidRPr="005826C0">
        <w:rPr>
          <w:rFonts w:ascii="Arial" w:hAnsi="Arial" w:cs="Arial"/>
          <w:szCs w:val="24"/>
        </w:rPr>
        <w:t xml:space="preserve"> </w:t>
      </w:r>
      <w:r w:rsidR="00333946" w:rsidRPr="005826C0">
        <w:rPr>
          <w:rFonts w:ascii="Arial" w:hAnsi="Arial" w:cs="Arial"/>
          <w:szCs w:val="24"/>
        </w:rPr>
        <w:t xml:space="preserve">– </w:t>
      </w:r>
      <w:r w:rsidR="00B540B2" w:rsidRPr="005826C0">
        <w:rPr>
          <w:rFonts w:ascii="Arial" w:hAnsi="Arial" w:cs="Arial"/>
          <w:szCs w:val="24"/>
        </w:rPr>
        <w:t>20</w:t>
      </w:r>
      <w:r w:rsidR="005A67B8" w:rsidRPr="005826C0">
        <w:rPr>
          <w:rFonts w:ascii="Arial" w:hAnsi="Arial" w:cs="Arial"/>
          <w:szCs w:val="24"/>
        </w:rPr>
        <w:t>20</w:t>
      </w:r>
      <w:r w:rsidR="00B540B2" w:rsidRPr="005826C0">
        <w:rPr>
          <w:rFonts w:ascii="Arial" w:hAnsi="Arial" w:cs="Arial"/>
          <w:szCs w:val="24"/>
        </w:rPr>
        <w:t>. godine</w:t>
      </w:r>
    </w:p>
    <w:p w14:paraId="527A748B" w14:textId="46A9AF6B" w:rsidR="00E3004D" w:rsidRPr="00AF7CAC" w:rsidRDefault="00832522" w:rsidP="00400A00">
      <w:pPr>
        <w:spacing w:after="0"/>
        <w:jc w:val="both"/>
        <w:rPr>
          <w:rFonts w:ascii="Arial" w:hAnsi="Arial" w:cs="Arial"/>
          <w:sz w:val="24"/>
          <w:szCs w:val="24"/>
        </w:rPr>
      </w:pPr>
      <w:r>
        <w:rPr>
          <w:rFonts w:ascii="Arial" w:hAnsi="Arial" w:cs="Arial"/>
          <w:noProof/>
          <w:sz w:val="24"/>
          <w:szCs w:val="24"/>
          <w:lang w:val="en-US"/>
        </w:rPr>
        <w:pict w14:anchorId="1645D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146.5pt">
            <v:imagedata r:id="rId21" o:title="euro-dollar-exchange-rate-historical-chart-2022-02-11-macrotrends (1)"/>
          </v:shape>
        </w:pict>
      </w:r>
    </w:p>
    <w:p w14:paraId="3ED5DF4C" w14:textId="4193EA94" w:rsidR="005F4522" w:rsidRPr="00AF7CAC" w:rsidRDefault="00ED768D" w:rsidP="00AB5C50">
      <w:pPr>
        <w:spacing w:after="0" w:line="240" w:lineRule="auto"/>
        <w:rPr>
          <w:rFonts w:ascii="Arial" w:eastAsia="Times New Roman" w:hAnsi="Arial" w:cs="Arial"/>
          <w:sz w:val="18"/>
          <w:szCs w:val="24"/>
          <w:lang w:eastAsia="bs-Latn-BA"/>
        </w:rPr>
      </w:pPr>
      <w:r w:rsidRPr="00AF7CAC">
        <w:rPr>
          <w:rFonts w:ascii="Arial" w:eastAsia="Times New Roman" w:hAnsi="Arial" w:cs="Arial"/>
          <w:sz w:val="18"/>
          <w:szCs w:val="24"/>
          <w:lang w:eastAsia="bs-Latn-BA"/>
        </w:rPr>
        <w:t xml:space="preserve">Izvor: </w:t>
      </w:r>
      <w:hyperlink r:id="rId22" w:history="1">
        <w:r w:rsidR="006C2A51" w:rsidRPr="006C2A51">
          <w:rPr>
            <w:rStyle w:val="Hyperlink"/>
            <w:rFonts w:ascii="Arial" w:eastAsia="Times New Roman" w:hAnsi="Arial" w:cs="Arial"/>
            <w:sz w:val="18"/>
            <w:szCs w:val="24"/>
            <w:lang w:eastAsia="bs-Latn-BA"/>
          </w:rPr>
          <w:t>https://www.macrotrends.net/2548/euro-dollar-exchange-rate-historical-chart</w:t>
        </w:r>
      </w:hyperlink>
      <w:r w:rsidR="006C2A51" w:rsidDel="006C2A51">
        <w:t xml:space="preserve"> </w:t>
      </w:r>
    </w:p>
    <w:p w14:paraId="6E5EE240" w14:textId="2983A84D" w:rsidR="005826C0" w:rsidRDefault="005826C0" w:rsidP="00445180">
      <w:pPr>
        <w:spacing w:after="0" w:line="240" w:lineRule="auto"/>
        <w:rPr>
          <w:rFonts w:ascii="Arial" w:hAnsi="Arial" w:cs="Arial"/>
        </w:rPr>
      </w:pPr>
    </w:p>
    <w:p w14:paraId="491AA3F7" w14:textId="77777777" w:rsidR="005826C0" w:rsidRDefault="005826C0" w:rsidP="00445180">
      <w:pPr>
        <w:spacing w:after="0" w:line="240" w:lineRule="auto"/>
        <w:rPr>
          <w:rFonts w:ascii="Arial" w:hAnsi="Arial" w:cs="Arial"/>
        </w:rPr>
      </w:pPr>
    </w:p>
    <w:p w14:paraId="3C21BA5C" w14:textId="77777777" w:rsidR="00ED768D" w:rsidRPr="00445180" w:rsidRDefault="00ED768D" w:rsidP="00445180">
      <w:pPr>
        <w:spacing w:after="0" w:line="240" w:lineRule="auto"/>
        <w:rPr>
          <w:rFonts w:ascii="Arial" w:hAnsi="Arial" w:cs="Arial"/>
        </w:rPr>
      </w:pPr>
      <w:r w:rsidRPr="00445180">
        <w:rPr>
          <w:rFonts w:ascii="Arial" w:hAnsi="Arial" w:cs="Arial"/>
        </w:rPr>
        <w:t>7.1.</w:t>
      </w:r>
      <w:r w:rsidRPr="00445180">
        <w:rPr>
          <w:rFonts w:ascii="Arial" w:hAnsi="Arial" w:cs="Arial"/>
        </w:rPr>
        <w:tab/>
        <w:t>Scenari</w:t>
      </w:r>
      <w:r w:rsidR="00B96B4D" w:rsidRPr="00445180">
        <w:rPr>
          <w:rFonts w:ascii="Arial" w:hAnsi="Arial" w:cs="Arial"/>
        </w:rPr>
        <w:t>j</w:t>
      </w:r>
      <w:r w:rsidRPr="00445180">
        <w:rPr>
          <w:rFonts w:ascii="Arial" w:hAnsi="Arial" w:cs="Arial"/>
        </w:rPr>
        <w:t xml:space="preserve"> nepredviđenih događaja (Šok scenari</w:t>
      </w:r>
      <w:r w:rsidR="00B96B4D" w:rsidRPr="00445180">
        <w:rPr>
          <w:rFonts w:ascii="Arial" w:hAnsi="Arial" w:cs="Arial"/>
        </w:rPr>
        <w:t>j</w:t>
      </w:r>
      <w:r w:rsidRPr="00445180">
        <w:rPr>
          <w:rFonts w:ascii="Arial" w:hAnsi="Arial" w:cs="Arial"/>
        </w:rPr>
        <w:t>)</w:t>
      </w:r>
    </w:p>
    <w:p w14:paraId="74F72BBE" w14:textId="77777777" w:rsidR="00DB02AE" w:rsidRPr="00AF7CAC" w:rsidRDefault="00DB02AE" w:rsidP="00ED768D">
      <w:pPr>
        <w:pStyle w:val="ParagraphNumbering"/>
        <w:numPr>
          <w:ilvl w:val="0"/>
          <w:numId w:val="0"/>
        </w:numPr>
        <w:autoSpaceDE w:val="0"/>
        <w:spacing w:after="0" w:line="240" w:lineRule="auto"/>
        <w:jc w:val="both"/>
        <w:rPr>
          <w:rFonts w:ascii="Arial" w:hAnsi="Arial" w:cs="Arial"/>
          <w:b/>
          <w:sz w:val="32"/>
        </w:rPr>
      </w:pPr>
    </w:p>
    <w:p w14:paraId="49560D70" w14:textId="77777777" w:rsidR="007E317F" w:rsidRPr="00AF7CAC" w:rsidRDefault="007E317F" w:rsidP="00ED768D">
      <w:pPr>
        <w:pStyle w:val="ParagraphNumbering"/>
        <w:numPr>
          <w:ilvl w:val="0"/>
          <w:numId w:val="0"/>
        </w:numPr>
        <w:autoSpaceDE w:val="0"/>
        <w:spacing w:after="0" w:line="240" w:lineRule="auto"/>
        <w:jc w:val="both"/>
        <w:rPr>
          <w:rFonts w:ascii="Arial" w:hAnsi="Arial" w:cs="Arial"/>
          <w:b/>
          <w:sz w:val="10"/>
        </w:rPr>
      </w:pPr>
    </w:p>
    <w:p w14:paraId="054E4D72" w14:textId="2AB8FF2E" w:rsidR="00574C38" w:rsidRPr="00565613" w:rsidRDefault="00E94369" w:rsidP="00DB02AE">
      <w:pPr>
        <w:spacing w:after="0"/>
        <w:ind w:firstLine="284"/>
        <w:jc w:val="both"/>
        <w:rPr>
          <w:rFonts w:ascii="Arial" w:eastAsiaTheme="minorEastAsia" w:hAnsi="Arial" w:cs="Arial"/>
          <w:szCs w:val="24"/>
          <w:lang w:eastAsia="en-GB"/>
        </w:rPr>
      </w:pPr>
      <w:r w:rsidRPr="00565613">
        <w:rPr>
          <w:rFonts w:ascii="Arial" w:eastAsiaTheme="minorEastAsia" w:hAnsi="Arial" w:cs="Arial"/>
          <w:szCs w:val="24"/>
          <w:lang w:eastAsia="en-GB"/>
        </w:rPr>
        <w:t xml:space="preserve">Korištenjem podataka iz </w:t>
      </w:r>
      <w:r w:rsidR="009A78EF">
        <w:rPr>
          <w:rFonts w:ascii="Arial" w:eastAsiaTheme="minorEastAsia" w:hAnsi="Arial" w:cs="Arial"/>
          <w:szCs w:val="24"/>
          <w:lang w:eastAsia="en-GB"/>
        </w:rPr>
        <w:t>portfelja</w:t>
      </w:r>
      <w:r w:rsidRPr="00565613">
        <w:rPr>
          <w:rFonts w:ascii="Arial" w:eastAsiaTheme="minorEastAsia" w:hAnsi="Arial" w:cs="Arial"/>
          <w:szCs w:val="24"/>
          <w:lang w:eastAsia="en-GB"/>
        </w:rPr>
        <w:t xml:space="preserve"> duga Federacije BiH, makroekonomskih pretpostavki za p</w:t>
      </w:r>
      <w:r w:rsidR="00C705CB">
        <w:rPr>
          <w:rFonts w:ascii="Arial" w:eastAsiaTheme="minorEastAsia" w:hAnsi="Arial" w:cs="Arial"/>
          <w:szCs w:val="24"/>
          <w:lang w:eastAsia="en-GB"/>
        </w:rPr>
        <w:t>ro</w:t>
      </w:r>
      <w:r w:rsidRPr="00565613">
        <w:rPr>
          <w:rFonts w:ascii="Arial" w:eastAsiaTheme="minorEastAsia" w:hAnsi="Arial" w:cs="Arial"/>
          <w:szCs w:val="24"/>
          <w:lang w:eastAsia="en-GB"/>
        </w:rPr>
        <w:t>matran</w:t>
      </w:r>
      <w:r w:rsidR="00C705CB">
        <w:rPr>
          <w:rFonts w:ascii="Arial" w:eastAsiaTheme="minorEastAsia" w:hAnsi="Arial" w:cs="Arial"/>
          <w:szCs w:val="24"/>
          <w:lang w:eastAsia="en-GB"/>
        </w:rPr>
        <w:t>o</w:t>
      </w:r>
      <w:r w:rsidRPr="00565613">
        <w:rPr>
          <w:rFonts w:ascii="Arial" w:eastAsiaTheme="minorEastAsia" w:hAnsi="Arial" w:cs="Arial"/>
          <w:szCs w:val="24"/>
          <w:lang w:eastAsia="en-GB"/>
        </w:rPr>
        <w:t xml:space="preserve"> </w:t>
      </w:r>
      <w:r w:rsidR="00C705CB">
        <w:rPr>
          <w:rFonts w:ascii="Arial" w:eastAsiaTheme="minorEastAsia" w:hAnsi="Arial" w:cs="Arial"/>
          <w:szCs w:val="24"/>
          <w:lang w:eastAsia="en-GB"/>
        </w:rPr>
        <w:t>razdoblje</w:t>
      </w:r>
      <w:r w:rsidRPr="00565613">
        <w:rPr>
          <w:rFonts w:ascii="Arial" w:eastAsiaTheme="minorEastAsia" w:hAnsi="Arial" w:cs="Arial"/>
          <w:szCs w:val="24"/>
          <w:lang w:eastAsia="en-GB"/>
        </w:rPr>
        <w:t xml:space="preserve"> kao i potencijalnih izvora </w:t>
      </w:r>
      <w:r w:rsidR="009A78EF">
        <w:rPr>
          <w:rFonts w:ascii="Arial" w:eastAsiaTheme="minorEastAsia" w:hAnsi="Arial" w:cs="Arial"/>
          <w:szCs w:val="24"/>
          <w:lang w:eastAsia="en-GB"/>
        </w:rPr>
        <w:t>financ</w:t>
      </w:r>
      <w:r w:rsidRPr="00565613">
        <w:rPr>
          <w:rFonts w:ascii="Arial" w:eastAsiaTheme="minorEastAsia" w:hAnsi="Arial" w:cs="Arial"/>
          <w:szCs w:val="24"/>
          <w:lang w:eastAsia="en-GB"/>
        </w:rPr>
        <w:t xml:space="preserve">iranja, napravljeno je nekoliko scenarija i strategija zaduživanja. </w:t>
      </w:r>
    </w:p>
    <w:p w14:paraId="27FDB408" w14:textId="77777777" w:rsidR="00574C38" w:rsidRPr="00565613" w:rsidRDefault="00574C38" w:rsidP="00DB02AE">
      <w:pPr>
        <w:spacing w:after="0"/>
        <w:ind w:firstLine="284"/>
        <w:jc w:val="both"/>
        <w:rPr>
          <w:rFonts w:ascii="Arial" w:eastAsiaTheme="minorEastAsia" w:hAnsi="Arial" w:cs="Arial"/>
          <w:szCs w:val="24"/>
          <w:lang w:eastAsia="en-GB"/>
        </w:rPr>
      </w:pPr>
    </w:p>
    <w:p w14:paraId="4AF0516D" w14:textId="01633676" w:rsidR="00ED768D" w:rsidRPr="00073673" w:rsidRDefault="00A77865" w:rsidP="00DB02AE">
      <w:pPr>
        <w:spacing w:after="0"/>
        <w:ind w:firstLine="284"/>
        <w:jc w:val="both"/>
        <w:rPr>
          <w:rFonts w:ascii="Arial" w:hAnsi="Arial" w:cs="Arial"/>
          <w:szCs w:val="24"/>
        </w:rPr>
      </w:pPr>
      <w:r w:rsidRPr="00D912D1">
        <w:rPr>
          <w:rFonts w:ascii="Arial" w:hAnsi="Arial" w:cs="Arial"/>
          <w:szCs w:val="24"/>
        </w:rPr>
        <w:t xml:space="preserve">Svaka od analiziranih strategija testirana je </w:t>
      </w:r>
      <w:r w:rsidR="00877216" w:rsidRPr="00073673">
        <w:rPr>
          <w:rFonts w:ascii="Arial" w:hAnsi="Arial" w:cs="Arial"/>
          <w:szCs w:val="24"/>
        </w:rPr>
        <w:t xml:space="preserve">i na iznenadne promjene u pogledu kamatnih stopa i deviznih </w:t>
      </w:r>
      <w:r w:rsidR="00C705CB">
        <w:rPr>
          <w:rFonts w:ascii="Arial" w:hAnsi="Arial" w:cs="Arial"/>
          <w:szCs w:val="24"/>
        </w:rPr>
        <w:t xml:space="preserve">tečajeva </w:t>
      </w:r>
      <w:r w:rsidR="00877216" w:rsidRPr="00073673">
        <w:rPr>
          <w:rFonts w:ascii="Arial" w:hAnsi="Arial" w:cs="Arial"/>
          <w:szCs w:val="24"/>
        </w:rPr>
        <w:t>kako bi se proc</w:t>
      </w:r>
      <w:r w:rsidR="00D945EA" w:rsidRPr="00073673">
        <w:rPr>
          <w:rFonts w:ascii="Arial" w:hAnsi="Arial" w:cs="Arial"/>
          <w:szCs w:val="24"/>
        </w:rPr>
        <w:t>i</w:t>
      </w:r>
      <w:r w:rsidR="00877216" w:rsidRPr="00073673">
        <w:rPr>
          <w:rFonts w:ascii="Arial" w:hAnsi="Arial" w:cs="Arial"/>
          <w:szCs w:val="24"/>
        </w:rPr>
        <w:t>jenili troškovi i rizici na navedene promjene</w:t>
      </w:r>
      <w:r w:rsidR="00ED768D" w:rsidRPr="00073673">
        <w:rPr>
          <w:rFonts w:ascii="Arial" w:hAnsi="Arial" w:cs="Arial"/>
          <w:szCs w:val="24"/>
        </w:rPr>
        <w:t xml:space="preserve">. </w:t>
      </w:r>
    </w:p>
    <w:p w14:paraId="0070971F" w14:textId="77777777" w:rsidR="00DB02AE" w:rsidRPr="00073673" w:rsidRDefault="00DB02AE" w:rsidP="00DB02AE">
      <w:pPr>
        <w:spacing w:after="0"/>
        <w:jc w:val="both"/>
        <w:rPr>
          <w:rFonts w:ascii="Arial" w:hAnsi="Arial" w:cs="Arial"/>
          <w:szCs w:val="24"/>
        </w:rPr>
      </w:pPr>
    </w:p>
    <w:p w14:paraId="7A622F8A" w14:textId="093B9C7B" w:rsidR="00ED768D" w:rsidRDefault="00877216" w:rsidP="00DB02AE">
      <w:pPr>
        <w:spacing w:after="0"/>
        <w:jc w:val="both"/>
        <w:rPr>
          <w:rFonts w:ascii="Arial" w:hAnsi="Arial" w:cs="Arial"/>
          <w:szCs w:val="24"/>
        </w:rPr>
      </w:pPr>
      <w:r w:rsidRPr="00073673">
        <w:rPr>
          <w:rFonts w:ascii="Arial" w:hAnsi="Arial" w:cs="Arial"/>
          <w:szCs w:val="24"/>
        </w:rPr>
        <w:t>Šok valutnog</w:t>
      </w:r>
      <w:r w:rsidR="007E269C" w:rsidRPr="00073673">
        <w:rPr>
          <w:rFonts w:ascii="Arial" w:hAnsi="Arial" w:cs="Arial"/>
          <w:szCs w:val="24"/>
        </w:rPr>
        <w:t xml:space="preserve"> (deviznog)</w:t>
      </w:r>
      <w:r w:rsidR="00ED768D" w:rsidRPr="00073673">
        <w:rPr>
          <w:rFonts w:ascii="Arial" w:hAnsi="Arial" w:cs="Arial"/>
          <w:szCs w:val="24"/>
        </w:rPr>
        <w:t xml:space="preserve"> </w:t>
      </w:r>
      <w:r w:rsidR="00C705CB">
        <w:rPr>
          <w:rFonts w:ascii="Arial" w:hAnsi="Arial" w:cs="Arial"/>
          <w:szCs w:val="24"/>
        </w:rPr>
        <w:t>tečaja</w:t>
      </w:r>
      <w:r w:rsidR="00ED768D" w:rsidRPr="00073673">
        <w:rPr>
          <w:rFonts w:ascii="Arial" w:hAnsi="Arial" w:cs="Arial"/>
          <w:szCs w:val="24"/>
        </w:rPr>
        <w:t xml:space="preserve">: </w:t>
      </w:r>
    </w:p>
    <w:p w14:paraId="06F95DE7" w14:textId="77777777" w:rsidR="00073673" w:rsidRPr="00D912D1" w:rsidRDefault="00073673" w:rsidP="00DB02AE">
      <w:pPr>
        <w:spacing w:after="0"/>
        <w:jc w:val="both"/>
        <w:rPr>
          <w:rFonts w:ascii="Arial" w:hAnsi="Arial" w:cs="Arial"/>
          <w:szCs w:val="24"/>
        </w:rPr>
      </w:pPr>
    </w:p>
    <w:p w14:paraId="23C6B294" w14:textId="04400806" w:rsidR="00ED768D" w:rsidRPr="00073673" w:rsidRDefault="00ED768D" w:rsidP="00DB02AE">
      <w:pPr>
        <w:pStyle w:val="ListParagraph"/>
        <w:numPr>
          <w:ilvl w:val="0"/>
          <w:numId w:val="6"/>
        </w:numPr>
        <w:spacing w:after="0"/>
        <w:ind w:left="567"/>
        <w:jc w:val="both"/>
        <w:rPr>
          <w:rFonts w:ascii="Arial" w:hAnsi="Arial" w:cs="Arial"/>
          <w:szCs w:val="24"/>
        </w:rPr>
      </w:pPr>
      <w:r w:rsidRPr="00073673">
        <w:rPr>
          <w:rFonts w:ascii="Arial" w:hAnsi="Arial" w:cs="Arial"/>
          <w:szCs w:val="24"/>
        </w:rPr>
        <w:t>manji šok</w:t>
      </w:r>
      <w:r w:rsidR="004358F5" w:rsidRPr="00073673">
        <w:rPr>
          <w:rFonts w:ascii="Arial" w:hAnsi="Arial" w:cs="Arial"/>
          <w:szCs w:val="24"/>
        </w:rPr>
        <w:t>:</w:t>
      </w:r>
      <w:r w:rsidRPr="00073673">
        <w:rPr>
          <w:rFonts w:ascii="Arial" w:hAnsi="Arial" w:cs="Arial"/>
          <w:szCs w:val="24"/>
        </w:rPr>
        <w:t xml:space="preserve"> </w:t>
      </w:r>
      <w:r w:rsidR="004358F5" w:rsidRPr="00073673">
        <w:rPr>
          <w:rFonts w:ascii="Arial" w:hAnsi="Arial" w:cs="Arial"/>
          <w:szCs w:val="24"/>
        </w:rPr>
        <w:t>deprecijacija</w:t>
      </w:r>
      <w:r w:rsidRPr="00073673">
        <w:rPr>
          <w:rFonts w:ascii="Arial" w:hAnsi="Arial" w:cs="Arial"/>
          <w:szCs w:val="24"/>
        </w:rPr>
        <w:t xml:space="preserve"> vrijednosti </w:t>
      </w:r>
      <w:r w:rsidR="00E672EB" w:rsidRPr="00073673">
        <w:rPr>
          <w:rFonts w:ascii="Arial" w:hAnsi="Arial" w:cs="Arial"/>
          <w:szCs w:val="24"/>
        </w:rPr>
        <w:t>KM</w:t>
      </w:r>
      <w:r w:rsidRPr="00073673">
        <w:rPr>
          <w:rFonts w:ascii="Arial" w:hAnsi="Arial" w:cs="Arial"/>
          <w:szCs w:val="24"/>
        </w:rPr>
        <w:t xml:space="preserve"> od 20% u odnosu na USD u </w:t>
      </w:r>
      <w:r w:rsidR="00215CCD" w:rsidRPr="00073673">
        <w:rPr>
          <w:rFonts w:ascii="Arial" w:hAnsi="Arial" w:cs="Arial"/>
          <w:szCs w:val="24"/>
        </w:rPr>
        <w:t>drugoj</w:t>
      </w:r>
      <w:r w:rsidR="00C705CB">
        <w:rPr>
          <w:rFonts w:ascii="Arial" w:hAnsi="Arial" w:cs="Arial"/>
          <w:szCs w:val="24"/>
        </w:rPr>
        <w:t xml:space="preserve"> godini;</w:t>
      </w:r>
      <w:r w:rsidRPr="00073673">
        <w:rPr>
          <w:rFonts w:ascii="Arial" w:hAnsi="Arial" w:cs="Arial"/>
          <w:szCs w:val="24"/>
        </w:rPr>
        <w:t xml:space="preserve"> </w:t>
      </w:r>
    </w:p>
    <w:p w14:paraId="18BD96EF" w14:textId="36219091" w:rsidR="00ED768D" w:rsidRPr="00073673" w:rsidRDefault="00ED768D" w:rsidP="00DB02AE">
      <w:pPr>
        <w:pStyle w:val="ListParagraph"/>
        <w:numPr>
          <w:ilvl w:val="0"/>
          <w:numId w:val="6"/>
        </w:numPr>
        <w:spacing w:after="0"/>
        <w:ind w:left="567"/>
        <w:jc w:val="both"/>
        <w:rPr>
          <w:rFonts w:ascii="Arial" w:hAnsi="Arial" w:cs="Arial"/>
          <w:szCs w:val="24"/>
        </w:rPr>
      </w:pPr>
      <w:r w:rsidRPr="00073673">
        <w:rPr>
          <w:rFonts w:ascii="Arial" w:hAnsi="Arial" w:cs="Arial"/>
          <w:szCs w:val="24"/>
        </w:rPr>
        <w:t>veliki šok</w:t>
      </w:r>
      <w:r w:rsidR="004358F5" w:rsidRPr="00073673">
        <w:rPr>
          <w:rFonts w:ascii="Arial" w:hAnsi="Arial" w:cs="Arial"/>
          <w:szCs w:val="24"/>
        </w:rPr>
        <w:t>:</w:t>
      </w:r>
      <w:r w:rsidRPr="00073673">
        <w:rPr>
          <w:rFonts w:ascii="Arial" w:hAnsi="Arial" w:cs="Arial"/>
          <w:szCs w:val="24"/>
        </w:rPr>
        <w:t xml:space="preserve"> </w:t>
      </w:r>
      <w:r w:rsidR="004358F5" w:rsidRPr="00073673">
        <w:rPr>
          <w:rFonts w:ascii="Arial" w:hAnsi="Arial" w:cs="Arial"/>
          <w:szCs w:val="24"/>
        </w:rPr>
        <w:t xml:space="preserve">deprecijacija vrijednosti </w:t>
      </w:r>
      <w:r w:rsidR="00E672EB" w:rsidRPr="00073673">
        <w:rPr>
          <w:rFonts w:ascii="Arial" w:hAnsi="Arial" w:cs="Arial"/>
          <w:szCs w:val="24"/>
        </w:rPr>
        <w:t>KM</w:t>
      </w:r>
      <w:r w:rsidRPr="00073673">
        <w:rPr>
          <w:rFonts w:ascii="Arial" w:hAnsi="Arial" w:cs="Arial"/>
          <w:szCs w:val="24"/>
        </w:rPr>
        <w:t xml:space="preserve"> od 30% u odnosu na USD u </w:t>
      </w:r>
      <w:r w:rsidR="00215CCD" w:rsidRPr="00073673">
        <w:rPr>
          <w:rFonts w:ascii="Arial" w:hAnsi="Arial" w:cs="Arial"/>
          <w:szCs w:val="24"/>
        </w:rPr>
        <w:t>drugoj</w:t>
      </w:r>
      <w:r w:rsidRPr="00073673">
        <w:rPr>
          <w:rFonts w:ascii="Arial" w:hAnsi="Arial" w:cs="Arial"/>
          <w:szCs w:val="24"/>
        </w:rPr>
        <w:t xml:space="preserve"> godini. </w:t>
      </w:r>
    </w:p>
    <w:p w14:paraId="3C540705" w14:textId="77777777" w:rsidR="00DB02AE" w:rsidRPr="00073673" w:rsidRDefault="00DB02AE" w:rsidP="00DB02AE">
      <w:pPr>
        <w:spacing w:after="0"/>
        <w:jc w:val="both"/>
        <w:rPr>
          <w:rFonts w:ascii="Arial" w:hAnsi="Arial" w:cs="Arial"/>
          <w:szCs w:val="24"/>
        </w:rPr>
      </w:pPr>
    </w:p>
    <w:p w14:paraId="7E9E2D7E" w14:textId="77777777" w:rsidR="00ED768D" w:rsidRDefault="00877216" w:rsidP="00DB02AE">
      <w:pPr>
        <w:spacing w:after="0"/>
        <w:jc w:val="both"/>
        <w:rPr>
          <w:rFonts w:ascii="Arial" w:hAnsi="Arial" w:cs="Arial"/>
          <w:szCs w:val="24"/>
        </w:rPr>
      </w:pPr>
      <w:r w:rsidRPr="00073673">
        <w:rPr>
          <w:rFonts w:ascii="Arial" w:hAnsi="Arial" w:cs="Arial"/>
          <w:szCs w:val="24"/>
        </w:rPr>
        <w:t>Šok</w:t>
      </w:r>
      <w:r w:rsidR="00D945EA" w:rsidRPr="00073673">
        <w:rPr>
          <w:rFonts w:ascii="Arial" w:hAnsi="Arial" w:cs="Arial"/>
          <w:szCs w:val="24"/>
        </w:rPr>
        <w:t xml:space="preserve"> kama</w:t>
      </w:r>
      <w:r w:rsidR="00ED768D" w:rsidRPr="00073673">
        <w:rPr>
          <w:rFonts w:ascii="Arial" w:hAnsi="Arial" w:cs="Arial"/>
          <w:szCs w:val="24"/>
        </w:rPr>
        <w:t xml:space="preserve">tnih stopa: </w:t>
      </w:r>
    </w:p>
    <w:p w14:paraId="27941227" w14:textId="77777777" w:rsidR="00073673" w:rsidRPr="00D912D1" w:rsidRDefault="00073673" w:rsidP="00DB02AE">
      <w:pPr>
        <w:spacing w:after="0"/>
        <w:jc w:val="both"/>
        <w:rPr>
          <w:rFonts w:ascii="Arial" w:hAnsi="Arial" w:cs="Arial"/>
          <w:szCs w:val="24"/>
        </w:rPr>
      </w:pPr>
    </w:p>
    <w:p w14:paraId="15444372" w14:textId="21DAF5D3" w:rsidR="00ED768D" w:rsidRDefault="00ED768D" w:rsidP="00DB02AE">
      <w:pPr>
        <w:pStyle w:val="ListParagraph"/>
        <w:numPr>
          <w:ilvl w:val="0"/>
          <w:numId w:val="7"/>
        </w:numPr>
        <w:spacing w:after="0"/>
        <w:jc w:val="both"/>
        <w:rPr>
          <w:rFonts w:ascii="Arial" w:hAnsi="Arial" w:cs="Arial"/>
          <w:szCs w:val="24"/>
        </w:rPr>
      </w:pPr>
      <w:r w:rsidRPr="00073673">
        <w:rPr>
          <w:rFonts w:ascii="Arial" w:hAnsi="Arial" w:cs="Arial"/>
          <w:szCs w:val="24"/>
        </w:rPr>
        <w:t>manji šok</w:t>
      </w:r>
      <w:r w:rsidR="004358F5" w:rsidRPr="00073673">
        <w:rPr>
          <w:rFonts w:ascii="Arial" w:hAnsi="Arial" w:cs="Arial"/>
          <w:szCs w:val="24"/>
        </w:rPr>
        <w:t>:</w:t>
      </w:r>
      <w:r w:rsidRPr="00073673">
        <w:rPr>
          <w:rFonts w:ascii="Arial" w:hAnsi="Arial" w:cs="Arial"/>
          <w:szCs w:val="24"/>
        </w:rPr>
        <w:t xml:space="preserve"> povećanje </w:t>
      </w:r>
      <w:r w:rsidR="00AF7CAC" w:rsidRPr="00073673">
        <w:rPr>
          <w:rFonts w:ascii="Arial" w:hAnsi="Arial" w:cs="Arial"/>
          <w:szCs w:val="24"/>
        </w:rPr>
        <w:t>procijenjenih</w:t>
      </w:r>
      <w:r w:rsidR="00741EF1" w:rsidRPr="00073673">
        <w:rPr>
          <w:rFonts w:ascii="Arial" w:hAnsi="Arial" w:cs="Arial"/>
          <w:szCs w:val="24"/>
        </w:rPr>
        <w:t xml:space="preserve"> </w:t>
      </w:r>
      <w:r w:rsidRPr="00073673">
        <w:rPr>
          <w:rFonts w:ascii="Arial" w:hAnsi="Arial" w:cs="Arial"/>
          <w:szCs w:val="24"/>
        </w:rPr>
        <w:t xml:space="preserve">kamatnih stopa na dugoročne </w:t>
      </w:r>
      <w:r w:rsidR="00A03EC3" w:rsidRPr="00073673">
        <w:rPr>
          <w:rFonts w:ascii="Arial" w:hAnsi="Arial" w:cs="Arial"/>
          <w:szCs w:val="24"/>
        </w:rPr>
        <w:t>vanjske</w:t>
      </w:r>
      <w:r w:rsidRPr="00073673">
        <w:rPr>
          <w:rFonts w:ascii="Arial" w:hAnsi="Arial" w:cs="Arial"/>
          <w:szCs w:val="24"/>
        </w:rPr>
        <w:t xml:space="preserve"> i domaće instrumente </w:t>
      </w:r>
      <w:r w:rsidR="00D1611F" w:rsidRPr="00073673">
        <w:rPr>
          <w:rFonts w:ascii="Arial" w:hAnsi="Arial" w:cs="Arial"/>
          <w:szCs w:val="24"/>
        </w:rPr>
        <w:t xml:space="preserve">u visini od 2% </w:t>
      </w:r>
      <w:r w:rsidRPr="00073673">
        <w:rPr>
          <w:rFonts w:ascii="Arial" w:hAnsi="Arial" w:cs="Arial"/>
          <w:szCs w:val="24"/>
        </w:rPr>
        <w:t xml:space="preserve">i 1% na </w:t>
      </w:r>
      <w:r w:rsidR="004358F5" w:rsidRPr="00073673">
        <w:rPr>
          <w:rFonts w:ascii="Arial" w:hAnsi="Arial" w:cs="Arial"/>
          <w:szCs w:val="24"/>
        </w:rPr>
        <w:t>kratkoročne</w:t>
      </w:r>
      <w:r w:rsidRPr="00073673">
        <w:rPr>
          <w:rFonts w:ascii="Arial" w:hAnsi="Arial" w:cs="Arial"/>
          <w:szCs w:val="24"/>
        </w:rPr>
        <w:t xml:space="preserve"> domaće </w:t>
      </w:r>
      <w:r w:rsidR="004358F5" w:rsidRPr="00073673">
        <w:rPr>
          <w:rFonts w:ascii="Arial" w:hAnsi="Arial" w:cs="Arial"/>
          <w:szCs w:val="24"/>
        </w:rPr>
        <w:t xml:space="preserve">instrumente </w:t>
      </w:r>
      <w:r w:rsidRPr="00073673">
        <w:rPr>
          <w:rFonts w:ascii="Arial" w:hAnsi="Arial" w:cs="Arial"/>
          <w:szCs w:val="24"/>
        </w:rPr>
        <w:t xml:space="preserve">u </w:t>
      </w:r>
      <w:r w:rsidR="00215CCD" w:rsidRPr="00073673">
        <w:rPr>
          <w:rFonts w:ascii="Arial" w:hAnsi="Arial" w:cs="Arial"/>
          <w:szCs w:val="24"/>
        </w:rPr>
        <w:t xml:space="preserve">drugoj </w:t>
      </w:r>
      <w:r w:rsidRPr="00073673">
        <w:rPr>
          <w:rFonts w:ascii="Arial" w:hAnsi="Arial" w:cs="Arial"/>
          <w:szCs w:val="24"/>
        </w:rPr>
        <w:t>godini.</w:t>
      </w:r>
      <w:r w:rsidR="00E82077" w:rsidRPr="00445180">
        <w:rPr>
          <w:rFonts w:ascii="Arial" w:hAnsi="Arial" w:cs="Arial"/>
          <w:szCs w:val="24"/>
        </w:rPr>
        <w:t xml:space="preserve"> Instrumenti u koje su uključeni stara devizna štednja i ratna potraživanja ostaju nepromijenjeni;</w:t>
      </w:r>
    </w:p>
    <w:p w14:paraId="04E86C46" w14:textId="77777777" w:rsidR="00073673" w:rsidRPr="00445180" w:rsidRDefault="00073673" w:rsidP="00445180">
      <w:pPr>
        <w:pStyle w:val="ListParagraph"/>
        <w:jc w:val="both"/>
        <w:rPr>
          <w:rFonts w:ascii="Arial" w:hAnsi="Arial" w:cs="Arial"/>
          <w:sz w:val="24"/>
          <w:szCs w:val="24"/>
        </w:rPr>
      </w:pPr>
    </w:p>
    <w:p w14:paraId="76DC2BE0" w14:textId="681551C7" w:rsidR="00ED768D" w:rsidRPr="00D912D1" w:rsidRDefault="00ED768D" w:rsidP="00DB02AE">
      <w:pPr>
        <w:pStyle w:val="ListParagraph"/>
        <w:numPr>
          <w:ilvl w:val="0"/>
          <w:numId w:val="7"/>
        </w:numPr>
        <w:jc w:val="both"/>
        <w:rPr>
          <w:rFonts w:ascii="Arial" w:hAnsi="Arial" w:cs="Arial"/>
          <w:sz w:val="24"/>
          <w:szCs w:val="24"/>
        </w:rPr>
      </w:pPr>
      <w:r w:rsidRPr="00D912D1">
        <w:rPr>
          <w:rFonts w:ascii="Arial" w:hAnsi="Arial" w:cs="Arial"/>
          <w:szCs w:val="24"/>
        </w:rPr>
        <w:t>veći šok</w:t>
      </w:r>
      <w:r w:rsidR="004358F5" w:rsidRPr="00073673">
        <w:rPr>
          <w:rFonts w:ascii="Arial" w:hAnsi="Arial" w:cs="Arial"/>
          <w:szCs w:val="24"/>
        </w:rPr>
        <w:t>:</w:t>
      </w:r>
      <w:r w:rsidRPr="00073673">
        <w:rPr>
          <w:rFonts w:ascii="Arial" w:hAnsi="Arial" w:cs="Arial"/>
          <w:szCs w:val="24"/>
        </w:rPr>
        <w:t xml:space="preserve"> povećanje </w:t>
      </w:r>
      <w:r w:rsidR="00AF7CAC" w:rsidRPr="00073673">
        <w:rPr>
          <w:rFonts w:ascii="Arial" w:hAnsi="Arial" w:cs="Arial"/>
          <w:szCs w:val="24"/>
        </w:rPr>
        <w:t>procijenjenih</w:t>
      </w:r>
      <w:r w:rsidR="00741EF1" w:rsidRPr="00073673">
        <w:rPr>
          <w:rFonts w:ascii="Arial" w:hAnsi="Arial" w:cs="Arial"/>
          <w:szCs w:val="24"/>
        </w:rPr>
        <w:t xml:space="preserve"> </w:t>
      </w:r>
      <w:r w:rsidRPr="00073673">
        <w:rPr>
          <w:rFonts w:ascii="Arial" w:hAnsi="Arial" w:cs="Arial"/>
          <w:szCs w:val="24"/>
        </w:rPr>
        <w:t xml:space="preserve">kamatnih stopa </w:t>
      </w:r>
      <w:r w:rsidR="00741EF1" w:rsidRPr="00073673">
        <w:rPr>
          <w:rFonts w:ascii="Arial" w:hAnsi="Arial" w:cs="Arial"/>
          <w:szCs w:val="24"/>
        </w:rPr>
        <w:t xml:space="preserve">u visini </w:t>
      </w:r>
      <w:r w:rsidRPr="00073673">
        <w:rPr>
          <w:rFonts w:ascii="Arial" w:hAnsi="Arial" w:cs="Arial"/>
          <w:szCs w:val="24"/>
        </w:rPr>
        <w:t xml:space="preserve">od 4% na dugoročne </w:t>
      </w:r>
      <w:r w:rsidR="00A03EC3" w:rsidRPr="00073673">
        <w:rPr>
          <w:rFonts w:ascii="Arial" w:hAnsi="Arial" w:cs="Arial"/>
          <w:szCs w:val="24"/>
        </w:rPr>
        <w:t xml:space="preserve">vanjske i </w:t>
      </w:r>
      <w:r w:rsidRPr="00073673">
        <w:rPr>
          <w:rFonts w:ascii="Arial" w:hAnsi="Arial" w:cs="Arial"/>
          <w:szCs w:val="24"/>
        </w:rPr>
        <w:t xml:space="preserve">domaće instrumente i 2% na </w:t>
      </w:r>
      <w:r w:rsidR="00A03EC3" w:rsidRPr="00073673">
        <w:rPr>
          <w:rFonts w:ascii="Arial" w:hAnsi="Arial" w:cs="Arial"/>
          <w:szCs w:val="24"/>
        </w:rPr>
        <w:t>kratkoročne</w:t>
      </w:r>
      <w:r w:rsidRPr="00073673">
        <w:rPr>
          <w:rFonts w:ascii="Arial" w:hAnsi="Arial" w:cs="Arial"/>
          <w:szCs w:val="24"/>
        </w:rPr>
        <w:t xml:space="preserve"> domaće instrumente u </w:t>
      </w:r>
      <w:r w:rsidR="00215CCD" w:rsidRPr="00073673">
        <w:rPr>
          <w:rFonts w:ascii="Arial" w:hAnsi="Arial" w:cs="Arial"/>
          <w:szCs w:val="24"/>
        </w:rPr>
        <w:t>drugoj</w:t>
      </w:r>
      <w:r w:rsidRPr="00073673">
        <w:rPr>
          <w:rFonts w:ascii="Arial" w:hAnsi="Arial" w:cs="Arial"/>
          <w:szCs w:val="24"/>
        </w:rPr>
        <w:t xml:space="preserve"> godini. </w:t>
      </w:r>
      <w:r w:rsidR="00E82077" w:rsidRPr="00445180">
        <w:rPr>
          <w:rFonts w:ascii="Arial" w:hAnsi="Arial" w:cs="Arial"/>
          <w:szCs w:val="24"/>
        </w:rPr>
        <w:t>Instrumenti u koje su uključeni stara devizna štednja i ratna potraživanja ostaju nepromijenjeni;</w:t>
      </w:r>
    </w:p>
    <w:p w14:paraId="778C2ACE" w14:textId="77777777" w:rsidR="00ED768D" w:rsidRPr="00073673" w:rsidRDefault="00877216" w:rsidP="00DB02AE">
      <w:pPr>
        <w:jc w:val="both"/>
        <w:rPr>
          <w:rFonts w:ascii="Arial" w:hAnsi="Arial" w:cs="Arial"/>
          <w:szCs w:val="24"/>
        </w:rPr>
      </w:pPr>
      <w:r w:rsidRPr="00073673">
        <w:rPr>
          <w:rFonts w:ascii="Arial" w:hAnsi="Arial" w:cs="Arial"/>
          <w:szCs w:val="24"/>
        </w:rPr>
        <w:t>Scenariji šokova</w:t>
      </w:r>
      <w:r w:rsidR="00ED768D" w:rsidRPr="00073673">
        <w:rPr>
          <w:rFonts w:ascii="Arial" w:hAnsi="Arial" w:cs="Arial"/>
          <w:szCs w:val="24"/>
        </w:rPr>
        <w:t>:</w:t>
      </w:r>
    </w:p>
    <w:p w14:paraId="5753198B" w14:textId="3E585259" w:rsidR="006F50DF" w:rsidRDefault="00ED768D" w:rsidP="00DB02AE">
      <w:pPr>
        <w:pStyle w:val="ListParagraph"/>
        <w:numPr>
          <w:ilvl w:val="0"/>
          <w:numId w:val="7"/>
        </w:numPr>
        <w:spacing w:after="0"/>
        <w:jc w:val="both"/>
        <w:rPr>
          <w:rFonts w:ascii="Arial" w:hAnsi="Arial" w:cs="Arial"/>
          <w:szCs w:val="24"/>
        </w:rPr>
      </w:pPr>
      <w:r w:rsidRPr="00073673">
        <w:rPr>
          <w:rFonts w:ascii="Arial" w:hAnsi="Arial" w:cs="Arial"/>
          <w:szCs w:val="24"/>
        </w:rPr>
        <w:t xml:space="preserve">Šok </w:t>
      </w:r>
      <w:r w:rsidR="007E269C" w:rsidRPr="00073673">
        <w:rPr>
          <w:rFonts w:ascii="Arial" w:hAnsi="Arial" w:cs="Arial"/>
          <w:szCs w:val="24"/>
        </w:rPr>
        <w:t>valutnog (deviznog)</w:t>
      </w:r>
      <w:r w:rsidRPr="00073673">
        <w:rPr>
          <w:rFonts w:ascii="Arial" w:hAnsi="Arial" w:cs="Arial"/>
          <w:szCs w:val="24"/>
        </w:rPr>
        <w:t xml:space="preserve"> </w:t>
      </w:r>
      <w:r w:rsidR="00C705CB">
        <w:rPr>
          <w:rFonts w:ascii="Arial" w:hAnsi="Arial" w:cs="Arial"/>
          <w:szCs w:val="24"/>
        </w:rPr>
        <w:t>tečaja</w:t>
      </w:r>
      <w:r w:rsidRPr="00073673">
        <w:rPr>
          <w:rFonts w:ascii="Arial" w:hAnsi="Arial" w:cs="Arial"/>
          <w:szCs w:val="24"/>
        </w:rPr>
        <w:t xml:space="preserve">: 30% deprecijacije </w:t>
      </w:r>
      <w:r w:rsidR="00C705CB">
        <w:rPr>
          <w:rFonts w:ascii="Arial" w:hAnsi="Arial" w:cs="Arial"/>
          <w:szCs w:val="24"/>
        </w:rPr>
        <w:t>tečaja</w:t>
      </w:r>
      <w:r w:rsidRPr="00073673">
        <w:rPr>
          <w:rFonts w:ascii="Arial" w:hAnsi="Arial" w:cs="Arial"/>
          <w:szCs w:val="24"/>
        </w:rPr>
        <w:t xml:space="preserve"> </w:t>
      </w:r>
      <w:r w:rsidR="00E672EB" w:rsidRPr="00073673">
        <w:rPr>
          <w:rFonts w:ascii="Arial" w:hAnsi="Arial" w:cs="Arial"/>
          <w:szCs w:val="24"/>
        </w:rPr>
        <w:t>KM</w:t>
      </w:r>
      <w:r w:rsidRPr="00073673">
        <w:rPr>
          <w:rFonts w:ascii="Arial" w:hAnsi="Arial" w:cs="Arial"/>
          <w:szCs w:val="24"/>
        </w:rPr>
        <w:t xml:space="preserve">/USD u </w:t>
      </w:r>
      <w:r w:rsidR="00565613" w:rsidRPr="00073673">
        <w:rPr>
          <w:rFonts w:ascii="Arial" w:hAnsi="Arial" w:cs="Arial"/>
          <w:szCs w:val="24"/>
        </w:rPr>
        <w:t>drugoj</w:t>
      </w:r>
      <w:r w:rsidRPr="00073673">
        <w:rPr>
          <w:rFonts w:ascii="Arial" w:hAnsi="Arial" w:cs="Arial"/>
          <w:szCs w:val="24"/>
        </w:rPr>
        <w:t xml:space="preserve"> godini;</w:t>
      </w:r>
    </w:p>
    <w:p w14:paraId="76893496" w14:textId="77777777" w:rsidR="00073673" w:rsidRPr="00D912D1" w:rsidRDefault="00073673" w:rsidP="00445180">
      <w:pPr>
        <w:pStyle w:val="ListParagraph"/>
        <w:spacing w:after="0"/>
        <w:jc w:val="both"/>
        <w:rPr>
          <w:rFonts w:ascii="Arial" w:hAnsi="Arial" w:cs="Arial"/>
          <w:szCs w:val="24"/>
        </w:rPr>
      </w:pPr>
    </w:p>
    <w:p w14:paraId="2A07DB50" w14:textId="336329EA" w:rsidR="006F50DF" w:rsidRDefault="00ED768D" w:rsidP="00DB02AE">
      <w:pPr>
        <w:pStyle w:val="ListParagraph"/>
        <w:numPr>
          <w:ilvl w:val="0"/>
          <w:numId w:val="7"/>
        </w:numPr>
        <w:spacing w:after="0"/>
        <w:jc w:val="both"/>
        <w:rPr>
          <w:rFonts w:ascii="Arial" w:hAnsi="Arial" w:cs="Arial"/>
          <w:szCs w:val="24"/>
        </w:rPr>
      </w:pPr>
      <w:r w:rsidRPr="00073673">
        <w:rPr>
          <w:rFonts w:ascii="Arial" w:hAnsi="Arial" w:cs="Arial"/>
          <w:szCs w:val="24"/>
        </w:rPr>
        <w:t xml:space="preserve">Šok kamatne stope: 4% rast kamatne stope na </w:t>
      </w:r>
      <w:r w:rsidR="00A03EC3" w:rsidRPr="00073673">
        <w:rPr>
          <w:rFonts w:ascii="Arial" w:hAnsi="Arial" w:cs="Arial"/>
          <w:szCs w:val="24"/>
        </w:rPr>
        <w:t xml:space="preserve">vanjske i domaće </w:t>
      </w:r>
      <w:r w:rsidRPr="00073673">
        <w:rPr>
          <w:rFonts w:ascii="Arial" w:hAnsi="Arial" w:cs="Arial"/>
          <w:szCs w:val="24"/>
        </w:rPr>
        <w:t>dugoročne instrument</w:t>
      </w:r>
      <w:r w:rsidR="00A03EC3" w:rsidRPr="00073673">
        <w:rPr>
          <w:rFonts w:ascii="Arial" w:hAnsi="Arial" w:cs="Arial"/>
          <w:szCs w:val="24"/>
        </w:rPr>
        <w:t>e</w:t>
      </w:r>
      <w:r w:rsidRPr="00073673">
        <w:rPr>
          <w:rFonts w:ascii="Arial" w:hAnsi="Arial" w:cs="Arial"/>
          <w:szCs w:val="24"/>
        </w:rPr>
        <w:t xml:space="preserve"> i 2% na </w:t>
      </w:r>
      <w:r w:rsidR="00A03EC3" w:rsidRPr="00073673">
        <w:rPr>
          <w:rFonts w:ascii="Arial" w:hAnsi="Arial" w:cs="Arial"/>
          <w:szCs w:val="24"/>
        </w:rPr>
        <w:t>kratkoročne</w:t>
      </w:r>
      <w:r w:rsidRPr="00073673">
        <w:rPr>
          <w:rFonts w:ascii="Arial" w:hAnsi="Arial" w:cs="Arial"/>
          <w:szCs w:val="24"/>
        </w:rPr>
        <w:t xml:space="preserve"> domaće instrument</w:t>
      </w:r>
      <w:r w:rsidR="00A03EC3" w:rsidRPr="00073673">
        <w:rPr>
          <w:rFonts w:ascii="Arial" w:hAnsi="Arial" w:cs="Arial"/>
          <w:szCs w:val="24"/>
        </w:rPr>
        <w:t>e</w:t>
      </w:r>
      <w:r w:rsidRPr="00073673">
        <w:rPr>
          <w:rFonts w:ascii="Arial" w:hAnsi="Arial" w:cs="Arial"/>
          <w:szCs w:val="24"/>
        </w:rPr>
        <w:t xml:space="preserve"> u </w:t>
      </w:r>
      <w:r w:rsidR="00215CCD" w:rsidRPr="00073673">
        <w:rPr>
          <w:rFonts w:ascii="Arial" w:hAnsi="Arial" w:cs="Arial"/>
          <w:szCs w:val="24"/>
        </w:rPr>
        <w:t>drugoj</w:t>
      </w:r>
      <w:r w:rsidRPr="00073673">
        <w:rPr>
          <w:rFonts w:ascii="Arial" w:hAnsi="Arial" w:cs="Arial"/>
          <w:szCs w:val="24"/>
        </w:rPr>
        <w:t xml:space="preserve"> godini, što doprinosi izravnavanju </w:t>
      </w:r>
      <w:r w:rsidR="00C07F93" w:rsidRPr="00073673">
        <w:rPr>
          <w:rFonts w:ascii="Arial" w:hAnsi="Arial" w:cs="Arial"/>
          <w:szCs w:val="24"/>
        </w:rPr>
        <w:t>krivulje</w:t>
      </w:r>
      <w:r w:rsidRPr="00073673">
        <w:rPr>
          <w:rFonts w:ascii="Arial" w:hAnsi="Arial" w:cs="Arial"/>
          <w:szCs w:val="24"/>
        </w:rPr>
        <w:t xml:space="preserve"> prinosa. Instrumenti u koje </w:t>
      </w:r>
      <w:r w:rsidR="00C07F93" w:rsidRPr="00073673">
        <w:rPr>
          <w:rFonts w:ascii="Arial" w:hAnsi="Arial" w:cs="Arial"/>
          <w:szCs w:val="24"/>
        </w:rPr>
        <w:t>su</w:t>
      </w:r>
      <w:r w:rsidRPr="00073673">
        <w:rPr>
          <w:rFonts w:ascii="Arial" w:hAnsi="Arial" w:cs="Arial"/>
          <w:szCs w:val="24"/>
        </w:rPr>
        <w:t xml:space="preserve"> uključen</w:t>
      </w:r>
      <w:r w:rsidR="00C07F93" w:rsidRPr="00073673">
        <w:rPr>
          <w:rFonts w:ascii="Arial" w:hAnsi="Arial" w:cs="Arial"/>
          <w:szCs w:val="24"/>
        </w:rPr>
        <w:t>i</w:t>
      </w:r>
      <w:r w:rsidRPr="00073673">
        <w:rPr>
          <w:rFonts w:ascii="Arial" w:hAnsi="Arial" w:cs="Arial"/>
          <w:szCs w:val="24"/>
        </w:rPr>
        <w:t xml:space="preserve"> stara devizna štednj</w:t>
      </w:r>
      <w:r w:rsidR="00C07F93" w:rsidRPr="00073673">
        <w:rPr>
          <w:rFonts w:ascii="Arial" w:hAnsi="Arial" w:cs="Arial"/>
          <w:szCs w:val="24"/>
        </w:rPr>
        <w:t>a</w:t>
      </w:r>
      <w:r w:rsidRPr="00073673">
        <w:rPr>
          <w:rFonts w:ascii="Arial" w:hAnsi="Arial" w:cs="Arial"/>
          <w:szCs w:val="24"/>
        </w:rPr>
        <w:t xml:space="preserve"> i ratna potraživanja ostaju neprom</w:t>
      </w:r>
      <w:r w:rsidR="00D945EA" w:rsidRPr="00073673">
        <w:rPr>
          <w:rFonts w:ascii="Arial" w:hAnsi="Arial" w:cs="Arial"/>
          <w:szCs w:val="24"/>
        </w:rPr>
        <w:t>i</w:t>
      </w:r>
      <w:r w:rsidRPr="00073673">
        <w:rPr>
          <w:rFonts w:ascii="Arial" w:hAnsi="Arial" w:cs="Arial"/>
          <w:szCs w:val="24"/>
        </w:rPr>
        <w:t xml:space="preserve">jenjeni; </w:t>
      </w:r>
    </w:p>
    <w:p w14:paraId="63253157" w14:textId="77777777" w:rsidR="00073673" w:rsidRPr="00445180" w:rsidRDefault="00073673" w:rsidP="00445180">
      <w:pPr>
        <w:pStyle w:val="ListParagraph"/>
        <w:rPr>
          <w:rFonts w:ascii="Arial" w:hAnsi="Arial" w:cs="Arial"/>
          <w:szCs w:val="24"/>
        </w:rPr>
      </w:pPr>
    </w:p>
    <w:p w14:paraId="3814317A" w14:textId="0D34BD63" w:rsidR="005B6230" w:rsidRPr="00C705CB" w:rsidRDefault="00C705CB" w:rsidP="00C705CB">
      <w:pPr>
        <w:pStyle w:val="ListParagraph"/>
        <w:numPr>
          <w:ilvl w:val="0"/>
          <w:numId w:val="7"/>
        </w:numPr>
        <w:spacing w:after="0"/>
        <w:jc w:val="both"/>
        <w:rPr>
          <w:rFonts w:ascii="Arial" w:hAnsi="Arial" w:cs="Arial"/>
          <w:szCs w:val="24"/>
        </w:rPr>
      </w:pPr>
      <w:r w:rsidRPr="00073673">
        <w:rPr>
          <w:rFonts w:ascii="Arial" w:hAnsi="Arial" w:cs="Arial"/>
          <w:szCs w:val="24"/>
        </w:rPr>
        <w:lastRenderedPageBreak/>
        <w:t>Kombinirani</w:t>
      </w:r>
      <w:r w:rsidR="00ED768D" w:rsidRPr="00073673">
        <w:rPr>
          <w:rFonts w:ascii="Arial" w:hAnsi="Arial" w:cs="Arial"/>
          <w:szCs w:val="24"/>
        </w:rPr>
        <w:t xml:space="preserve"> šok: 20% deprecijacije </w:t>
      </w:r>
      <w:r>
        <w:rPr>
          <w:rFonts w:ascii="Arial" w:hAnsi="Arial" w:cs="Arial"/>
          <w:szCs w:val="24"/>
        </w:rPr>
        <w:t>tečaja</w:t>
      </w:r>
      <w:r w:rsidR="00ED768D" w:rsidRPr="00073673">
        <w:rPr>
          <w:rFonts w:ascii="Arial" w:hAnsi="Arial" w:cs="Arial"/>
          <w:szCs w:val="24"/>
        </w:rPr>
        <w:t xml:space="preserve"> </w:t>
      </w:r>
      <w:r w:rsidR="00E672EB" w:rsidRPr="00073673">
        <w:rPr>
          <w:rFonts w:ascii="Arial" w:hAnsi="Arial" w:cs="Arial"/>
          <w:szCs w:val="24"/>
        </w:rPr>
        <w:t>KM</w:t>
      </w:r>
      <w:r w:rsidR="00ED768D" w:rsidRPr="00073673">
        <w:rPr>
          <w:rFonts w:ascii="Arial" w:hAnsi="Arial" w:cs="Arial"/>
          <w:szCs w:val="24"/>
        </w:rPr>
        <w:t xml:space="preserve">/USD u kombinaciji sa šokom od </w:t>
      </w:r>
      <w:r w:rsidR="000856A8" w:rsidRPr="00073673">
        <w:rPr>
          <w:rFonts w:ascii="Arial" w:hAnsi="Arial" w:cs="Arial"/>
          <w:szCs w:val="24"/>
        </w:rPr>
        <w:t>1</w:t>
      </w:r>
      <w:r w:rsidR="00ED768D" w:rsidRPr="00073673">
        <w:rPr>
          <w:rFonts w:ascii="Arial" w:hAnsi="Arial" w:cs="Arial"/>
          <w:szCs w:val="24"/>
        </w:rPr>
        <w:t xml:space="preserve">% na kratkoročne domaće i </w:t>
      </w:r>
      <w:r w:rsidR="000856A8" w:rsidRPr="00073673">
        <w:rPr>
          <w:rFonts w:ascii="Arial" w:hAnsi="Arial" w:cs="Arial"/>
          <w:szCs w:val="24"/>
        </w:rPr>
        <w:t xml:space="preserve">2% </w:t>
      </w:r>
      <w:r w:rsidR="00ED768D" w:rsidRPr="00073673">
        <w:rPr>
          <w:rFonts w:ascii="Arial" w:hAnsi="Arial" w:cs="Arial"/>
          <w:szCs w:val="24"/>
        </w:rPr>
        <w:t xml:space="preserve">dugoročne instrumente u </w:t>
      </w:r>
      <w:r w:rsidR="00215CCD" w:rsidRPr="00073673">
        <w:rPr>
          <w:rFonts w:ascii="Arial" w:hAnsi="Arial" w:cs="Arial"/>
          <w:szCs w:val="24"/>
        </w:rPr>
        <w:t>drugoj</w:t>
      </w:r>
      <w:r w:rsidR="00ED768D" w:rsidRPr="00073673">
        <w:rPr>
          <w:rFonts w:ascii="Arial" w:hAnsi="Arial" w:cs="Arial"/>
          <w:szCs w:val="24"/>
        </w:rPr>
        <w:t xml:space="preserve"> godini. Instrumenti u koje </w:t>
      </w:r>
      <w:r w:rsidR="00C07F93" w:rsidRPr="00073673">
        <w:rPr>
          <w:rFonts w:ascii="Arial" w:hAnsi="Arial" w:cs="Arial"/>
          <w:szCs w:val="24"/>
        </w:rPr>
        <w:t>su</w:t>
      </w:r>
      <w:r w:rsidR="00ED768D" w:rsidRPr="00073673">
        <w:rPr>
          <w:rFonts w:ascii="Arial" w:hAnsi="Arial" w:cs="Arial"/>
          <w:szCs w:val="24"/>
        </w:rPr>
        <w:t xml:space="preserve"> uključen</w:t>
      </w:r>
      <w:r w:rsidR="00C07F93" w:rsidRPr="00073673">
        <w:rPr>
          <w:rFonts w:ascii="Arial" w:hAnsi="Arial" w:cs="Arial"/>
          <w:szCs w:val="24"/>
        </w:rPr>
        <w:t>i</w:t>
      </w:r>
      <w:r w:rsidR="00ED768D" w:rsidRPr="00073673">
        <w:rPr>
          <w:rFonts w:ascii="Arial" w:hAnsi="Arial" w:cs="Arial"/>
          <w:szCs w:val="24"/>
        </w:rPr>
        <w:t xml:space="preserve"> stara devizna štednj</w:t>
      </w:r>
      <w:r w:rsidR="00C07F93" w:rsidRPr="00073673">
        <w:rPr>
          <w:rFonts w:ascii="Arial" w:hAnsi="Arial" w:cs="Arial"/>
          <w:szCs w:val="24"/>
        </w:rPr>
        <w:t>a</w:t>
      </w:r>
      <w:r w:rsidR="00ED768D" w:rsidRPr="00073673">
        <w:rPr>
          <w:rFonts w:ascii="Arial" w:hAnsi="Arial" w:cs="Arial"/>
          <w:szCs w:val="24"/>
        </w:rPr>
        <w:t xml:space="preserve"> i ratna potraživanja ostaju neprom</w:t>
      </w:r>
      <w:r w:rsidR="00D945EA" w:rsidRPr="00073673">
        <w:rPr>
          <w:rFonts w:ascii="Arial" w:hAnsi="Arial" w:cs="Arial"/>
          <w:szCs w:val="24"/>
        </w:rPr>
        <w:t>i</w:t>
      </w:r>
      <w:r w:rsidR="00ED768D" w:rsidRPr="00073673">
        <w:rPr>
          <w:rFonts w:ascii="Arial" w:hAnsi="Arial" w:cs="Arial"/>
          <w:szCs w:val="24"/>
        </w:rPr>
        <w:t>jenjeni.</w:t>
      </w:r>
    </w:p>
    <w:p w14:paraId="2C73FFF6" w14:textId="77777777" w:rsidR="00E90DCD" w:rsidRDefault="00E90DCD" w:rsidP="00ED768D">
      <w:pPr>
        <w:spacing w:after="0" w:line="240" w:lineRule="auto"/>
        <w:jc w:val="both"/>
        <w:rPr>
          <w:rFonts w:ascii="Arial" w:hAnsi="Arial" w:cs="Arial"/>
          <w:szCs w:val="24"/>
        </w:rPr>
      </w:pPr>
    </w:p>
    <w:p w14:paraId="60357D2A" w14:textId="614DDD99" w:rsidR="00ED768D" w:rsidRDefault="00ED768D" w:rsidP="00ED768D">
      <w:pPr>
        <w:spacing w:after="0" w:line="240" w:lineRule="auto"/>
        <w:jc w:val="both"/>
        <w:rPr>
          <w:rFonts w:ascii="Arial" w:hAnsi="Arial" w:cs="Arial"/>
          <w:szCs w:val="24"/>
        </w:rPr>
      </w:pPr>
      <w:r w:rsidRPr="00D912D1">
        <w:rPr>
          <w:rFonts w:ascii="Arial" w:hAnsi="Arial" w:cs="Arial"/>
          <w:szCs w:val="24"/>
        </w:rPr>
        <w:t>Tab</w:t>
      </w:r>
      <w:r w:rsidR="00C705CB">
        <w:rPr>
          <w:rFonts w:ascii="Arial" w:hAnsi="Arial" w:cs="Arial"/>
          <w:szCs w:val="24"/>
        </w:rPr>
        <w:t>lica</w:t>
      </w:r>
      <w:r w:rsidRPr="00D912D1">
        <w:rPr>
          <w:rFonts w:ascii="Arial" w:hAnsi="Arial" w:cs="Arial"/>
          <w:szCs w:val="24"/>
        </w:rPr>
        <w:t xml:space="preserve"> 1</w:t>
      </w:r>
      <w:r w:rsidR="005A0B60" w:rsidRPr="00073673">
        <w:rPr>
          <w:rFonts w:ascii="Arial" w:hAnsi="Arial" w:cs="Arial"/>
          <w:szCs w:val="24"/>
        </w:rPr>
        <w:t>3</w:t>
      </w:r>
      <w:r w:rsidRPr="00073673">
        <w:rPr>
          <w:rFonts w:ascii="Arial" w:hAnsi="Arial" w:cs="Arial"/>
          <w:szCs w:val="24"/>
        </w:rPr>
        <w:t xml:space="preserve">. </w:t>
      </w:r>
      <w:r w:rsidR="00C705CB" w:rsidRPr="00073673">
        <w:rPr>
          <w:rFonts w:ascii="Arial" w:hAnsi="Arial" w:cs="Arial"/>
          <w:szCs w:val="24"/>
        </w:rPr>
        <w:t>Stilizirani</w:t>
      </w:r>
      <w:r w:rsidRPr="00073673">
        <w:rPr>
          <w:rFonts w:ascii="Arial" w:hAnsi="Arial" w:cs="Arial"/>
          <w:szCs w:val="24"/>
        </w:rPr>
        <w:t xml:space="preserve"> instrumenti </w:t>
      </w:r>
      <w:r w:rsidR="009A78EF">
        <w:rPr>
          <w:rFonts w:ascii="Arial" w:hAnsi="Arial" w:cs="Arial"/>
          <w:szCs w:val="24"/>
        </w:rPr>
        <w:t>portfelja</w:t>
      </w:r>
      <w:r w:rsidRPr="00073673">
        <w:rPr>
          <w:rFonts w:ascii="Arial" w:hAnsi="Arial" w:cs="Arial"/>
          <w:szCs w:val="24"/>
        </w:rPr>
        <w:t xml:space="preserve"> duga F</w:t>
      </w:r>
      <w:r w:rsidR="00C618AA" w:rsidRPr="00073673">
        <w:rPr>
          <w:rFonts w:ascii="Arial" w:hAnsi="Arial" w:cs="Arial"/>
          <w:szCs w:val="24"/>
        </w:rPr>
        <w:t xml:space="preserve">ederacije </w:t>
      </w:r>
      <w:r w:rsidRPr="00073673">
        <w:rPr>
          <w:rFonts w:ascii="Arial" w:hAnsi="Arial" w:cs="Arial"/>
          <w:szCs w:val="24"/>
        </w:rPr>
        <w:t>BiH</w:t>
      </w:r>
    </w:p>
    <w:p w14:paraId="0B5171B2" w14:textId="77777777" w:rsidR="006B2D7D" w:rsidRPr="00073673" w:rsidRDefault="006B2D7D" w:rsidP="00ED768D">
      <w:pPr>
        <w:spacing w:after="0" w:line="240" w:lineRule="auto"/>
        <w:jc w:val="both"/>
        <w:rPr>
          <w:rFonts w:ascii="Arial" w:hAnsi="Arial" w:cs="Arial"/>
          <w:sz w:val="24"/>
          <w:szCs w:val="24"/>
        </w:rPr>
      </w:pPr>
    </w:p>
    <w:tbl>
      <w:tblPr>
        <w:tblW w:w="5000" w:type="pct"/>
        <w:tblLook w:val="04A0" w:firstRow="1" w:lastRow="0" w:firstColumn="1" w:lastColumn="0" w:noHBand="0" w:noVBand="1"/>
      </w:tblPr>
      <w:tblGrid>
        <w:gridCol w:w="1029"/>
        <w:gridCol w:w="1916"/>
        <w:gridCol w:w="1042"/>
        <w:gridCol w:w="1333"/>
        <w:gridCol w:w="999"/>
        <w:gridCol w:w="998"/>
        <w:gridCol w:w="998"/>
        <w:gridCol w:w="998"/>
      </w:tblGrid>
      <w:tr w:rsidR="006B2D7D" w:rsidRPr="006B2D7D" w14:paraId="340654F0" w14:textId="77777777" w:rsidTr="00445180">
        <w:trPr>
          <w:trHeight w:val="555"/>
        </w:trPr>
        <w:tc>
          <w:tcPr>
            <w:tcW w:w="552"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62FAA0C"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Oznaka instrumenta</w:t>
            </w:r>
          </w:p>
        </w:tc>
        <w:tc>
          <w:tcPr>
            <w:tcW w:w="1028" w:type="pct"/>
            <w:tcBorders>
              <w:top w:val="single" w:sz="8" w:space="0" w:color="4F81BD"/>
              <w:left w:val="nil"/>
              <w:bottom w:val="single" w:sz="8" w:space="0" w:color="4F81BD"/>
              <w:right w:val="single" w:sz="8" w:space="0" w:color="4F81BD"/>
            </w:tcBorders>
            <w:shd w:val="clear" w:color="auto" w:fill="auto"/>
            <w:vAlign w:val="center"/>
            <w:hideMark/>
          </w:tcPr>
          <w:p w14:paraId="0D9B4DC1"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Ime ili vrsta instrumenta</w:t>
            </w:r>
          </w:p>
        </w:tc>
        <w:tc>
          <w:tcPr>
            <w:tcW w:w="559" w:type="pct"/>
            <w:tcBorders>
              <w:top w:val="single" w:sz="8" w:space="0" w:color="4F81BD"/>
              <w:left w:val="nil"/>
              <w:bottom w:val="single" w:sz="8" w:space="0" w:color="4F81BD"/>
              <w:right w:val="single" w:sz="8" w:space="0" w:color="4F81BD"/>
            </w:tcBorders>
            <w:shd w:val="clear" w:color="auto" w:fill="auto"/>
            <w:vAlign w:val="center"/>
            <w:hideMark/>
          </w:tcPr>
          <w:p w14:paraId="1A028BDB"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Fiksni ili varijabilni</w:t>
            </w:r>
          </w:p>
        </w:tc>
        <w:tc>
          <w:tcPr>
            <w:tcW w:w="715" w:type="pct"/>
            <w:tcBorders>
              <w:top w:val="single" w:sz="8" w:space="0" w:color="4F81BD"/>
              <w:left w:val="nil"/>
              <w:bottom w:val="single" w:sz="8" w:space="0" w:color="4F81BD"/>
              <w:right w:val="single" w:sz="8" w:space="0" w:color="4F81BD"/>
            </w:tcBorders>
            <w:shd w:val="clear" w:color="auto" w:fill="auto"/>
            <w:vAlign w:val="center"/>
            <w:hideMark/>
          </w:tcPr>
          <w:p w14:paraId="6EBC0083"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Koncesionalni ili tržni</w:t>
            </w:r>
          </w:p>
        </w:tc>
        <w:tc>
          <w:tcPr>
            <w:tcW w:w="536" w:type="pct"/>
            <w:tcBorders>
              <w:top w:val="single" w:sz="8" w:space="0" w:color="4F81BD"/>
              <w:left w:val="nil"/>
              <w:bottom w:val="single" w:sz="8" w:space="0" w:color="4F81BD"/>
              <w:right w:val="single" w:sz="8" w:space="0" w:color="4F81BD"/>
            </w:tcBorders>
            <w:shd w:val="clear" w:color="auto" w:fill="auto"/>
            <w:vAlign w:val="center"/>
            <w:hideMark/>
          </w:tcPr>
          <w:p w14:paraId="3D6C8505"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Dospijeće (godina)</w:t>
            </w:r>
          </w:p>
        </w:tc>
        <w:tc>
          <w:tcPr>
            <w:tcW w:w="536" w:type="pct"/>
            <w:tcBorders>
              <w:top w:val="single" w:sz="8" w:space="0" w:color="4F81BD"/>
              <w:left w:val="nil"/>
              <w:bottom w:val="single" w:sz="8" w:space="0" w:color="4F81BD"/>
              <w:right w:val="single" w:sz="8" w:space="0" w:color="4F81BD"/>
            </w:tcBorders>
            <w:shd w:val="clear" w:color="auto" w:fill="auto"/>
            <w:vAlign w:val="center"/>
            <w:hideMark/>
          </w:tcPr>
          <w:p w14:paraId="0737EC28"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Grace (godina)</w:t>
            </w:r>
          </w:p>
        </w:tc>
        <w:tc>
          <w:tcPr>
            <w:tcW w:w="536" w:type="pct"/>
            <w:tcBorders>
              <w:top w:val="single" w:sz="8" w:space="0" w:color="4F81BD"/>
              <w:left w:val="nil"/>
              <w:bottom w:val="single" w:sz="8" w:space="0" w:color="4F81BD"/>
              <w:right w:val="single" w:sz="8" w:space="0" w:color="4F81BD"/>
            </w:tcBorders>
            <w:shd w:val="clear" w:color="auto" w:fill="auto"/>
            <w:vAlign w:val="center"/>
            <w:hideMark/>
          </w:tcPr>
          <w:p w14:paraId="076B7E1F"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Vrsta valute</w:t>
            </w:r>
          </w:p>
        </w:tc>
        <w:tc>
          <w:tcPr>
            <w:tcW w:w="536" w:type="pct"/>
            <w:tcBorders>
              <w:top w:val="single" w:sz="8" w:space="0" w:color="4F81BD"/>
              <w:left w:val="nil"/>
              <w:bottom w:val="single" w:sz="8" w:space="0" w:color="4F81BD"/>
              <w:right w:val="single" w:sz="8" w:space="0" w:color="4F81BD"/>
            </w:tcBorders>
            <w:shd w:val="clear" w:color="auto" w:fill="auto"/>
            <w:vAlign w:val="center"/>
            <w:hideMark/>
          </w:tcPr>
          <w:p w14:paraId="41D21898"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Valuta</w:t>
            </w:r>
          </w:p>
        </w:tc>
      </w:tr>
      <w:tr w:rsidR="006B2D7D" w:rsidRPr="006B2D7D" w14:paraId="11EE4B50" w14:textId="77777777" w:rsidTr="00445180">
        <w:trPr>
          <w:trHeight w:val="34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71F54D3B"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USD_2</w:t>
            </w:r>
          </w:p>
        </w:tc>
        <w:tc>
          <w:tcPr>
            <w:tcW w:w="1028" w:type="pct"/>
            <w:tcBorders>
              <w:top w:val="nil"/>
              <w:left w:val="nil"/>
              <w:bottom w:val="single" w:sz="8" w:space="0" w:color="4F81BD"/>
              <w:right w:val="single" w:sz="8" w:space="0" w:color="4F81BD"/>
            </w:tcBorders>
            <w:shd w:val="clear" w:color="auto" w:fill="auto"/>
            <w:noWrap/>
            <w:vAlign w:val="center"/>
            <w:hideMark/>
          </w:tcPr>
          <w:p w14:paraId="6AA0CCAA"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 xml:space="preserve">Koncesionalni USD </w:t>
            </w:r>
          </w:p>
        </w:tc>
        <w:tc>
          <w:tcPr>
            <w:tcW w:w="559" w:type="pct"/>
            <w:tcBorders>
              <w:top w:val="nil"/>
              <w:left w:val="nil"/>
              <w:bottom w:val="single" w:sz="8" w:space="0" w:color="4F81BD"/>
              <w:right w:val="single" w:sz="8" w:space="0" w:color="4F81BD"/>
            </w:tcBorders>
            <w:shd w:val="clear" w:color="auto" w:fill="auto"/>
            <w:noWrap/>
            <w:vAlign w:val="center"/>
            <w:hideMark/>
          </w:tcPr>
          <w:p w14:paraId="35D875E4"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4C2F8764"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Koncesionalni</w:t>
            </w:r>
          </w:p>
        </w:tc>
        <w:tc>
          <w:tcPr>
            <w:tcW w:w="536" w:type="pct"/>
            <w:tcBorders>
              <w:top w:val="nil"/>
              <w:left w:val="nil"/>
              <w:bottom w:val="single" w:sz="8" w:space="0" w:color="4F81BD"/>
              <w:right w:val="single" w:sz="8" w:space="0" w:color="4F81BD"/>
            </w:tcBorders>
            <w:shd w:val="clear" w:color="auto" w:fill="auto"/>
            <w:noWrap/>
            <w:vAlign w:val="center"/>
            <w:hideMark/>
          </w:tcPr>
          <w:p w14:paraId="5669DFD1"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20</w:t>
            </w:r>
          </w:p>
        </w:tc>
        <w:tc>
          <w:tcPr>
            <w:tcW w:w="536" w:type="pct"/>
            <w:tcBorders>
              <w:top w:val="nil"/>
              <w:left w:val="nil"/>
              <w:bottom w:val="single" w:sz="8" w:space="0" w:color="4F81BD"/>
              <w:right w:val="single" w:sz="8" w:space="0" w:color="4F81BD"/>
            </w:tcBorders>
            <w:shd w:val="clear" w:color="auto" w:fill="auto"/>
            <w:noWrap/>
            <w:vAlign w:val="center"/>
            <w:hideMark/>
          </w:tcPr>
          <w:p w14:paraId="36BC429F"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5</w:t>
            </w:r>
          </w:p>
        </w:tc>
        <w:tc>
          <w:tcPr>
            <w:tcW w:w="536" w:type="pct"/>
            <w:tcBorders>
              <w:top w:val="nil"/>
              <w:left w:val="nil"/>
              <w:bottom w:val="single" w:sz="8" w:space="0" w:color="4F81BD"/>
              <w:right w:val="single" w:sz="8" w:space="0" w:color="4F81BD"/>
            </w:tcBorders>
            <w:shd w:val="clear" w:color="auto" w:fill="auto"/>
            <w:noWrap/>
            <w:vAlign w:val="center"/>
            <w:hideMark/>
          </w:tcPr>
          <w:p w14:paraId="6F54A49A"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1D3B95CB"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USD</w:t>
            </w:r>
          </w:p>
        </w:tc>
      </w:tr>
      <w:tr w:rsidR="006B2D7D" w:rsidRPr="006B2D7D" w14:paraId="3D418EF8" w14:textId="77777777" w:rsidTr="00445180">
        <w:trPr>
          <w:trHeight w:val="46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7DCC093C"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USD_3</w:t>
            </w:r>
          </w:p>
        </w:tc>
        <w:tc>
          <w:tcPr>
            <w:tcW w:w="1028" w:type="pct"/>
            <w:tcBorders>
              <w:top w:val="nil"/>
              <w:left w:val="nil"/>
              <w:bottom w:val="single" w:sz="8" w:space="0" w:color="4F81BD"/>
              <w:right w:val="single" w:sz="8" w:space="0" w:color="4F81BD"/>
            </w:tcBorders>
            <w:shd w:val="clear" w:color="auto" w:fill="auto"/>
            <w:noWrap/>
            <w:vAlign w:val="center"/>
            <w:hideMark/>
          </w:tcPr>
          <w:p w14:paraId="178B4673"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 xml:space="preserve">Koncesionalni EUR </w:t>
            </w:r>
          </w:p>
        </w:tc>
        <w:tc>
          <w:tcPr>
            <w:tcW w:w="559" w:type="pct"/>
            <w:tcBorders>
              <w:top w:val="nil"/>
              <w:left w:val="nil"/>
              <w:bottom w:val="single" w:sz="8" w:space="0" w:color="4F81BD"/>
              <w:right w:val="single" w:sz="8" w:space="0" w:color="4F81BD"/>
            </w:tcBorders>
            <w:shd w:val="clear" w:color="auto" w:fill="auto"/>
            <w:noWrap/>
            <w:vAlign w:val="center"/>
            <w:hideMark/>
          </w:tcPr>
          <w:p w14:paraId="551A62CC"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704D0EB6"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Koncesionalni</w:t>
            </w:r>
          </w:p>
        </w:tc>
        <w:tc>
          <w:tcPr>
            <w:tcW w:w="536" w:type="pct"/>
            <w:tcBorders>
              <w:top w:val="nil"/>
              <w:left w:val="nil"/>
              <w:bottom w:val="single" w:sz="8" w:space="0" w:color="4F81BD"/>
              <w:right w:val="single" w:sz="8" w:space="0" w:color="4F81BD"/>
            </w:tcBorders>
            <w:shd w:val="clear" w:color="auto" w:fill="auto"/>
            <w:noWrap/>
            <w:vAlign w:val="center"/>
            <w:hideMark/>
          </w:tcPr>
          <w:p w14:paraId="573A5DD1"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20</w:t>
            </w:r>
          </w:p>
        </w:tc>
        <w:tc>
          <w:tcPr>
            <w:tcW w:w="536" w:type="pct"/>
            <w:tcBorders>
              <w:top w:val="nil"/>
              <w:left w:val="nil"/>
              <w:bottom w:val="single" w:sz="8" w:space="0" w:color="4F81BD"/>
              <w:right w:val="single" w:sz="8" w:space="0" w:color="4F81BD"/>
            </w:tcBorders>
            <w:shd w:val="clear" w:color="auto" w:fill="auto"/>
            <w:noWrap/>
            <w:vAlign w:val="center"/>
            <w:hideMark/>
          </w:tcPr>
          <w:p w14:paraId="752E04F2"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5</w:t>
            </w:r>
          </w:p>
        </w:tc>
        <w:tc>
          <w:tcPr>
            <w:tcW w:w="536" w:type="pct"/>
            <w:tcBorders>
              <w:top w:val="nil"/>
              <w:left w:val="nil"/>
              <w:bottom w:val="single" w:sz="8" w:space="0" w:color="4F81BD"/>
              <w:right w:val="single" w:sz="8" w:space="0" w:color="4F81BD"/>
            </w:tcBorders>
            <w:shd w:val="clear" w:color="auto" w:fill="auto"/>
            <w:noWrap/>
            <w:vAlign w:val="center"/>
            <w:hideMark/>
          </w:tcPr>
          <w:p w14:paraId="0180B8F2"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4243C74C"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EUR</w:t>
            </w:r>
          </w:p>
        </w:tc>
      </w:tr>
      <w:tr w:rsidR="006B2D7D" w:rsidRPr="006B2D7D" w14:paraId="0D8B1143" w14:textId="77777777" w:rsidTr="00445180">
        <w:trPr>
          <w:trHeight w:val="46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171695AA"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USD_4</w:t>
            </w:r>
          </w:p>
        </w:tc>
        <w:tc>
          <w:tcPr>
            <w:tcW w:w="1028" w:type="pct"/>
            <w:tcBorders>
              <w:top w:val="nil"/>
              <w:left w:val="nil"/>
              <w:bottom w:val="single" w:sz="8" w:space="0" w:color="4F81BD"/>
              <w:right w:val="single" w:sz="8" w:space="0" w:color="4F81BD"/>
            </w:tcBorders>
            <w:shd w:val="clear" w:color="auto" w:fill="auto"/>
            <w:noWrap/>
            <w:vAlign w:val="center"/>
            <w:hideMark/>
          </w:tcPr>
          <w:p w14:paraId="58785EDE"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 xml:space="preserve">Koncesionalni USD </w:t>
            </w:r>
          </w:p>
        </w:tc>
        <w:tc>
          <w:tcPr>
            <w:tcW w:w="559" w:type="pct"/>
            <w:tcBorders>
              <w:top w:val="nil"/>
              <w:left w:val="nil"/>
              <w:bottom w:val="single" w:sz="8" w:space="0" w:color="4F81BD"/>
              <w:right w:val="single" w:sz="8" w:space="0" w:color="4F81BD"/>
            </w:tcBorders>
            <w:shd w:val="clear" w:color="auto" w:fill="auto"/>
            <w:noWrap/>
            <w:vAlign w:val="center"/>
            <w:hideMark/>
          </w:tcPr>
          <w:p w14:paraId="1CDC48C3"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Varijabilni</w:t>
            </w:r>
          </w:p>
        </w:tc>
        <w:tc>
          <w:tcPr>
            <w:tcW w:w="715" w:type="pct"/>
            <w:tcBorders>
              <w:top w:val="nil"/>
              <w:left w:val="nil"/>
              <w:bottom w:val="single" w:sz="8" w:space="0" w:color="4F81BD"/>
              <w:right w:val="single" w:sz="8" w:space="0" w:color="4F81BD"/>
            </w:tcBorders>
            <w:shd w:val="clear" w:color="auto" w:fill="auto"/>
            <w:noWrap/>
            <w:vAlign w:val="center"/>
            <w:hideMark/>
          </w:tcPr>
          <w:p w14:paraId="49E019B6"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Koncesionalni</w:t>
            </w:r>
          </w:p>
        </w:tc>
        <w:tc>
          <w:tcPr>
            <w:tcW w:w="536" w:type="pct"/>
            <w:tcBorders>
              <w:top w:val="nil"/>
              <w:left w:val="nil"/>
              <w:bottom w:val="single" w:sz="8" w:space="0" w:color="4F81BD"/>
              <w:right w:val="single" w:sz="8" w:space="0" w:color="4F81BD"/>
            </w:tcBorders>
            <w:shd w:val="clear" w:color="auto" w:fill="auto"/>
            <w:noWrap/>
            <w:vAlign w:val="center"/>
            <w:hideMark/>
          </w:tcPr>
          <w:p w14:paraId="35472FCA"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18</w:t>
            </w:r>
          </w:p>
        </w:tc>
        <w:tc>
          <w:tcPr>
            <w:tcW w:w="536" w:type="pct"/>
            <w:tcBorders>
              <w:top w:val="nil"/>
              <w:left w:val="nil"/>
              <w:bottom w:val="single" w:sz="8" w:space="0" w:color="4F81BD"/>
              <w:right w:val="single" w:sz="8" w:space="0" w:color="4F81BD"/>
            </w:tcBorders>
            <w:shd w:val="clear" w:color="auto" w:fill="auto"/>
            <w:noWrap/>
            <w:vAlign w:val="center"/>
            <w:hideMark/>
          </w:tcPr>
          <w:p w14:paraId="0701159A"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4</w:t>
            </w:r>
          </w:p>
        </w:tc>
        <w:tc>
          <w:tcPr>
            <w:tcW w:w="536" w:type="pct"/>
            <w:tcBorders>
              <w:top w:val="nil"/>
              <w:left w:val="nil"/>
              <w:bottom w:val="single" w:sz="8" w:space="0" w:color="4F81BD"/>
              <w:right w:val="single" w:sz="8" w:space="0" w:color="4F81BD"/>
            </w:tcBorders>
            <w:shd w:val="clear" w:color="auto" w:fill="auto"/>
            <w:noWrap/>
            <w:vAlign w:val="center"/>
            <w:hideMark/>
          </w:tcPr>
          <w:p w14:paraId="4FA677C8"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404E0E65"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USD</w:t>
            </w:r>
          </w:p>
        </w:tc>
      </w:tr>
      <w:tr w:rsidR="006B2D7D" w:rsidRPr="006B2D7D" w14:paraId="76468D26" w14:textId="77777777" w:rsidTr="00445180">
        <w:trPr>
          <w:trHeight w:val="46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2B21DF47"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USD_5</w:t>
            </w:r>
          </w:p>
        </w:tc>
        <w:tc>
          <w:tcPr>
            <w:tcW w:w="1028" w:type="pct"/>
            <w:tcBorders>
              <w:top w:val="nil"/>
              <w:left w:val="nil"/>
              <w:bottom w:val="single" w:sz="8" w:space="0" w:color="4F81BD"/>
              <w:right w:val="single" w:sz="8" w:space="0" w:color="4F81BD"/>
            </w:tcBorders>
            <w:shd w:val="clear" w:color="auto" w:fill="auto"/>
            <w:noWrap/>
            <w:vAlign w:val="center"/>
            <w:hideMark/>
          </w:tcPr>
          <w:p w14:paraId="4D7F7983"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 xml:space="preserve">Koncesionalni EUR </w:t>
            </w:r>
          </w:p>
        </w:tc>
        <w:tc>
          <w:tcPr>
            <w:tcW w:w="559" w:type="pct"/>
            <w:tcBorders>
              <w:top w:val="nil"/>
              <w:left w:val="nil"/>
              <w:bottom w:val="single" w:sz="8" w:space="0" w:color="4F81BD"/>
              <w:right w:val="single" w:sz="8" w:space="0" w:color="4F81BD"/>
            </w:tcBorders>
            <w:shd w:val="clear" w:color="auto" w:fill="auto"/>
            <w:noWrap/>
            <w:vAlign w:val="center"/>
            <w:hideMark/>
          </w:tcPr>
          <w:p w14:paraId="2E6584D0"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Varijabilni</w:t>
            </w:r>
          </w:p>
        </w:tc>
        <w:tc>
          <w:tcPr>
            <w:tcW w:w="715" w:type="pct"/>
            <w:tcBorders>
              <w:top w:val="nil"/>
              <w:left w:val="nil"/>
              <w:bottom w:val="single" w:sz="8" w:space="0" w:color="4F81BD"/>
              <w:right w:val="single" w:sz="8" w:space="0" w:color="4F81BD"/>
            </w:tcBorders>
            <w:shd w:val="clear" w:color="auto" w:fill="auto"/>
            <w:noWrap/>
            <w:vAlign w:val="center"/>
            <w:hideMark/>
          </w:tcPr>
          <w:p w14:paraId="07A4DA76"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Koncesionalni</w:t>
            </w:r>
          </w:p>
        </w:tc>
        <w:tc>
          <w:tcPr>
            <w:tcW w:w="536" w:type="pct"/>
            <w:tcBorders>
              <w:top w:val="nil"/>
              <w:left w:val="nil"/>
              <w:bottom w:val="single" w:sz="8" w:space="0" w:color="4F81BD"/>
              <w:right w:val="single" w:sz="8" w:space="0" w:color="4F81BD"/>
            </w:tcBorders>
            <w:shd w:val="clear" w:color="auto" w:fill="auto"/>
            <w:noWrap/>
            <w:vAlign w:val="center"/>
            <w:hideMark/>
          </w:tcPr>
          <w:p w14:paraId="5A5D8B80"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18</w:t>
            </w:r>
          </w:p>
        </w:tc>
        <w:tc>
          <w:tcPr>
            <w:tcW w:w="536" w:type="pct"/>
            <w:tcBorders>
              <w:top w:val="nil"/>
              <w:left w:val="nil"/>
              <w:bottom w:val="single" w:sz="8" w:space="0" w:color="4F81BD"/>
              <w:right w:val="single" w:sz="8" w:space="0" w:color="4F81BD"/>
            </w:tcBorders>
            <w:shd w:val="clear" w:color="auto" w:fill="auto"/>
            <w:noWrap/>
            <w:vAlign w:val="center"/>
            <w:hideMark/>
          </w:tcPr>
          <w:p w14:paraId="51BD94E6"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4</w:t>
            </w:r>
          </w:p>
        </w:tc>
        <w:tc>
          <w:tcPr>
            <w:tcW w:w="536" w:type="pct"/>
            <w:tcBorders>
              <w:top w:val="nil"/>
              <w:left w:val="nil"/>
              <w:bottom w:val="single" w:sz="8" w:space="0" w:color="4F81BD"/>
              <w:right w:val="single" w:sz="8" w:space="0" w:color="4F81BD"/>
            </w:tcBorders>
            <w:shd w:val="clear" w:color="auto" w:fill="auto"/>
            <w:noWrap/>
            <w:vAlign w:val="center"/>
            <w:hideMark/>
          </w:tcPr>
          <w:p w14:paraId="71062EDE"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1540E965"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EUR</w:t>
            </w:r>
          </w:p>
        </w:tc>
      </w:tr>
      <w:tr w:rsidR="006B2D7D" w:rsidRPr="006B2D7D" w14:paraId="39F20C9E" w14:textId="77777777" w:rsidTr="00445180">
        <w:trPr>
          <w:trHeight w:val="31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0BA1D342"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USD_6</w:t>
            </w:r>
          </w:p>
        </w:tc>
        <w:tc>
          <w:tcPr>
            <w:tcW w:w="1028" w:type="pct"/>
            <w:tcBorders>
              <w:top w:val="nil"/>
              <w:left w:val="nil"/>
              <w:bottom w:val="single" w:sz="8" w:space="0" w:color="4F81BD"/>
              <w:right w:val="single" w:sz="8" w:space="0" w:color="4F81BD"/>
            </w:tcBorders>
            <w:shd w:val="clear" w:color="auto" w:fill="auto"/>
            <w:noWrap/>
            <w:vAlign w:val="center"/>
            <w:hideMark/>
          </w:tcPr>
          <w:p w14:paraId="5A32468B"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 xml:space="preserve">IMF EFF USD </w:t>
            </w:r>
          </w:p>
        </w:tc>
        <w:tc>
          <w:tcPr>
            <w:tcW w:w="559" w:type="pct"/>
            <w:tcBorders>
              <w:top w:val="nil"/>
              <w:left w:val="nil"/>
              <w:bottom w:val="single" w:sz="8" w:space="0" w:color="4F81BD"/>
              <w:right w:val="single" w:sz="8" w:space="0" w:color="4F81BD"/>
            </w:tcBorders>
            <w:shd w:val="clear" w:color="auto" w:fill="auto"/>
            <w:noWrap/>
            <w:vAlign w:val="center"/>
            <w:hideMark/>
          </w:tcPr>
          <w:p w14:paraId="55C92BD8"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Varijabilni</w:t>
            </w:r>
          </w:p>
        </w:tc>
        <w:tc>
          <w:tcPr>
            <w:tcW w:w="715" w:type="pct"/>
            <w:tcBorders>
              <w:top w:val="nil"/>
              <w:left w:val="nil"/>
              <w:bottom w:val="single" w:sz="8" w:space="0" w:color="4F81BD"/>
              <w:right w:val="single" w:sz="8" w:space="0" w:color="4F81BD"/>
            </w:tcBorders>
            <w:shd w:val="clear" w:color="auto" w:fill="auto"/>
            <w:noWrap/>
            <w:vAlign w:val="center"/>
            <w:hideMark/>
          </w:tcPr>
          <w:p w14:paraId="21A3E625"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Koncesionalni</w:t>
            </w:r>
          </w:p>
        </w:tc>
        <w:tc>
          <w:tcPr>
            <w:tcW w:w="536" w:type="pct"/>
            <w:tcBorders>
              <w:top w:val="nil"/>
              <w:left w:val="nil"/>
              <w:bottom w:val="single" w:sz="8" w:space="0" w:color="4F81BD"/>
              <w:right w:val="single" w:sz="8" w:space="0" w:color="4F81BD"/>
            </w:tcBorders>
            <w:shd w:val="clear" w:color="auto" w:fill="auto"/>
            <w:noWrap/>
            <w:vAlign w:val="center"/>
            <w:hideMark/>
          </w:tcPr>
          <w:p w14:paraId="27C0E9C4"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10</w:t>
            </w:r>
          </w:p>
        </w:tc>
        <w:tc>
          <w:tcPr>
            <w:tcW w:w="536" w:type="pct"/>
            <w:tcBorders>
              <w:top w:val="nil"/>
              <w:left w:val="nil"/>
              <w:bottom w:val="single" w:sz="8" w:space="0" w:color="4F81BD"/>
              <w:right w:val="single" w:sz="8" w:space="0" w:color="4F81BD"/>
            </w:tcBorders>
            <w:shd w:val="clear" w:color="auto" w:fill="auto"/>
            <w:noWrap/>
            <w:vAlign w:val="center"/>
            <w:hideMark/>
          </w:tcPr>
          <w:p w14:paraId="2ED4D341"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4</w:t>
            </w:r>
          </w:p>
        </w:tc>
        <w:tc>
          <w:tcPr>
            <w:tcW w:w="536" w:type="pct"/>
            <w:tcBorders>
              <w:top w:val="nil"/>
              <w:left w:val="nil"/>
              <w:bottom w:val="single" w:sz="8" w:space="0" w:color="4F81BD"/>
              <w:right w:val="single" w:sz="8" w:space="0" w:color="4F81BD"/>
            </w:tcBorders>
            <w:shd w:val="clear" w:color="auto" w:fill="auto"/>
            <w:noWrap/>
            <w:vAlign w:val="center"/>
            <w:hideMark/>
          </w:tcPr>
          <w:p w14:paraId="35B9304B"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1C7E7242"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USD</w:t>
            </w:r>
          </w:p>
        </w:tc>
      </w:tr>
      <w:tr w:rsidR="006B2D7D" w:rsidRPr="006B2D7D" w14:paraId="075C3D5C" w14:textId="77777777" w:rsidTr="00445180">
        <w:trPr>
          <w:trHeight w:val="31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15DADD8C"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USD_7</w:t>
            </w:r>
          </w:p>
        </w:tc>
        <w:tc>
          <w:tcPr>
            <w:tcW w:w="1028" w:type="pct"/>
            <w:tcBorders>
              <w:top w:val="nil"/>
              <w:left w:val="nil"/>
              <w:bottom w:val="single" w:sz="8" w:space="0" w:color="4F81BD"/>
              <w:right w:val="single" w:sz="8" w:space="0" w:color="4F81BD"/>
            </w:tcBorders>
            <w:shd w:val="clear" w:color="auto" w:fill="auto"/>
            <w:noWrap/>
            <w:vAlign w:val="center"/>
            <w:hideMark/>
          </w:tcPr>
          <w:p w14:paraId="0871F6AA"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IMF RFI USD</w:t>
            </w:r>
          </w:p>
        </w:tc>
        <w:tc>
          <w:tcPr>
            <w:tcW w:w="559" w:type="pct"/>
            <w:tcBorders>
              <w:top w:val="nil"/>
              <w:left w:val="nil"/>
              <w:bottom w:val="single" w:sz="8" w:space="0" w:color="4F81BD"/>
              <w:right w:val="single" w:sz="8" w:space="0" w:color="4F81BD"/>
            </w:tcBorders>
            <w:shd w:val="clear" w:color="auto" w:fill="auto"/>
            <w:noWrap/>
            <w:vAlign w:val="center"/>
            <w:hideMark/>
          </w:tcPr>
          <w:p w14:paraId="17109115"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Varijabilni</w:t>
            </w:r>
          </w:p>
        </w:tc>
        <w:tc>
          <w:tcPr>
            <w:tcW w:w="715" w:type="pct"/>
            <w:tcBorders>
              <w:top w:val="nil"/>
              <w:left w:val="nil"/>
              <w:bottom w:val="single" w:sz="8" w:space="0" w:color="4F81BD"/>
              <w:right w:val="single" w:sz="8" w:space="0" w:color="4F81BD"/>
            </w:tcBorders>
            <w:shd w:val="clear" w:color="auto" w:fill="auto"/>
            <w:noWrap/>
            <w:vAlign w:val="center"/>
            <w:hideMark/>
          </w:tcPr>
          <w:p w14:paraId="719A8461"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Koncesionalni</w:t>
            </w:r>
          </w:p>
        </w:tc>
        <w:tc>
          <w:tcPr>
            <w:tcW w:w="536" w:type="pct"/>
            <w:tcBorders>
              <w:top w:val="nil"/>
              <w:left w:val="nil"/>
              <w:bottom w:val="single" w:sz="8" w:space="0" w:color="4F81BD"/>
              <w:right w:val="single" w:sz="8" w:space="0" w:color="4F81BD"/>
            </w:tcBorders>
            <w:shd w:val="clear" w:color="auto" w:fill="auto"/>
            <w:noWrap/>
            <w:vAlign w:val="center"/>
            <w:hideMark/>
          </w:tcPr>
          <w:p w14:paraId="4FD56E74"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5</w:t>
            </w:r>
          </w:p>
        </w:tc>
        <w:tc>
          <w:tcPr>
            <w:tcW w:w="536" w:type="pct"/>
            <w:tcBorders>
              <w:top w:val="nil"/>
              <w:left w:val="nil"/>
              <w:bottom w:val="single" w:sz="8" w:space="0" w:color="4F81BD"/>
              <w:right w:val="single" w:sz="8" w:space="0" w:color="4F81BD"/>
            </w:tcBorders>
            <w:shd w:val="clear" w:color="auto" w:fill="auto"/>
            <w:noWrap/>
            <w:vAlign w:val="center"/>
            <w:hideMark/>
          </w:tcPr>
          <w:p w14:paraId="49FB43AA"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3</w:t>
            </w:r>
          </w:p>
        </w:tc>
        <w:tc>
          <w:tcPr>
            <w:tcW w:w="536" w:type="pct"/>
            <w:tcBorders>
              <w:top w:val="nil"/>
              <w:left w:val="nil"/>
              <w:bottom w:val="single" w:sz="8" w:space="0" w:color="4F81BD"/>
              <w:right w:val="single" w:sz="8" w:space="0" w:color="4F81BD"/>
            </w:tcBorders>
            <w:shd w:val="clear" w:color="auto" w:fill="auto"/>
            <w:noWrap/>
            <w:vAlign w:val="center"/>
            <w:hideMark/>
          </w:tcPr>
          <w:p w14:paraId="475F9D56"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3A23B825"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USD</w:t>
            </w:r>
          </w:p>
        </w:tc>
      </w:tr>
      <w:tr w:rsidR="006B2D7D" w:rsidRPr="006B2D7D" w14:paraId="2E76D023" w14:textId="77777777" w:rsidTr="00445180">
        <w:trPr>
          <w:trHeight w:val="31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78AAA4B2"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BAM_9</w:t>
            </w:r>
          </w:p>
        </w:tc>
        <w:tc>
          <w:tcPr>
            <w:tcW w:w="1028" w:type="pct"/>
            <w:tcBorders>
              <w:top w:val="nil"/>
              <w:left w:val="nil"/>
              <w:bottom w:val="single" w:sz="8" w:space="0" w:color="4F81BD"/>
              <w:right w:val="single" w:sz="8" w:space="0" w:color="4F81BD"/>
            </w:tcBorders>
            <w:shd w:val="clear" w:color="auto" w:fill="auto"/>
            <w:noWrap/>
            <w:vAlign w:val="center"/>
            <w:hideMark/>
          </w:tcPr>
          <w:p w14:paraId="457D3C4C"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 xml:space="preserve">T zapis </w:t>
            </w:r>
          </w:p>
        </w:tc>
        <w:tc>
          <w:tcPr>
            <w:tcW w:w="559" w:type="pct"/>
            <w:tcBorders>
              <w:top w:val="nil"/>
              <w:left w:val="nil"/>
              <w:bottom w:val="single" w:sz="8" w:space="0" w:color="4F81BD"/>
              <w:right w:val="single" w:sz="8" w:space="0" w:color="4F81BD"/>
            </w:tcBorders>
            <w:shd w:val="clear" w:color="auto" w:fill="auto"/>
            <w:noWrap/>
            <w:vAlign w:val="center"/>
            <w:hideMark/>
          </w:tcPr>
          <w:p w14:paraId="707EFE5B"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52F0E597"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7EA4A77F"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1</w:t>
            </w:r>
          </w:p>
        </w:tc>
        <w:tc>
          <w:tcPr>
            <w:tcW w:w="536" w:type="pct"/>
            <w:tcBorders>
              <w:top w:val="nil"/>
              <w:left w:val="nil"/>
              <w:bottom w:val="single" w:sz="8" w:space="0" w:color="4F81BD"/>
              <w:right w:val="single" w:sz="8" w:space="0" w:color="4F81BD"/>
            </w:tcBorders>
            <w:shd w:val="clear" w:color="auto" w:fill="auto"/>
            <w:noWrap/>
            <w:vAlign w:val="center"/>
            <w:hideMark/>
          </w:tcPr>
          <w:p w14:paraId="0DBAA495"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0</w:t>
            </w:r>
          </w:p>
        </w:tc>
        <w:tc>
          <w:tcPr>
            <w:tcW w:w="536" w:type="pct"/>
            <w:tcBorders>
              <w:top w:val="nil"/>
              <w:left w:val="nil"/>
              <w:bottom w:val="single" w:sz="8" w:space="0" w:color="4F81BD"/>
              <w:right w:val="single" w:sz="8" w:space="0" w:color="4F81BD"/>
            </w:tcBorders>
            <w:shd w:val="clear" w:color="auto" w:fill="auto"/>
            <w:noWrap/>
            <w:vAlign w:val="center"/>
            <w:hideMark/>
          </w:tcPr>
          <w:p w14:paraId="4C489BE7"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Domaća</w:t>
            </w:r>
          </w:p>
        </w:tc>
        <w:tc>
          <w:tcPr>
            <w:tcW w:w="536" w:type="pct"/>
            <w:tcBorders>
              <w:top w:val="nil"/>
              <w:left w:val="nil"/>
              <w:bottom w:val="single" w:sz="8" w:space="0" w:color="4F81BD"/>
              <w:right w:val="single" w:sz="8" w:space="0" w:color="4F81BD"/>
            </w:tcBorders>
            <w:shd w:val="clear" w:color="auto" w:fill="auto"/>
            <w:noWrap/>
            <w:vAlign w:val="center"/>
            <w:hideMark/>
          </w:tcPr>
          <w:p w14:paraId="1891DA77"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BAM</w:t>
            </w:r>
          </w:p>
        </w:tc>
      </w:tr>
      <w:tr w:rsidR="006B2D7D" w:rsidRPr="006B2D7D" w14:paraId="7ED641EE" w14:textId="77777777" w:rsidTr="00445180">
        <w:trPr>
          <w:trHeight w:val="46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1F1B9E71"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BAM_11</w:t>
            </w:r>
          </w:p>
        </w:tc>
        <w:tc>
          <w:tcPr>
            <w:tcW w:w="1028" w:type="pct"/>
            <w:tcBorders>
              <w:top w:val="nil"/>
              <w:left w:val="nil"/>
              <w:bottom w:val="single" w:sz="8" w:space="0" w:color="4F81BD"/>
              <w:right w:val="single" w:sz="8" w:space="0" w:color="4F81BD"/>
            </w:tcBorders>
            <w:shd w:val="clear" w:color="auto" w:fill="auto"/>
            <w:noWrap/>
            <w:vAlign w:val="center"/>
            <w:hideMark/>
          </w:tcPr>
          <w:p w14:paraId="019A12B9"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 xml:space="preserve">2-3y T obveznica </w:t>
            </w:r>
          </w:p>
        </w:tc>
        <w:tc>
          <w:tcPr>
            <w:tcW w:w="559" w:type="pct"/>
            <w:tcBorders>
              <w:top w:val="nil"/>
              <w:left w:val="nil"/>
              <w:bottom w:val="single" w:sz="8" w:space="0" w:color="4F81BD"/>
              <w:right w:val="single" w:sz="8" w:space="0" w:color="4F81BD"/>
            </w:tcBorders>
            <w:shd w:val="clear" w:color="auto" w:fill="auto"/>
            <w:noWrap/>
            <w:vAlign w:val="center"/>
            <w:hideMark/>
          </w:tcPr>
          <w:p w14:paraId="0ECCE321"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65322B00"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50A88550"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3</w:t>
            </w:r>
          </w:p>
        </w:tc>
        <w:tc>
          <w:tcPr>
            <w:tcW w:w="536" w:type="pct"/>
            <w:tcBorders>
              <w:top w:val="nil"/>
              <w:left w:val="nil"/>
              <w:bottom w:val="single" w:sz="8" w:space="0" w:color="4F81BD"/>
              <w:right w:val="single" w:sz="8" w:space="0" w:color="4F81BD"/>
            </w:tcBorders>
            <w:shd w:val="clear" w:color="auto" w:fill="auto"/>
            <w:noWrap/>
            <w:vAlign w:val="center"/>
            <w:hideMark/>
          </w:tcPr>
          <w:p w14:paraId="6C0F3C34"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2</w:t>
            </w:r>
          </w:p>
        </w:tc>
        <w:tc>
          <w:tcPr>
            <w:tcW w:w="536" w:type="pct"/>
            <w:tcBorders>
              <w:top w:val="nil"/>
              <w:left w:val="nil"/>
              <w:bottom w:val="single" w:sz="8" w:space="0" w:color="4F81BD"/>
              <w:right w:val="single" w:sz="8" w:space="0" w:color="4F81BD"/>
            </w:tcBorders>
            <w:shd w:val="clear" w:color="auto" w:fill="auto"/>
            <w:noWrap/>
            <w:vAlign w:val="center"/>
            <w:hideMark/>
          </w:tcPr>
          <w:p w14:paraId="1F85978B"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Domaća</w:t>
            </w:r>
          </w:p>
        </w:tc>
        <w:tc>
          <w:tcPr>
            <w:tcW w:w="536" w:type="pct"/>
            <w:tcBorders>
              <w:top w:val="nil"/>
              <w:left w:val="nil"/>
              <w:bottom w:val="single" w:sz="8" w:space="0" w:color="4F81BD"/>
              <w:right w:val="single" w:sz="8" w:space="0" w:color="4F81BD"/>
            </w:tcBorders>
            <w:shd w:val="clear" w:color="auto" w:fill="auto"/>
            <w:noWrap/>
            <w:vAlign w:val="center"/>
            <w:hideMark/>
          </w:tcPr>
          <w:p w14:paraId="631384B0"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BAM</w:t>
            </w:r>
          </w:p>
        </w:tc>
      </w:tr>
      <w:tr w:rsidR="006B2D7D" w:rsidRPr="006B2D7D" w14:paraId="5E9F5F25" w14:textId="77777777" w:rsidTr="00445180">
        <w:trPr>
          <w:trHeight w:val="46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7CAC3A2C"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BAM_12</w:t>
            </w:r>
          </w:p>
        </w:tc>
        <w:tc>
          <w:tcPr>
            <w:tcW w:w="1028" w:type="pct"/>
            <w:tcBorders>
              <w:top w:val="nil"/>
              <w:left w:val="nil"/>
              <w:bottom w:val="single" w:sz="8" w:space="0" w:color="4F81BD"/>
              <w:right w:val="single" w:sz="8" w:space="0" w:color="4F81BD"/>
            </w:tcBorders>
            <w:shd w:val="clear" w:color="auto" w:fill="auto"/>
            <w:noWrap/>
            <w:vAlign w:val="center"/>
            <w:hideMark/>
          </w:tcPr>
          <w:p w14:paraId="7640ADC8"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 xml:space="preserve">5-7y T obveznica </w:t>
            </w:r>
          </w:p>
        </w:tc>
        <w:tc>
          <w:tcPr>
            <w:tcW w:w="559" w:type="pct"/>
            <w:tcBorders>
              <w:top w:val="nil"/>
              <w:left w:val="nil"/>
              <w:bottom w:val="single" w:sz="8" w:space="0" w:color="4F81BD"/>
              <w:right w:val="single" w:sz="8" w:space="0" w:color="4F81BD"/>
            </w:tcBorders>
            <w:shd w:val="clear" w:color="auto" w:fill="auto"/>
            <w:noWrap/>
            <w:vAlign w:val="center"/>
            <w:hideMark/>
          </w:tcPr>
          <w:p w14:paraId="2A57BEFA"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03465743"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3C8E6208"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6</w:t>
            </w:r>
          </w:p>
        </w:tc>
        <w:tc>
          <w:tcPr>
            <w:tcW w:w="536" w:type="pct"/>
            <w:tcBorders>
              <w:top w:val="nil"/>
              <w:left w:val="nil"/>
              <w:bottom w:val="single" w:sz="8" w:space="0" w:color="4F81BD"/>
              <w:right w:val="single" w:sz="8" w:space="0" w:color="4F81BD"/>
            </w:tcBorders>
            <w:shd w:val="clear" w:color="auto" w:fill="auto"/>
            <w:noWrap/>
            <w:vAlign w:val="center"/>
            <w:hideMark/>
          </w:tcPr>
          <w:p w14:paraId="3D53ABB2"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5</w:t>
            </w:r>
          </w:p>
        </w:tc>
        <w:tc>
          <w:tcPr>
            <w:tcW w:w="536" w:type="pct"/>
            <w:tcBorders>
              <w:top w:val="nil"/>
              <w:left w:val="nil"/>
              <w:bottom w:val="single" w:sz="8" w:space="0" w:color="4F81BD"/>
              <w:right w:val="single" w:sz="8" w:space="0" w:color="4F81BD"/>
            </w:tcBorders>
            <w:shd w:val="clear" w:color="auto" w:fill="auto"/>
            <w:noWrap/>
            <w:vAlign w:val="center"/>
            <w:hideMark/>
          </w:tcPr>
          <w:p w14:paraId="4DEE8D87"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Domaća</w:t>
            </w:r>
          </w:p>
        </w:tc>
        <w:tc>
          <w:tcPr>
            <w:tcW w:w="536" w:type="pct"/>
            <w:tcBorders>
              <w:top w:val="nil"/>
              <w:left w:val="nil"/>
              <w:bottom w:val="single" w:sz="8" w:space="0" w:color="4F81BD"/>
              <w:right w:val="single" w:sz="8" w:space="0" w:color="4F81BD"/>
            </w:tcBorders>
            <w:shd w:val="clear" w:color="auto" w:fill="auto"/>
            <w:noWrap/>
            <w:vAlign w:val="center"/>
            <w:hideMark/>
          </w:tcPr>
          <w:p w14:paraId="53B840EB"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BAM</w:t>
            </w:r>
          </w:p>
        </w:tc>
      </w:tr>
      <w:tr w:rsidR="006B2D7D" w:rsidRPr="006B2D7D" w14:paraId="61EC11DC" w14:textId="77777777" w:rsidTr="00445180">
        <w:trPr>
          <w:trHeight w:val="46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2311FE3D"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BAM_16</w:t>
            </w:r>
          </w:p>
        </w:tc>
        <w:tc>
          <w:tcPr>
            <w:tcW w:w="1028" w:type="pct"/>
            <w:tcBorders>
              <w:top w:val="nil"/>
              <w:left w:val="nil"/>
              <w:bottom w:val="single" w:sz="8" w:space="0" w:color="4F81BD"/>
              <w:right w:val="single" w:sz="8" w:space="0" w:color="4F81BD"/>
            </w:tcBorders>
            <w:shd w:val="clear" w:color="auto" w:fill="auto"/>
            <w:noWrap/>
            <w:vAlign w:val="center"/>
            <w:hideMark/>
          </w:tcPr>
          <w:p w14:paraId="04531DF1"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10y T obveznica</w:t>
            </w:r>
          </w:p>
        </w:tc>
        <w:tc>
          <w:tcPr>
            <w:tcW w:w="559" w:type="pct"/>
            <w:tcBorders>
              <w:top w:val="nil"/>
              <w:left w:val="nil"/>
              <w:bottom w:val="single" w:sz="8" w:space="0" w:color="4F81BD"/>
              <w:right w:val="single" w:sz="8" w:space="0" w:color="4F81BD"/>
            </w:tcBorders>
            <w:shd w:val="clear" w:color="auto" w:fill="auto"/>
            <w:noWrap/>
            <w:vAlign w:val="center"/>
            <w:hideMark/>
          </w:tcPr>
          <w:p w14:paraId="03B04760"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1CAED06B"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797E6897"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10</w:t>
            </w:r>
          </w:p>
        </w:tc>
        <w:tc>
          <w:tcPr>
            <w:tcW w:w="536" w:type="pct"/>
            <w:tcBorders>
              <w:top w:val="nil"/>
              <w:left w:val="nil"/>
              <w:bottom w:val="single" w:sz="8" w:space="0" w:color="4F81BD"/>
              <w:right w:val="single" w:sz="8" w:space="0" w:color="4F81BD"/>
            </w:tcBorders>
            <w:shd w:val="clear" w:color="auto" w:fill="auto"/>
            <w:noWrap/>
            <w:vAlign w:val="center"/>
            <w:hideMark/>
          </w:tcPr>
          <w:p w14:paraId="017F7341"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9</w:t>
            </w:r>
          </w:p>
        </w:tc>
        <w:tc>
          <w:tcPr>
            <w:tcW w:w="536" w:type="pct"/>
            <w:tcBorders>
              <w:top w:val="nil"/>
              <w:left w:val="nil"/>
              <w:bottom w:val="single" w:sz="8" w:space="0" w:color="4F81BD"/>
              <w:right w:val="single" w:sz="8" w:space="0" w:color="4F81BD"/>
            </w:tcBorders>
            <w:shd w:val="clear" w:color="auto" w:fill="auto"/>
            <w:noWrap/>
            <w:vAlign w:val="center"/>
            <w:hideMark/>
          </w:tcPr>
          <w:p w14:paraId="1175249C"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Domaća</w:t>
            </w:r>
          </w:p>
        </w:tc>
        <w:tc>
          <w:tcPr>
            <w:tcW w:w="536" w:type="pct"/>
            <w:tcBorders>
              <w:top w:val="nil"/>
              <w:left w:val="nil"/>
              <w:bottom w:val="single" w:sz="8" w:space="0" w:color="4F81BD"/>
              <w:right w:val="single" w:sz="8" w:space="0" w:color="4F81BD"/>
            </w:tcBorders>
            <w:shd w:val="clear" w:color="auto" w:fill="auto"/>
            <w:noWrap/>
            <w:vAlign w:val="center"/>
            <w:hideMark/>
          </w:tcPr>
          <w:p w14:paraId="560A3DA7"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BAM</w:t>
            </w:r>
          </w:p>
        </w:tc>
      </w:tr>
      <w:tr w:rsidR="006B2D7D" w:rsidRPr="006B2D7D" w14:paraId="1125026F" w14:textId="77777777" w:rsidTr="00445180">
        <w:trPr>
          <w:trHeight w:val="420"/>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38761384"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BAM_17</w:t>
            </w:r>
          </w:p>
        </w:tc>
        <w:tc>
          <w:tcPr>
            <w:tcW w:w="1028" w:type="pct"/>
            <w:tcBorders>
              <w:top w:val="nil"/>
              <w:left w:val="nil"/>
              <w:bottom w:val="single" w:sz="8" w:space="0" w:color="4F81BD"/>
              <w:right w:val="single" w:sz="8" w:space="0" w:color="4F81BD"/>
            </w:tcBorders>
            <w:shd w:val="clear" w:color="auto" w:fill="auto"/>
            <w:noWrap/>
            <w:vAlign w:val="center"/>
            <w:hideMark/>
          </w:tcPr>
          <w:p w14:paraId="24D78CB1"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15y T obveznica</w:t>
            </w:r>
          </w:p>
        </w:tc>
        <w:tc>
          <w:tcPr>
            <w:tcW w:w="559" w:type="pct"/>
            <w:tcBorders>
              <w:top w:val="nil"/>
              <w:left w:val="nil"/>
              <w:bottom w:val="single" w:sz="8" w:space="0" w:color="4F81BD"/>
              <w:right w:val="single" w:sz="8" w:space="0" w:color="4F81BD"/>
            </w:tcBorders>
            <w:shd w:val="clear" w:color="auto" w:fill="auto"/>
            <w:noWrap/>
            <w:vAlign w:val="center"/>
            <w:hideMark/>
          </w:tcPr>
          <w:p w14:paraId="7C3D1EB1"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4FCF5593"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6012CA2F"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15</w:t>
            </w:r>
          </w:p>
        </w:tc>
        <w:tc>
          <w:tcPr>
            <w:tcW w:w="536" w:type="pct"/>
            <w:tcBorders>
              <w:top w:val="nil"/>
              <w:left w:val="nil"/>
              <w:bottom w:val="single" w:sz="8" w:space="0" w:color="4F81BD"/>
              <w:right w:val="single" w:sz="8" w:space="0" w:color="4F81BD"/>
            </w:tcBorders>
            <w:shd w:val="clear" w:color="auto" w:fill="auto"/>
            <w:noWrap/>
            <w:vAlign w:val="center"/>
            <w:hideMark/>
          </w:tcPr>
          <w:p w14:paraId="4BE3487D"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14</w:t>
            </w:r>
          </w:p>
        </w:tc>
        <w:tc>
          <w:tcPr>
            <w:tcW w:w="536" w:type="pct"/>
            <w:tcBorders>
              <w:top w:val="nil"/>
              <w:left w:val="nil"/>
              <w:bottom w:val="single" w:sz="8" w:space="0" w:color="4F81BD"/>
              <w:right w:val="single" w:sz="8" w:space="0" w:color="4F81BD"/>
            </w:tcBorders>
            <w:shd w:val="clear" w:color="auto" w:fill="auto"/>
            <w:noWrap/>
            <w:vAlign w:val="center"/>
            <w:hideMark/>
          </w:tcPr>
          <w:p w14:paraId="6960ADF6"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Domaća</w:t>
            </w:r>
          </w:p>
        </w:tc>
        <w:tc>
          <w:tcPr>
            <w:tcW w:w="536" w:type="pct"/>
            <w:tcBorders>
              <w:top w:val="nil"/>
              <w:left w:val="nil"/>
              <w:bottom w:val="single" w:sz="8" w:space="0" w:color="4F81BD"/>
              <w:right w:val="single" w:sz="8" w:space="0" w:color="4F81BD"/>
            </w:tcBorders>
            <w:shd w:val="clear" w:color="auto" w:fill="auto"/>
            <w:noWrap/>
            <w:vAlign w:val="center"/>
            <w:hideMark/>
          </w:tcPr>
          <w:p w14:paraId="3CFEAC4E"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BAM</w:t>
            </w:r>
          </w:p>
        </w:tc>
      </w:tr>
      <w:tr w:rsidR="006B2D7D" w:rsidRPr="006B2D7D" w14:paraId="72A3E09E" w14:textId="77777777" w:rsidTr="00445180">
        <w:trPr>
          <w:trHeight w:val="31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53DB047C"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USD_8</w:t>
            </w:r>
          </w:p>
        </w:tc>
        <w:tc>
          <w:tcPr>
            <w:tcW w:w="1028" w:type="pct"/>
            <w:tcBorders>
              <w:top w:val="nil"/>
              <w:left w:val="nil"/>
              <w:bottom w:val="single" w:sz="8" w:space="0" w:color="4F81BD"/>
              <w:right w:val="single" w:sz="8" w:space="0" w:color="4F81BD"/>
            </w:tcBorders>
            <w:shd w:val="clear" w:color="auto" w:fill="auto"/>
            <w:noWrap/>
            <w:vAlign w:val="center"/>
            <w:hideMark/>
          </w:tcPr>
          <w:p w14:paraId="1447F0AD"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5y Eurobond</w:t>
            </w:r>
          </w:p>
        </w:tc>
        <w:tc>
          <w:tcPr>
            <w:tcW w:w="559" w:type="pct"/>
            <w:tcBorders>
              <w:top w:val="nil"/>
              <w:left w:val="nil"/>
              <w:bottom w:val="single" w:sz="8" w:space="0" w:color="4F81BD"/>
              <w:right w:val="single" w:sz="8" w:space="0" w:color="4F81BD"/>
            </w:tcBorders>
            <w:shd w:val="clear" w:color="auto" w:fill="auto"/>
            <w:noWrap/>
            <w:vAlign w:val="center"/>
            <w:hideMark/>
          </w:tcPr>
          <w:p w14:paraId="26E8D858"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4DC063FC"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68C8A757"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5</w:t>
            </w:r>
          </w:p>
        </w:tc>
        <w:tc>
          <w:tcPr>
            <w:tcW w:w="536" w:type="pct"/>
            <w:tcBorders>
              <w:top w:val="nil"/>
              <w:left w:val="nil"/>
              <w:bottom w:val="single" w:sz="8" w:space="0" w:color="4F81BD"/>
              <w:right w:val="single" w:sz="8" w:space="0" w:color="4F81BD"/>
            </w:tcBorders>
            <w:shd w:val="clear" w:color="auto" w:fill="auto"/>
            <w:noWrap/>
            <w:vAlign w:val="center"/>
            <w:hideMark/>
          </w:tcPr>
          <w:p w14:paraId="74C8AAEA"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4</w:t>
            </w:r>
          </w:p>
        </w:tc>
        <w:tc>
          <w:tcPr>
            <w:tcW w:w="536" w:type="pct"/>
            <w:tcBorders>
              <w:top w:val="nil"/>
              <w:left w:val="nil"/>
              <w:bottom w:val="single" w:sz="8" w:space="0" w:color="4F81BD"/>
              <w:right w:val="single" w:sz="8" w:space="0" w:color="4F81BD"/>
            </w:tcBorders>
            <w:shd w:val="clear" w:color="auto" w:fill="auto"/>
            <w:noWrap/>
            <w:vAlign w:val="center"/>
            <w:hideMark/>
          </w:tcPr>
          <w:p w14:paraId="5151CBF1"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4A09BCFC"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EUR</w:t>
            </w:r>
          </w:p>
        </w:tc>
      </w:tr>
      <w:tr w:rsidR="006B2D7D" w:rsidRPr="006B2D7D" w14:paraId="7ED64B50" w14:textId="77777777" w:rsidTr="00445180">
        <w:trPr>
          <w:trHeight w:val="31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13ECFBC5"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USD_18</w:t>
            </w:r>
          </w:p>
        </w:tc>
        <w:tc>
          <w:tcPr>
            <w:tcW w:w="1028" w:type="pct"/>
            <w:tcBorders>
              <w:top w:val="nil"/>
              <w:left w:val="nil"/>
              <w:bottom w:val="single" w:sz="8" w:space="0" w:color="4F81BD"/>
              <w:right w:val="single" w:sz="8" w:space="0" w:color="4F81BD"/>
            </w:tcBorders>
            <w:shd w:val="clear" w:color="auto" w:fill="auto"/>
            <w:noWrap/>
            <w:vAlign w:val="center"/>
            <w:hideMark/>
          </w:tcPr>
          <w:p w14:paraId="05837D7A"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10Y Eurobond</w:t>
            </w:r>
          </w:p>
        </w:tc>
        <w:tc>
          <w:tcPr>
            <w:tcW w:w="559" w:type="pct"/>
            <w:tcBorders>
              <w:top w:val="nil"/>
              <w:left w:val="nil"/>
              <w:bottom w:val="single" w:sz="8" w:space="0" w:color="4F81BD"/>
              <w:right w:val="single" w:sz="8" w:space="0" w:color="4F81BD"/>
            </w:tcBorders>
            <w:shd w:val="clear" w:color="auto" w:fill="auto"/>
            <w:noWrap/>
            <w:vAlign w:val="center"/>
            <w:hideMark/>
          </w:tcPr>
          <w:p w14:paraId="20715AAF"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37B0A93E"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0F5975CF"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10</w:t>
            </w:r>
          </w:p>
        </w:tc>
        <w:tc>
          <w:tcPr>
            <w:tcW w:w="536" w:type="pct"/>
            <w:tcBorders>
              <w:top w:val="nil"/>
              <w:left w:val="nil"/>
              <w:bottom w:val="single" w:sz="8" w:space="0" w:color="4F81BD"/>
              <w:right w:val="single" w:sz="8" w:space="0" w:color="4F81BD"/>
            </w:tcBorders>
            <w:shd w:val="clear" w:color="auto" w:fill="auto"/>
            <w:noWrap/>
            <w:vAlign w:val="center"/>
            <w:hideMark/>
          </w:tcPr>
          <w:p w14:paraId="76094835"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9</w:t>
            </w:r>
          </w:p>
        </w:tc>
        <w:tc>
          <w:tcPr>
            <w:tcW w:w="536" w:type="pct"/>
            <w:tcBorders>
              <w:top w:val="nil"/>
              <w:left w:val="nil"/>
              <w:bottom w:val="single" w:sz="8" w:space="0" w:color="4F81BD"/>
              <w:right w:val="single" w:sz="8" w:space="0" w:color="4F81BD"/>
            </w:tcBorders>
            <w:shd w:val="clear" w:color="auto" w:fill="auto"/>
            <w:noWrap/>
            <w:vAlign w:val="center"/>
            <w:hideMark/>
          </w:tcPr>
          <w:p w14:paraId="5D241A6E"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4D16CD7E"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EUR</w:t>
            </w:r>
          </w:p>
        </w:tc>
      </w:tr>
      <w:tr w:rsidR="006B2D7D" w:rsidRPr="006B2D7D" w14:paraId="30BDAE77" w14:textId="77777777" w:rsidTr="00445180">
        <w:trPr>
          <w:trHeight w:val="31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7E143585"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USD_19</w:t>
            </w:r>
          </w:p>
        </w:tc>
        <w:tc>
          <w:tcPr>
            <w:tcW w:w="1028" w:type="pct"/>
            <w:tcBorders>
              <w:top w:val="nil"/>
              <w:left w:val="nil"/>
              <w:bottom w:val="single" w:sz="8" w:space="0" w:color="4F81BD"/>
              <w:right w:val="single" w:sz="8" w:space="0" w:color="4F81BD"/>
            </w:tcBorders>
            <w:shd w:val="clear" w:color="auto" w:fill="auto"/>
            <w:noWrap/>
            <w:vAlign w:val="center"/>
            <w:hideMark/>
          </w:tcPr>
          <w:p w14:paraId="68561A16"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15Y Eurobond</w:t>
            </w:r>
          </w:p>
        </w:tc>
        <w:tc>
          <w:tcPr>
            <w:tcW w:w="559" w:type="pct"/>
            <w:tcBorders>
              <w:top w:val="nil"/>
              <w:left w:val="nil"/>
              <w:bottom w:val="single" w:sz="8" w:space="0" w:color="4F81BD"/>
              <w:right w:val="single" w:sz="8" w:space="0" w:color="4F81BD"/>
            </w:tcBorders>
            <w:shd w:val="clear" w:color="auto" w:fill="auto"/>
            <w:noWrap/>
            <w:vAlign w:val="center"/>
            <w:hideMark/>
          </w:tcPr>
          <w:p w14:paraId="4A33B80D"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3D28A071"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5A9FE119"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15</w:t>
            </w:r>
          </w:p>
        </w:tc>
        <w:tc>
          <w:tcPr>
            <w:tcW w:w="536" w:type="pct"/>
            <w:tcBorders>
              <w:top w:val="nil"/>
              <w:left w:val="nil"/>
              <w:bottom w:val="single" w:sz="8" w:space="0" w:color="4F81BD"/>
              <w:right w:val="single" w:sz="8" w:space="0" w:color="4F81BD"/>
            </w:tcBorders>
            <w:shd w:val="clear" w:color="auto" w:fill="auto"/>
            <w:noWrap/>
            <w:vAlign w:val="center"/>
            <w:hideMark/>
          </w:tcPr>
          <w:p w14:paraId="428B51F3"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14</w:t>
            </w:r>
          </w:p>
        </w:tc>
        <w:tc>
          <w:tcPr>
            <w:tcW w:w="536" w:type="pct"/>
            <w:tcBorders>
              <w:top w:val="nil"/>
              <w:left w:val="nil"/>
              <w:bottom w:val="single" w:sz="8" w:space="0" w:color="4F81BD"/>
              <w:right w:val="single" w:sz="8" w:space="0" w:color="4F81BD"/>
            </w:tcBorders>
            <w:shd w:val="clear" w:color="auto" w:fill="auto"/>
            <w:noWrap/>
            <w:vAlign w:val="center"/>
            <w:hideMark/>
          </w:tcPr>
          <w:p w14:paraId="75D3B742"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562A52F7" w14:textId="77777777" w:rsidR="006B2D7D" w:rsidRPr="006B2D7D" w:rsidRDefault="006B2D7D" w:rsidP="006B2D7D">
            <w:pPr>
              <w:spacing w:after="0" w:line="240" w:lineRule="auto"/>
              <w:jc w:val="center"/>
              <w:rPr>
                <w:rFonts w:ascii="Arial Narrow" w:eastAsia="Times New Roman" w:hAnsi="Arial Narrow" w:cs="Calibri"/>
                <w:sz w:val="18"/>
                <w:szCs w:val="18"/>
                <w:lang w:val="en-US"/>
              </w:rPr>
            </w:pPr>
            <w:r w:rsidRPr="006B2D7D">
              <w:rPr>
                <w:rFonts w:ascii="Arial Narrow" w:eastAsia="Times New Roman" w:hAnsi="Arial Narrow" w:cs="Calibri"/>
                <w:sz w:val="18"/>
                <w:szCs w:val="18"/>
              </w:rPr>
              <w:t>EUR</w:t>
            </w:r>
          </w:p>
        </w:tc>
      </w:tr>
    </w:tbl>
    <w:p w14:paraId="08B3C380" w14:textId="77777777" w:rsidR="00073673" w:rsidRDefault="00073673" w:rsidP="005B5F1A">
      <w:pPr>
        <w:spacing w:after="0" w:line="240" w:lineRule="auto"/>
        <w:jc w:val="both"/>
        <w:rPr>
          <w:rFonts w:ascii="Arial" w:hAnsi="Arial" w:cs="Arial"/>
          <w:szCs w:val="24"/>
        </w:rPr>
      </w:pPr>
    </w:p>
    <w:p w14:paraId="2841A955" w14:textId="4EA0B14A" w:rsidR="00ED768D" w:rsidRDefault="00ED768D" w:rsidP="005B5F1A">
      <w:pPr>
        <w:spacing w:after="0" w:line="240" w:lineRule="auto"/>
        <w:jc w:val="both"/>
        <w:rPr>
          <w:rFonts w:ascii="Arial" w:hAnsi="Arial" w:cs="Arial"/>
          <w:szCs w:val="24"/>
        </w:rPr>
      </w:pPr>
      <w:r w:rsidRPr="00D912D1">
        <w:rPr>
          <w:rFonts w:ascii="Arial" w:hAnsi="Arial" w:cs="Arial"/>
          <w:szCs w:val="24"/>
        </w:rPr>
        <w:t>Tab</w:t>
      </w:r>
      <w:r w:rsidR="00C705CB">
        <w:rPr>
          <w:rFonts w:ascii="Arial" w:hAnsi="Arial" w:cs="Arial"/>
          <w:szCs w:val="24"/>
        </w:rPr>
        <w:t>lica</w:t>
      </w:r>
      <w:r w:rsidRPr="00D912D1">
        <w:rPr>
          <w:rFonts w:ascii="Arial" w:hAnsi="Arial" w:cs="Arial"/>
          <w:szCs w:val="24"/>
        </w:rPr>
        <w:t xml:space="preserve"> 1</w:t>
      </w:r>
      <w:r w:rsidR="005A0B60" w:rsidRPr="00073673">
        <w:rPr>
          <w:rFonts w:ascii="Arial" w:hAnsi="Arial" w:cs="Arial"/>
          <w:szCs w:val="24"/>
        </w:rPr>
        <w:t>4</w:t>
      </w:r>
      <w:r w:rsidRPr="00073673">
        <w:rPr>
          <w:rFonts w:ascii="Arial" w:hAnsi="Arial" w:cs="Arial"/>
          <w:szCs w:val="24"/>
        </w:rPr>
        <w:t xml:space="preserve">. </w:t>
      </w:r>
      <w:r w:rsidR="00C705CB">
        <w:rPr>
          <w:rFonts w:ascii="Arial" w:hAnsi="Arial" w:cs="Arial"/>
          <w:szCs w:val="24"/>
        </w:rPr>
        <w:t>Usporedba</w:t>
      </w:r>
      <w:r w:rsidRPr="00073673">
        <w:rPr>
          <w:rFonts w:ascii="Arial" w:hAnsi="Arial" w:cs="Arial"/>
          <w:szCs w:val="24"/>
        </w:rPr>
        <w:t xml:space="preserve"> trenutnih indikatora rizika </w:t>
      </w:r>
      <w:r w:rsidR="009A78EF">
        <w:rPr>
          <w:rFonts w:ascii="Arial" w:hAnsi="Arial" w:cs="Arial"/>
          <w:szCs w:val="24"/>
        </w:rPr>
        <w:t>portfelja</w:t>
      </w:r>
      <w:r w:rsidR="00B44EE9" w:rsidRPr="00073673">
        <w:rPr>
          <w:rFonts w:ascii="Arial" w:hAnsi="Arial" w:cs="Arial"/>
          <w:szCs w:val="24"/>
        </w:rPr>
        <w:t xml:space="preserve"> duga</w:t>
      </w:r>
      <w:r w:rsidRPr="00073673">
        <w:rPr>
          <w:rFonts w:ascii="Arial" w:hAnsi="Arial" w:cs="Arial"/>
          <w:szCs w:val="24"/>
        </w:rPr>
        <w:t xml:space="preserve"> i rizika izabrane strategije</w:t>
      </w:r>
    </w:p>
    <w:p w14:paraId="735FB11B" w14:textId="77777777" w:rsidR="00073673" w:rsidRPr="005B5F1A" w:rsidRDefault="00073673" w:rsidP="005B5F1A">
      <w:pPr>
        <w:spacing w:after="0" w:line="240" w:lineRule="auto"/>
        <w:jc w:val="both"/>
        <w:rPr>
          <w:rFonts w:ascii="Arial" w:hAnsi="Arial" w:cs="Arial"/>
          <w:szCs w:val="24"/>
        </w:rPr>
      </w:pPr>
    </w:p>
    <w:tbl>
      <w:tblPr>
        <w:tblW w:w="0" w:type="auto"/>
        <w:tblInd w:w="-10" w:type="dxa"/>
        <w:tblLook w:val="04A0" w:firstRow="1" w:lastRow="0" w:firstColumn="1" w:lastColumn="0" w:noHBand="0" w:noVBand="1"/>
      </w:tblPr>
      <w:tblGrid>
        <w:gridCol w:w="1740"/>
        <w:gridCol w:w="3817"/>
        <w:gridCol w:w="1260"/>
        <w:gridCol w:w="1260"/>
        <w:gridCol w:w="1256"/>
      </w:tblGrid>
      <w:tr w:rsidR="00692BDF" w:rsidRPr="00692BDF" w14:paraId="01E4A3B0" w14:textId="77777777" w:rsidTr="00445180">
        <w:trPr>
          <w:trHeight w:val="360"/>
        </w:trPr>
        <w:tc>
          <w:tcPr>
            <w:tcW w:w="0" w:type="auto"/>
            <w:gridSpan w:val="2"/>
            <w:vMerge w:val="restart"/>
            <w:tcBorders>
              <w:top w:val="single" w:sz="4" w:space="0" w:color="4F81BD" w:themeColor="accent1"/>
              <w:left w:val="single" w:sz="4" w:space="0" w:color="4F81BD" w:themeColor="accent1"/>
              <w:bottom w:val="single" w:sz="8" w:space="0" w:color="95B3D7"/>
              <w:right w:val="single" w:sz="4" w:space="0" w:color="4F81BD" w:themeColor="accent1"/>
            </w:tcBorders>
            <w:shd w:val="clear" w:color="auto" w:fill="auto"/>
            <w:noWrap/>
            <w:vAlign w:val="center"/>
            <w:hideMark/>
          </w:tcPr>
          <w:p w14:paraId="2E5154B6"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rPr>
              <w:t>Indikatori rizika</w:t>
            </w:r>
          </w:p>
        </w:tc>
        <w:tc>
          <w:tcPr>
            <w:tcW w:w="0" w:type="auto"/>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14:paraId="012BA1A3" w14:textId="6A4394FA" w:rsidR="00692BDF" w:rsidRPr="00C32F9E" w:rsidRDefault="00DA7CD0" w:rsidP="00692BDF">
            <w:pPr>
              <w:spacing w:after="0" w:line="240" w:lineRule="auto"/>
              <w:jc w:val="center"/>
              <w:rPr>
                <w:rFonts w:ascii="Arial Narrow" w:eastAsia="Times New Roman" w:hAnsi="Arial Narrow" w:cs="Calibri"/>
                <w:color w:val="000000"/>
                <w:lang w:val="en-US"/>
              </w:rPr>
            </w:pPr>
            <w:r>
              <w:rPr>
                <w:rFonts w:ascii="Arial Narrow" w:eastAsia="Times New Roman" w:hAnsi="Arial Narrow" w:cs="Calibri"/>
                <w:color w:val="000000"/>
              </w:rPr>
              <w:t>Portfelj</w:t>
            </w:r>
            <w:r w:rsidR="00692BDF" w:rsidRPr="00C32F9E">
              <w:rPr>
                <w:rFonts w:ascii="Arial Narrow" w:eastAsia="Times New Roman" w:hAnsi="Arial Narrow" w:cs="Calibri"/>
                <w:color w:val="000000"/>
              </w:rPr>
              <w:t xml:space="preserve"> duga</w:t>
            </w:r>
          </w:p>
        </w:tc>
      </w:tr>
      <w:tr w:rsidR="00692BDF" w:rsidRPr="00692BDF" w14:paraId="74072604" w14:textId="77777777" w:rsidTr="00445180">
        <w:trPr>
          <w:trHeight w:val="660"/>
        </w:trPr>
        <w:tc>
          <w:tcPr>
            <w:tcW w:w="0" w:type="auto"/>
            <w:gridSpan w:val="2"/>
            <w:vMerge/>
            <w:tcBorders>
              <w:top w:val="single" w:sz="8" w:space="0" w:color="C6D9F1"/>
              <w:left w:val="single" w:sz="4" w:space="0" w:color="4F81BD" w:themeColor="accent1"/>
              <w:bottom w:val="single" w:sz="8" w:space="0" w:color="95B3D7"/>
              <w:right w:val="single" w:sz="4" w:space="0" w:color="4F81BD" w:themeColor="accent1"/>
            </w:tcBorders>
            <w:vAlign w:val="center"/>
            <w:hideMark/>
          </w:tcPr>
          <w:p w14:paraId="3B6856A1" w14:textId="77777777" w:rsidR="00692BDF" w:rsidRPr="00C32F9E" w:rsidRDefault="00692BDF" w:rsidP="00692BDF">
            <w:pPr>
              <w:spacing w:after="0" w:line="240" w:lineRule="auto"/>
              <w:rPr>
                <w:rFonts w:ascii="Arial Narrow" w:eastAsia="Times New Roman" w:hAnsi="Arial Narrow" w:cs="Calibri"/>
                <w:color w:val="000000"/>
                <w:lang w:val="en-US"/>
              </w:rPr>
            </w:pPr>
          </w:p>
        </w:tc>
        <w:tc>
          <w:tcPr>
            <w:tcW w:w="0" w:type="auto"/>
            <w:vMerge w:val="restart"/>
            <w:tcBorders>
              <w:top w:val="single" w:sz="4" w:space="0" w:color="4F81BD" w:themeColor="accent1"/>
              <w:left w:val="single" w:sz="4" w:space="0" w:color="4F81BD" w:themeColor="accent1"/>
              <w:bottom w:val="single" w:sz="8" w:space="0" w:color="95B3D7"/>
              <w:right w:val="single" w:sz="4" w:space="0" w:color="4F81BD" w:themeColor="accent1"/>
            </w:tcBorders>
            <w:shd w:val="clear" w:color="auto" w:fill="auto"/>
            <w:noWrap/>
            <w:vAlign w:val="center"/>
            <w:hideMark/>
          </w:tcPr>
          <w:p w14:paraId="2CD02C9A"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rPr>
              <w:t>2020. godina</w:t>
            </w:r>
          </w:p>
        </w:tc>
        <w:tc>
          <w:tcPr>
            <w:tcW w:w="0" w:type="auto"/>
            <w:vMerge w:val="restart"/>
            <w:tcBorders>
              <w:top w:val="single" w:sz="4" w:space="0" w:color="4F81BD" w:themeColor="accent1"/>
              <w:left w:val="single" w:sz="4" w:space="0" w:color="4F81BD" w:themeColor="accent1"/>
              <w:bottom w:val="single" w:sz="8" w:space="0" w:color="95B3D7"/>
              <w:right w:val="single" w:sz="4" w:space="0" w:color="4F81BD" w:themeColor="accent1"/>
            </w:tcBorders>
            <w:shd w:val="clear" w:color="auto" w:fill="auto"/>
            <w:noWrap/>
            <w:vAlign w:val="center"/>
            <w:hideMark/>
          </w:tcPr>
          <w:p w14:paraId="494BCD76"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rPr>
              <w:t>2021. godina</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14:paraId="7C160693"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rPr>
              <w:t>Izabrana strategija</w:t>
            </w:r>
          </w:p>
        </w:tc>
      </w:tr>
      <w:tr w:rsidR="00692BDF" w:rsidRPr="00692BDF" w14:paraId="1497349C" w14:textId="77777777" w:rsidTr="00445180">
        <w:trPr>
          <w:trHeight w:val="675"/>
        </w:trPr>
        <w:tc>
          <w:tcPr>
            <w:tcW w:w="0" w:type="auto"/>
            <w:gridSpan w:val="2"/>
            <w:vMerge/>
            <w:tcBorders>
              <w:top w:val="single" w:sz="8" w:space="0" w:color="C6D9F1"/>
              <w:left w:val="single" w:sz="4" w:space="0" w:color="4F81BD" w:themeColor="accent1"/>
              <w:bottom w:val="single" w:sz="4" w:space="0" w:color="4F81BD" w:themeColor="accent1"/>
              <w:right w:val="single" w:sz="4" w:space="0" w:color="4F81BD" w:themeColor="accent1"/>
            </w:tcBorders>
            <w:vAlign w:val="center"/>
            <w:hideMark/>
          </w:tcPr>
          <w:p w14:paraId="514A67F4" w14:textId="77777777" w:rsidR="00692BDF" w:rsidRPr="00C32F9E" w:rsidRDefault="00692BDF" w:rsidP="00692BDF">
            <w:pPr>
              <w:spacing w:after="0" w:line="240" w:lineRule="auto"/>
              <w:rPr>
                <w:rFonts w:ascii="Arial Narrow" w:eastAsia="Times New Roman" w:hAnsi="Arial Narrow" w:cs="Calibri"/>
                <w:color w:val="000000"/>
                <w:lang w:val="en-US"/>
              </w:rPr>
            </w:pPr>
          </w:p>
        </w:tc>
        <w:tc>
          <w:tcPr>
            <w:tcW w:w="0" w:type="auto"/>
            <w:vMerge/>
            <w:tcBorders>
              <w:top w:val="nil"/>
              <w:left w:val="single" w:sz="4" w:space="0" w:color="4F81BD" w:themeColor="accent1"/>
              <w:bottom w:val="single" w:sz="4" w:space="0" w:color="4F81BD" w:themeColor="accent1"/>
              <w:right w:val="single" w:sz="4" w:space="0" w:color="4F81BD" w:themeColor="accent1"/>
            </w:tcBorders>
            <w:vAlign w:val="center"/>
            <w:hideMark/>
          </w:tcPr>
          <w:p w14:paraId="2E82E943" w14:textId="77777777" w:rsidR="00692BDF" w:rsidRPr="00C32F9E" w:rsidRDefault="00692BDF" w:rsidP="00692BDF">
            <w:pPr>
              <w:spacing w:after="0" w:line="240" w:lineRule="auto"/>
              <w:rPr>
                <w:rFonts w:ascii="Arial Narrow" w:eastAsia="Times New Roman" w:hAnsi="Arial Narrow" w:cs="Calibri"/>
                <w:color w:val="000000"/>
                <w:lang w:val="en-US"/>
              </w:rPr>
            </w:pPr>
          </w:p>
        </w:tc>
        <w:tc>
          <w:tcPr>
            <w:tcW w:w="0" w:type="auto"/>
            <w:vMerge/>
            <w:tcBorders>
              <w:top w:val="nil"/>
              <w:left w:val="single" w:sz="4" w:space="0" w:color="4F81BD" w:themeColor="accent1"/>
              <w:bottom w:val="single" w:sz="4" w:space="0" w:color="4F81BD" w:themeColor="accent1"/>
              <w:right w:val="single" w:sz="4" w:space="0" w:color="4F81BD" w:themeColor="accent1"/>
            </w:tcBorders>
            <w:vAlign w:val="center"/>
            <w:hideMark/>
          </w:tcPr>
          <w:p w14:paraId="6F3B7F36" w14:textId="77777777" w:rsidR="00692BDF" w:rsidRPr="00C32F9E" w:rsidRDefault="00692BDF" w:rsidP="00692BDF">
            <w:pPr>
              <w:spacing w:after="0" w:line="240" w:lineRule="auto"/>
              <w:rPr>
                <w:rFonts w:ascii="Arial Narrow" w:eastAsia="Times New Roman" w:hAnsi="Arial Narrow" w:cs="Calibri"/>
                <w:color w:val="000000"/>
                <w:lang w:val="en-US"/>
              </w:rPr>
            </w:pP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14:paraId="588C2C95"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rPr>
              <w:t>kraj 2024. godine</w:t>
            </w:r>
          </w:p>
        </w:tc>
      </w:tr>
      <w:tr w:rsidR="00692BDF" w:rsidRPr="00692BDF" w14:paraId="176ECC0F" w14:textId="77777777" w:rsidTr="00445180">
        <w:trPr>
          <w:trHeight w:val="330"/>
        </w:trPr>
        <w:tc>
          <w:tcPr>
            <w:tcW w:w="0" w:type="auto"/>
            <w:gridSpan w:val="2"/>
            <w:tcBorders>
              <w:top w:val="single" w:sz="4" w:space="0" w:color="4F81BD" w:themeColor="accent1"/>
              <w:left w:val="single" w:sz="4" w:space="0" w:color="4F81BD" w:themeColor="accent1"/>
              <w:bottom w:val="nil"/>
              <w:right w:val="single" w:sz="4" w:space="0" w:color="4F81BD" w:themeColor="accent1"/>
            </w:tcBorders>
            <w:shd w:val="clear" w:color="auto" w:fill="auto"/>
            <w:noWrap/>
            <w:vAlign w:val="center"/>
            <w:hideMark/>
          </w:tcPr>
          <w:p w14:paraId="07CA0E68" w14:textId="77777777" w:rsidR="00692BDF" w:rsidRPr="00C32F9E" w:rsidRDefault="00692BDF" w:rsidP="00692BDF">
            <w:pPr>
              <w:spacing w:after="0" w:line="240" w:lineRule="auto"/>
              <w:rPr>
                <w:rFonts w:ascii="Arial Narrow" w:eastAsia="Times New Roman" w:hAnsi="Arial Narrow" w:cs="Calibri"/>
                <w:color w:val="000000"/>
                <w:lang w:val="en-US"/>
              </w:rPr>
            </w:pPr>
            <w:r w:rsidRPr="00C32F9E">
              <w:rPr>
                <w:rFonts w:ascii="Arial Narrow" w:eastAsia="Times New Roman" w:hAnsi="Arial Narrow" w:cs="Calibri"/>
                <w:color w:val="000000"/>
              </w:rPr>
              <w:t>Nominalni dug (%  BDP-a)</w:t>
            </w:r>
          </w:p>
        </w:tc>
        <w:tc>
          <w:tcPr>
            <w:tcW w:w="0" w:type="auto"/>
            <w:tcBorders>
              <w:top w:val="single" w:sz="4" w:space="0" w:color="4F81BD" w:themeColor="accent1"/>
              <w:left w:val="single" w:sz="4" w:space="0" w:color="4F81BD" w:themeColor="accent1"/>
              <w:bottom w:val="nil"/>
              <w:right w:val="nil"/>
            </w:tcBorders>
            <w:shd w:val="clear" w:color="auto" w:fill="auto"/>
            <w:vAlign w:val="center"/>
            <w:hideMark/>
          </w:tcPr>
          <w:p w14:paraId="6D975510"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rPr>
              <w:t>26,4</w:t>
            </w:r>
          </w:p>
        </w:tc>
        <w:tc>
          <w:tcPr>
            <w:tcW w:w="0" w:type="auto"/>
            <w:tcBorders>
              <w:top w:val="single" w:sz="4" w:space="0" w:color="4F81BD" w:themeColor="accent1"/>
              <w:left w:val="nil"/>
              <w:bottom w:val="nil"/>
              <w:right w:val="nil"/>
            </w:tcBorders>
            <w:shd w:val="clear" w:color="auto" w:fill="auto"/>
            <w:noWrap/>
            <w:vAlign w:val="center"/>
            <w:hideMark/>
          </w:tcPr>
          <w:p w14:paraId="61A74A3C"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lang w:val="en-US"/>
              </w:rPr>
              <w:t>26,8</w:t>
            </w:r>
          </w:p>
        </w:tc>
        <w:tc>
          <w:tcPr>
            <w:tcW w:w="0" w:type="auto"/>
            <w:tcBorders>
              <w:top w:val="single" w:sz="4" w:space="0" w:color="4F81BD" w:themeColor="accent1"/>
              <w:left w:val="nil"/>
              <w:bottom w:val="nil"/>
              <w:right w:val="single" w:sz="4" w:space="0" w:color="4F81BD" w:themeColor="accent1"/>
            </w:tcBorders>
            <w:shd w:val="clear" w:color="auto" w:fill="auto"/>
            <w:vAlign w:val="center"/>
            <w:hideMark/>
          </w:tcPr>
          <w:p w14:paraId="69D7D0B6" w14:textId="5C2A4DFE" w:rsidR="007F00B5" w:rsidRPr="00C32F9E" w:rsidRDefault="007F00B5">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lang w:val="en-US"/>
              </w:rPr>
              <w:t>24,5</w:t>
            </w:r>
          </w:p>
        </w:tc>
      </w:tr>
      <w:tr w:rsidR="00692BDF" w:rsidRPr="00692BDF" w14:paraId="335EC8BD" w14:textId="77777777" w:rsidTr="00445180">
        <w:trPr>
          <w:trHeight w:val="330"/>
        </w:trPr>
        <w:tc>
          <w:tcPr>
            <w:tcW w:w="0" w:type="auto"/>
            <w:gridSpan w:val="2"/>
            <w:tcBorders>
              <w:top w:val="nil"/>
              <w:left w:val="single" w:sz="4" w:space="0" w:color="4F81BD" w:themeColor="accent1"/>
              <w:bottom w:val="nil"/>
              <w:right w:val="single" w:sz="4" w:space="0" w:color="4F81BD" w:themeColor="accent1"/>
            </w:tcBorders>
            <w:shd w:val="clear" w:color="auto" w:fill="auto"/>
            <w:noWrap/>
            <w:vAlign w:val="center"/>
            <w:hideMark/>
          </w:tcPr>
          <w:p w14:paraId="10970B2F" w14:textId="5D13D048" w:rsidR="00692BDF" w:rsidRPr="00C32F9E" w:rsidRDefault="00692BDF" w:rsidP="00692BDF">
            <w:pPr>
              <w:spacing w:after="0" w:line="240" w:lineRule="auto"/>
              <w:rPr>
                <w:rFonts w:ascii="Arial Narrow" w:eastAsia="Times New Roman" w:hAnsi="Arial Narrow" w:cs="Calibri"/>
                <w:color w:val="000000"/>
                <w:lang w:val="en-US"/>
              </w:rPr>
            </w:pPr>
            <w:r w:rsidRPr="00C32F9E">
              <w:rPr>
                <w:rFonts w:ascii="Arial Narrow" w:eastAsia="Times New Roman" w:hAnsi="Arial Narrow" w:cs="Calibri"/>
                <w:color w:val="000000"/>
              </w:rPr>
              <w:t>Sadašnja vrijednost (% BDP-a)</w:t>
            </w:r>
          </w:p>
        </w:tc>
        <w:tc>
          <w:tcPr>
            <w:tcW w:w="0" w:type="auto"/>
            <w:tcBorders>
              <w:top w:val="nil"/>
              <w:left w:val="single" w:sz="4" w:space="0" w:color="4F81BD" w:themeColor="accent1"/>
              <w:bottom w:val="nil"/>
              <w:right w:val="nil"/>
            </w:tcBorders>
            <w:shd w:val="clear" w:color="auto" w:fill="auto"/>
            <w:vAlign w:val="center"/>
            <w:hideMark/>
          </w:tcPr>
          <w:p w14:paraId="0D94B23D"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rPr>
              <w:t>22,7</w:t>
            </w:r>
          </w:p>
        </w:tc>
        <w:tc>
          <w:tcPr>
            <w:tcW w:w="0" w:type="auto"/>
            <w:tcBorders>
              <w:top w:val="nil"/>
              <w:left w:val="nil"/>
              <w:bottom w:val="nil"/>
              <w:right w:val="nil"/>
            </w:tcBorders>
            <w:shd w:val="clear" w:color="auto" w:fill="auto"/>
            <w:noWrap/>
            <w:vAlign w:val="center"/>
            <w:hideMark/>
          </w:tcPr>
          <w:p w14:paraId="1C868F6D"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lang w:val="en-US"/>
              </w:rPr>
              <w:t>22,4</w:t>
            </w:r>
          </w:p>
        </w:tc>
        <w:tc>
          <w:tcPr>
            <w:tcW w:w="0" w:type="auto"/>
            <w:tcBorders>
              <w:top w:val="nil"/>
              <w:left w:val="nil"/>
              <w:bottom w:val="nil"/>
              <w:right w:val="single" w:sz="4" w:space="0" w:color="4F81BD" w:themeColor="accent1"/>
            </w:tcBorders>
            <w:shd w:val="clear" w:color="auto" w:fill="auto"/>
            <w:vAlign w:val="center"/>
            <w:hideMark/>
          </w:tcPr>
          <w:p w14:paraId="71390417" w14:textId="7EFE855B" w:rsidR="00692BDF" w:rsidRPr="00C32F9E" w:rsidRDefault="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lang w:val="en-US"/>
              </w:rPr>
              <w:t>20,</w:t>
            </w:r>
            <w:r w:rsidR="007F00B5" w:rsidRPr="00C32F9E">
              <w:rPr>
                <w:rFonts w:ascii="Arial Narrow" w:eastAsia="Times New Roman" w:hAnsi="Arial Narrow" w:cs="Calibri"/>
                <w:color w:val="000000"/>
                <w:lang w:val="en-US"/>
              </w:rPr>
              <w:t>4</w:t>
            </w:r>
          </w:p>
        </w:tc>
      </w:tr>
      <w:tr w:rsidR="00692BDF" w:rsidRPr="00692BDF" w14:paraId="195F3E00" w14:textId="77777777" w:rsidTr="00445180">
        <w:trPr>
          <w:trHeight w:val="345"/>
        </w:trPr>
        <w:tc>
          <w:tcPr>
            <w:tcW w:w="0" w:type="auto"/>
            <w:gridSpan w:val="2"/>
            <w:tcBorders>
              <w:top w:val="nil"/>
              <w:left w:val="single" w:sz="4" w:space="0" w:color="4F81BD" w:themeColor="accent1"/>
              <w:bottom w:val="single" w:sz="4" w:space="0" w:color="4F81BD" w:themeColor="accent1"/>
              <w:right w:val="single" w:sz="4" w:space="0" w:color="4F81BD" w:themeColor="accent1"/>
            </w:tcBorders>
            <w:shd w:val="clear" w:color="auto" w:fill="auto"/>
            <w:noWrap/>
            <w:vAlign w:val="center"/>
            <w:hideMark/>
          </w:tcPr>
          <w:p w14:paraId="5647C12B" w14:textId="190A01FC" w:rsidR="00692BDF" w:rsidRPr="00C32F9E" w:rsidRDefault="009A78EF" w:rsidP="00692BDF">
            <w:pPr>
              <w:spacing w:after="0" w:line="240" w:lineRule="auto"/>
              <w:rPr>
                <w:rFonts w:ascii="Arial Narrow" w:eastAsia="Times New Roman" w:hAnsi="Arial Narrow" w:cs="Calibri"/>
                <w:color w:val="000000"/>
                <w:lang w:val="en-US"/>
              </w:rPr>
            </w:pPr>
            <w:r>
              <w:rPr>
                <w:rFonts w:ascii="Arial Narrow" w:eastAsia="Times New Roman" w:hAnsi="Arial Narrow" w:cs="Calibri"/>
                <w:color w:val="000000"/>
              </w:rPr>
              <w:t>Ponderir</w:t>
            </w:r>
            <w:r w:rsidR="00692BDF" w:rsidRPr="00C32F9E">
              <w:rPr>
                <w:rFonts w:ascii="Arial Narrow" w:eastAsia="Times New Roman" w:hAnsi="Arial Narrow" w:cs="Calibri"/>
                <w:color w:val="000000"/>
              </w:rPr>
              <w:t>ana prosječna kamata (%)</w:t>
            </w:r>
          </w:p>
        </w:tc>
        <w:tc>
          <w:tcPr>
            <w:tcW w:w="0" w:type="auto"/>
            <w:tcBorders>
              <w:top w:val="nil"/>
              <w:left w:val="single" w:sz="4" w:space="0" w:color="4F81BD" w:themeColor="accent1"/>
              <w:bottom w:val="single" w:sz="4" w:space="0" w:color="4F81BD" w:themeColor="accent1"/>
              <w:right w:val="nil"/>
            </w:tcBorders>
            <w:shd w:val="clear" w:color="auto" w:fill="auto"/>
            <w:vAlign w:val="center"/>
            <w:hideMark/>
          </w:tcPr>
          <w:p w14:paraId="19CA658A"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rPr>
              <w:t>1,5</w:t>
            </w:r>
          </w:p>
        </w:tc>
        <w:tc>
          <w:tcPr>
            <w:tcW w:w="0" w:type="auto"/>
            <w:tcBorders>
              <w:top w:val="nil"/>
              <w:left w:val="nil"/>
              <w:bottom w:val="single" w:sz="4" w:space="0" w:color="4F81BD" w:themeColor="accent1"/>
              <w:right w:val="nil"/>
            </w:tcBorders>
            <w:shd w:val="clear" w:color="auto" w:fill="auto"/>
            <w:noWrap/>
            <w:vAlign w:val="center"/>
            <w:hideMark/>
          </w:tcPr>
          <w:p w14:paraId="04A62D96" w14:textId="458B3088" w:rsidR="00692BDF" w:rsidRPr="00C32F9E" w:rsidRDefault="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lang w:val="en-US"/>
              </w:rPr>
              <w:t>1,</w:t>
            </w:r>
            <w:r w:rsidR="007F00B5" w:rsidRPr="00C32F9E">
              <w:rPr>
                <w:rFonts w:ascii="Arial Narrow" w:eastAsia="Times New Roman" w:hAnsi="Arial Narrow" w:cs="Calibri"/>
                <w:color w:val="000000"/>
                <w:lang w:val="en-US"/>
              </w:rPr>
              <w:t>3</w:t>
            </w:r>
          </w:p>
        </w:tc>
        <w:tc>
          <w:tcPr>
            <w:tcW w:w="0" w:type="auto"/>
            <w:tcBorders>
              <w:top w:val="nil"/>
              <w:left w:val="nil"/>
              <w:bottom w:val="single" w:sz="4" w:space="0" w:color="4F81BD" w:themeColor="accent1"/>
              <w:right w:val="single" w:sz="4" w:space="0" w:color="4F81BD" w:themeColor="accent1"/>
            </w:tcBorders>
            <w:shd w:val="clear" w:color="auto" w:fill="auto"/>
            <w:vAlign w:val="center"/>
            <w:hideMark/>
          </w:tcPr>
          <w:p w14:paraId="762F8DC9" w14:textId="2EF47E24" w:rsidR="00692BDF" w:rsidRPr="00C32F9E" w:rsidRDefault="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lang w:val="en-US"/>
              </w:rPr>
              <w:t>1,</w:t>
            </w:r>
            <w:r w:rsidR="0056624E" w:rsidRPr="00445180">
              <w:rPr>
                <w:rFonts w:ascii="Arial Narrow" w:eastAsia="Times New Roman" w:hAnsi="Arial Narrow" w:cs="Calibri"/>
                <w:color w:val="000000"/>
                <w:lang w:val="en-US"/>
              </w:rPr>
              <w:t>5</w:t>
            </w:r>
          </w:p>
        </w:tc>
      </w:tr>
      <w:tr w:rsidR="00692BDF" w:rsidRPr="00692BDF" w14:paraId="617582A8" w14:textId="77777777" w:rsidTr="00445180">
        <w:trPr>
          <w:trHeight w:val="330"/>
        </w:trPr>
        <w:tc>
          <w:tcPr>
            <w:tcW w:w="0" w:type="auto"/>
            <w:vMerge w:val="restart"/>
            <w:tcBorders>
              <w:top w:val="single" w:sz="4" w:space="0" w:color="4F81BD" w:themeColor="accent1"/>
              <w:left w:val="single" w:sz="4" w:space="0" w:color="4F81BD" w:themeColor="accent1"/>
              <w:bottom w:val="single" w:sz="8" w:space="0" w:color="95B3D7"/>
              <w:right w:val="single" w:sz="4" w:space="0" w:color="4F81BD" w:themeColor="accent1"/>
            </w:tcBorders>
            <w:shd w:val="clear" w:color="auto" w:fill="auto"/>
            <w:noWrap/>
            <w:vAlign w:val="center"/>
            <w:hideMark/>
          </w:tcPr>
          <w:p w14:paraId="75DA41B7" w14:textId="3596CD7C"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rPr>
              <w:t>Rizik re</w:t>
            </w:r>
            <w:r w:rsidR="009A78EF">
              <w:rPr>
                <w:rFonts w:ascii="Arial Narrow" w:eastAsia="Times New Roman" w:hAnsi="Arial Narrow" w:cs="Calibri"/>
                <w:color w:val="000000"/>
              </w:rPr>
              <w:t>financ</w:t>
            </w:r>
            <w:r w:rsidRPr="00C32F9E">
              <w:rPr>
                <w:rFonts w:ascii="Arial Narrow" w:eastAsia="Times New Roman" w:hAnsi="Arial Narrow" w:cs="Calibri"/>
                <w:color w:val="000000"/>
              </w:rPr>
              <w:t>iranja</w:t>
            </w:r>
          </w:p>
        </w:tc>
        <w:tc>
          <w:tcPr>
            <w:tcW w:w="0" w:type="auto"/>
            <w:tcBorders>
              <w:top w:val="single" w:sz="4" w:space="0" w:color="4F81BD" w:themeColor="accent1"/>
              <w:left w:val="single" w:sz="4" w:space="0" w:color="4F81BD" w:themeColor="accent1"/>
              <w:bottom w:val="nil"/>
              <w:right w:val="single" w:sz="4" w:space="0" w:color="4F81BD" w:themeColor="accent1"/>
            </w:tcBorders>
            <w:shd w:val="clear" w:color="auto" w:fill="auto"/>
            <w:noWrap/>
            <w:vAlign w:val="center"/>
            <w:hideMark/>
          </w:tcPr>
          <w:p w14:paraId="511800C4" w14:textId="77777777" w:rsidR="00692BDF" w:rsidRPr="00C32F9E" w:rsidRDefault="00692BDF" w:rsidP="00692BDF">
            <w:pPr>
              <w:spacing w:after="0" w:line="240" w:lineRule="auto"/>
              <w:rPr>
                <w:rFonts w:ascii="Arial Narrow" w:eastAsia="Times New Roman" w:hAnsi="Arial Narrow" w:cs="Calibri"/>
                <w:color w:val="000000"/>
                <w:lang w:val="en-US"/>
              </w:rPr>
            </w:pPr>
            <w:r w:rsidRPr="00C32F9E">
              <w:rPr>
                <w:rFonts w:ascii="Arial Narrow" w:eastAsia="Times New Roman" w:hAnsi="Arial Narrow" w:cs="Calibri"/>
                <w:color w:val="000000"/>
              </w:rPr>
              <w:t>ATM Vanjski dug (godine)</w:t>
            </w:r>
          </w:p>
        </w:tc>
        <w:tc>
          <w:tcPr>
            <w:tcW w:w="0" w:type="auto"/>
            <w:tcBorders>
              <w:top w:val="single" w:sz="4" w:space="0" w:color="4F81BD" w:themeColor="accent1"/>
              <w:left w:val="single" w:sz="4" w:space="0" w:color="4F81BD" w:themeColor="accent1"/>
              <w:bottom w:val="nil"/>
              <w:right w:val="nil"/>
            </w:tcBorders>
            <w:shd w:val="clear" w:color="auto" w:fill="auto"/>
            <w:vAlign w:val="center"/>
            <w:hideMark/>
          </w:tcPr>
          <w:p w14:paraId="20E23FA3"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Arial"/>
                <w:color w:val="000000"/>
              </w:rPr>
              <w:t>6,2</w:t>
            </w:r>
          </w:p>
        </w:tc>
        <w:tc>
          <w:tcPr>
            <w:tcW w:w="0" w:type="auto"/>
            <w:tcBorders>
              <w:top w:val="single" w:sz="4" w:space="0" w:color="4F81BD" w:themeColor="accent1"/>
              <w:left w:val="nil"/>
              <w:bottom w:val="nil"/>
              <w:right w:val="nil"/>
            </w:tcBorders>
            <w:shd w:val="clear" w:color="auto" w:fill="auto"/>
            <w:noWrap/>
            <w:vAlign w:val="center"/>
            <w:hideMark/>
          </w:tcPr>
          <w:p w14:paraId="22B0214A"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lang w:val="en-US"/>
              </w:rPr>
              <w:t>6,6</w:t>
            </w:r>
          </w:p>
        </w:tc>
        <w:tc>
          <w:tcPr>
            <w:tcW w:w="0" w:type="auto"/>
            <w:tcBorders>
              <w:top w:val="single" w:sz="4" w:space="0" w:color="4F81BD" w:themeColor="accent1"/>
              <w:left w:val="nil"/>
              <w:bottom w:val="nil"/>
              <w:right w:val="single" w:sz="4" w:space="0" w:color="4F81BD" w:themeColor="accent1"/>
            </w:tcBorders>
            <w:shd w:val="clear" w:color="auto" w:fill="auto"/>
            <w:vAlign w:val="center"/>
            <w:hideMark/>
          </w:tcPr>
          <w:p w14:paraId="59F9DBE3" w14:textId="1B0D2B27" w:rsidR="00692BDF" w:rsidRPr="00C32F9E" w:rsidRDefault="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lang w:val="en-US"/>
              </w:rPr>
              <w:t>7,</w:t>
            </w:r>
            <w:r w:rsidR="007F00B5" w:rsidRPr="00C32F9E">
              <w:rPr>
                <w:rFonts w:ascii="Arial Narrow" w:eastAsia="Times New Roman" w:hAnsi="Arial Narrow" w:cs="Calibri"/>
                <w:color w:val="000000"/>
                <w:lang w:val="en-US"/>
              </w:rPr>
              <w:t>6</w:t>
            </w:r>
          </w:p>
        </w:tc>
      </w:tr>
      <w:tr w:rsidR="00692BDF" w:rsidRPr="00692BDF" w14:paraId="1752A15E" w14:textId="77777777" w:rsidTr="00445180">
        <w:trPr>
          <w:trHeight w:val="330"/>
        </w:trPr>
        <w:tc>
          <w:tcPr>
            <w:tcW w:w="0" w:type="auto"/>
            <w:vMerge/>
            <w:tcBorders>
              <w:top w:val="nil"/>
              <w:left w:val="single" w:sz="4" w:space="0" w:color="4F81BD" w:themeColor="accent1"/>
              <w:bottom w:val="single" w:sz="8" w:space="0" w:color="95B3D7"/>
              <w:right w:val="single" w:sz="4" w:space="0" w:color="4F81BD" w:themeColor="accent1"/>
            </w:tcBorders>
            <w:vAlign w:val="center"/>
            <w:hideMark/>
          </w:tcPr>
          <w:p w14:paraId="74225626" w14:textId="77777777" w:rsidR="00692BDF" w:rsidRPr="00C32F9E" w:rsidRDefault="00692BDF" w:rsidP="00692BDF">
            <w:pPr>
              <w:spacing w:after="0" w:line="240" w:lineRule="auto"/>
              <w:rPr>
                <w:rFonts w:ascii="Arial Narrow" w:eastAsia="Times New Roman" w:hAnsi="Arial Narrow" w:cs="Calibri"/>
                <w:color w:val="000000"/>
                <w:lang w:val="en-US"/>
              </w:rPr>
            </w:pPr>
          </w:p>
        </w:tc>
        <w:tc>
          <w:tcPr>
            <w:tcW w:w="0" w:type="auto"/>
            <w:tcBorders>
              <w:top w:val="nil"/>
              <w:left w:val="single" w:sz="4" w:space="0" w:color="4F81BD" w:themeColor="accent1"/>
              <w:bottom w:val="nil"/>
              <w:right w:val="single" w:sz="4" w:space="0" w:color="4F81BD" w:themeColor="accent1"/>
            </w:tcBorders>
            <w:shd w:val="clear" w:color="auto" w:fill="auto"/>
            <w:noWrap/>
            <w:vAlign w:val="center"/>
            <w:hideMark/>
          </w:tcPr>
          <w:p w14:paraId="644FD7F4" w14:textId="4472BD4F" w:rsidR="00692BDF" w:rsidRPr="00C32F9E" w:rsidRDefault="00692BDF" w:rsidP="00692BDF">
            <w:pPr>
              <w:spacing w:after="0" w:line="240" w:lineRule="auto"/>
              <w:rPr>
                <w:rFonts w:ascii="Arial Narrow" w:eastAsia="Times New Roman" w:hAnsi="Arial Narrow" w:cs="Calibri"/>
                <w:color w:val="000000"/>
                <w:lang w:val="en-US"/>
              </w:rPr>
            </w:pPr>
            <w:r w:rsidRPr="00C32F9E">
              <w:rPr>
                <w:rFonts w:ascii="Arial Narrow" w:eastAsia="Times New Roman" w:hAnsi="Arial Narrow" w:cs="Calibri"/>
                <w:color w:val="000000"/>
              </w:rPr>
              <w:t xml:space="preserve">ATM </w:t>
            </w:r>
            <w:r w:rsidR="00DA7CD0">
              <w:rPr>
                <w:rFonts w:ascii="Arial Narrow" w:eastAsia="Times New Roman" w:hAnsi="Arial Narrow" w:cs="Calibri"/>
                <w:color w:val="000000"/>
              </w:rPr>
              <w:t>Unutarnji</w:t>
            </w:r>
            <w:r w:rsidRPr="00C32F9E">
              <w:rPr>
                <w:rFonts w:ascii="Arial Narrow" w:eastAsia="Times New Roman" w:hAnsi="Arial Narrow" w:cs="Calibri"/>
                <w:color w:val="000000"/>
              </w:rPr>
              <w:t xml:space="preserve"> dug (godine)</w:t>
            </w:r>
          </w:p>
        </w:tc>
        <w:tc>
          <w:tcPr>
            <w:tcW w:w="0" w:type="auto"/>
            <w:tcBorders>
              <w:top w:val="nil"/>
              <w:left w:val="single" w:sz="4" w:space="0" w:color="4F81BD" w:themeColor="accent1"/>
              <w:bottom w:val="nil"/>
              <w:right w:val="nil"/>
            </w:tcBorders>
            <w:shd w:val="clear" w:color="auto" w:fill="auto"/>
            <w:vAlign w:val="center"/>
            <w:hideMark/>
          </w:tcPr>
          <w:p w14:paraId="661C980F"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Arial"/>
                <w:color w:val="000000"/>
              </w:rPr>
              <w:t>3,3</w:t>
            </w:r>
          </w:p>
        </w:tc>
        <w:tc>
          <w:tcPr>
            <w:tcW w:w="0" w:type="auto"/>
            <w:tcBorders>
              <w:top w:val="nil"/>
              <w:left w:val="nil"/>
              <w:bottom w:val="nil"/>
              <w:right w:val="nil"/>
            </w:tcBorders>
            <w:shd w:val="clear" w:color="auto" w:fill="auto"/>
            <w:noWrap/>
            <w:vAlign w:val="center"/>
            <w:hideMark/>
          </w:tcPr>
          <w:p w14:paraId="72027148"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lang w:val="en-US"/>
              </w:rPr>
              <w:t>3,6</w:t>
            </w:r>
          </w:p>
        </w:tc>
        <w:tc>
          <w:tcPr>
            <w:tcW w:w="0" w:type="auto"/>
            <w:tcBorders>
              <w:top w:val="nil"/>
              <w:left w:val="nil"/>
              <w:bottom w:val="nil"/>
              <w:right w:val="single" w:sz="4" w:space="0" w:color="4F81BD" w:themeColor="accent1"/>
            </w:tcBorders>
            <w:shd w:val="clear" w:color="auto" w:fill="auto"/>
            <w:vAlign w:val="center"/>
            <w:hideMark/>
          </w:tcPr>
          <w:p w14:paraId="62C0BE55" w14:textId="678C0C9D" w:rsidR="00692BDF" w:rsidRPr="00C32F9E" w:rsidRDefault="007F00B5"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lang w:val="en-US"/>
              </w:rPr>
              <w:t>2,7</w:t>
            </w:r>
          </w:p>
        </w:tc>
      </w:tr>
      <w:tr w:rsidR="00692BDF" w:rsidRPr="00692BDF" w14:paraId="6CDB3FA9" w14:textId="77777777" w:rsidTr="00445180">
        <w:trPr>
          <w:trHeight w:val="345"/>
        </w:trPr>
        <w:tc>
          <w:tcPr>
            <w:tcW w:w="0" w:type="auto"/>
            <w:vMerge/>
            <w:tcBorders>
              <w:top w:val="nil"/>
              <w:left w:val="single" w:sz="4" w:space="0" w:color="4F81BD" w:themeColor="accent1"/>
              <w:bottom w:val="single" w:sz="4" w:space="0" w:color="4F81BD" w:themeColor="accent1"/>
              <w:right w:val="single" w:sz="4" w:space="0" w:color="4F81BD" w:themeColor="accent1"/>
            </w:tcBorders>
            <w:vAlign w:val="center"/>
            <w:hideMark/>
          </w:tcPr>
          <w:p w14:paraId="5805487F" w14:textId="77777777" w:rsidR="00692BDF" w:rsidRPr="00C32F9E" w:rsidRDefault="00692BDF" w:rsidP="00692BDF">
            <w:pPr>
              <w:spacing w:after="0" w:line="240" w:lineRule="auto"/>
              <w:rPr>
                <w:rFonts w:ascii="Arial Narrow" w:eastAsia="Times New Roman" w:hAnsi="Arial Narrow" w:cs="Calibri"/>
                <w:color w:val="000000"/>
                <w:lang w:val="en-US"/>
              </w:rPr>
            </w:pPr>
          </w:p>
        </w:tc>
        <w:tc>
          <w:tcPr>
            <w:tcW w:w="0" w:type="auto"/>
            <w:tcBorders>
              <w:top w:val="nil"/>
              <w:left w:val="single" w:sz="4" w:space="0" w:color="4F81BD" w:themeColor="accent1"/>
              <w:bottom w:val="single" w:sz="4" w:space="0" w:color="4F81BD" w:themeColor="accent1"/>
              <w:right w:val="single" w:sz="4" w:space="0" w:color="4F81BD" w:themeColor="accent1"/>
            </w:tcBorders>
            <w:shd w:val="clear" w:color="auto" w:fill="auto"/>
            <w:noWrap/>
            <w:vAlign w:val="center"/>
            <w:hideMark/>
          </w:tcPr>
          <w:p w14:paraId="5DBB1690" w14:textId="77777777" w:rsidR="00692BDF" w:rsidRPr="00C32F9E" w:rsidRDefault="00692BDF" w:rsidP="00692BDF">
            <w:pPr>
              <w:spacing w:after="0" w:line="240" w:lineRule="auto"/>
              <w:rPr>
                <w:rFonts w:ascii="Arial Narrow" w:eastAsia="Times New Roman" w:hAnsi="Arial Narrow" w:cs="Calibri"/>
                <w:color w:val="000000"/>
                <w:lang w:val="en-US"/>
              </w:rPr>
            </w:pPr>
            <w:r w:rsidRPr="00C32F9E">
              <w:rPr>
                <w:rFonts w:ascii="Arial Narrow" w:eastAsia="Times New Roman" w:hAnsi="Arial Narrow" w:cs="Calibri"/>
                <w:color w:val="000000"/>
              </w:rPr>
              <w:t>ATM Ukupni dug (godine)</w:t>
            </w:r>
          </w:p>
        </w:tc>
        <w:tc>
          <w:tcPr>
            <w:tcW w:w="0" w:type="auto"/>
            <w:tcBorders>
              <w:top w:val="nil"/>
              <w:left w:val="single" w:sz="4" w:space="0" w:color="4F81BD" w:themeColor="accent1"/>
              <w:bottom w:val="single" w:sz="4" w:space="0" w:color="4F81BD" w:themeColor="accent1"/>
              <w:right w:val="nil"/>
            </w:tcBorders>
            <w:shd w:val="clear" w:color="auto" w:fill="auto"/>
            <w:vAlign w:val="center"/>
            <w:hideMark/>
          </w:tcPr>
          <w:p w14:paraId="6D5D77C3"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Arial"/>
                <w:color w:val="000000"/>
              </w:rPr>
              <w:t>5,8</w:t>
            </w:r>
          </w:p>
        </w:tc>
        <w:tc>
          <w:tcPr>
            <w:tcW w:w="0" w:type="auto"/>
            <w:tcBorders>
              <w:top w:val="nil"/>
              <w:left w:val="nil"/>
              <w:bottom w:val="single" w:sz="4" w:space="0" w:color="4F81BD" w:themeColor="accent1"/>
              <w:right w:val="nil"/>
            </w:tcBorders>
            <w:shd w:val="clear" w:color="auto" w:fill="auto"/>
            <w:noWrap/>
            <w:vAlign w:val="center"/>
            <w:hideMark/>
          </w:tcPr>
          <w:p w14:paraId="35C871CC"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lang w:val="en-US"/>
              </w:rPr>
              <w:t>6,2</w:t>
            </w:r>
          </w:p>
        </w:tc>
        <w:tc>
          <w:tcPr>
            <w:tcW w:w="0" w:type="auto"/>
            <w:tcBorders>
              <w:top w:val="nil"/>
              <w:left w:val="nil"/>
              <w:bottom w:val="single" w:sz="4" w:space="0" w:color="4F81BD" w:themeColor="accent1"/>
              <w:right w:val="single" w:sz="4" w:space="0" w:color="4F81BD" w:themeColor="accent1"/>
            </w:tcBorders>
            <w:shd w:val="clear" w:color="auto" w:fill="auto"/>
            <w:vAlign w:val="center"/>
            <w:hideMark/>
          </w:tcPr>
          <w:p w14:paraId="65C25F9F" w14:textId="7B071BA4" w:rsidR="00692BDF" w:rsidRPr="00C32F9E" w:rsidRDefault="007F00B5"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lang w:val="en-US"/>
              </w:rPr>
              <w:t>6,7</w:t>
            </w:r>
          </w:p>
        </w:tc>
      </w:tr>
      <w:tr w:rsidR="00692BDF" w:rsidRPr="00692BDF" w14:paraId="6332717B" w14:textId="77777777" w:rsidTr="00445180">
        <w:trPr>
          <w:trHeight w:val="345"/>
        </w:trPr>
        <w:tc>
          <w:tcPr>
            <w:tcW w:w="0" w:type="auto"/>
            <w:vMerge w:val="restart"/>
            <w:tcBorders>
              <w:top w:val="single" w:sz="4" w:space="0" w:color="4F81BD" w:themeColor="accent1"/>
              <w:left w:val="single" w:sz="4" w:space="0" w:color="4F81BD" w:themeColor="accent1"/>
              <w:bottom w:val="single" w:sz="8" w:space="0" w:color="95B3D7"/>
              <w:right w:val="single" w:sz="4" w:space="0" w:color="4F81BD" w:themeColor="accent1"/>
            </w:tcBorders>
            <w:shd w:val="clear" w:color="auto" w:fill="auto"/>
            <w:noWrap/>
            <w:vAlign w:val="center"/>
            <w:hideMark/>
          </w:tcPr>
          <w:p w14:paraId="32261BA0"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rPr>
              <w:t>Kamatni rizik</w:t>
            </w:r>
          </w:p>
        </w:tc>
        <w:tc>
          <w:tcPr>
            <w:tcW w:w="0" w:type="auto"/>
            <w:tcBorders>
              <w:top w:val="single" w:sz="4" w:space="0" w:color="4F81BD" w:themeColor="accent1"/>
              <w:left w:val="single" w:sz="4" w:space="0" w:color="4F81BD" w:themeColor="accent1"/>
              <w:bottom w:val="nil"/>
              <w:right w:val="single" w:sz="4" w:space="0" w:color="4F81BD" w:themeColor="accent1"/>
            </w:tcBorders>
            <w:shd w:val="clear" w:color="auto" w:fill="auto"/>
            <w:noWrap/>
            <w:vAlign w:val="center"/>
            <w:hideMark/>
          </w:tcPr>
          <w:p w14:paraId="7AFE8BE2" w14:textId="77777777" w:rsidR="00692BDF" w:rsidRPr="00C32F9E" w:rsidRDefault="00692BDF" w:rsidP="00692BDF">
            <w:pPr>
              <w:spacing w:after="0" w:line="240" w:lineRule="auto"/>
              <w:rPr>
                <w:rFonts w:ascii="Arial Narrow" w:eastAsia="Times New Roman" w:hAnsi="Arial Narrow" w:cs="Calibri"/>
                <w:color w:val="000000"/>
                <w:lang w:val="en-US"/>
              </w:rPr>
            </w:pPr>
            <w:r w:rsidRPr="00C32F9E">
              <w:rPr>
                <w:rFonts w:ascii="Arial Narrow" w:eastAsia="Times New Roman" w:hAnsi="Arial Narrow" w:cs="Calibri"/>
                <w:color w:val="000000"/>
              </w:rPr>
              <w:t>ATR (godine)</w:t>
            </w:r>
          </w:p>
        </w:tc>
        <w:tc>
          <w:tcPr>
            <w:tcW w:w="0" w:type="auto"/>
            <w:tcBorders>
              <w:top w:val="single" w:sz="4" w:space="0" w:color="4F81BD" w:themeColor="accent1"/>
              <w:left w:val="single" w:sz="4" w:space="0" w:color="4F81BD" w:themeColor="accent1"/>
              <w:bottom w:val="nil"/>
              <w:right w:val="nil"/>
            </w:tcBorders>
            <w:shd w:val="clear" w:color="auto" w:fill="auto"/>
            <w:vAlign w:val="center"/>
            <w:hideMark/>
          </w:tcPr>
          <w:p w14:paraId="1249573D"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Arial"/>
                <w:color w:val="000000"/>
              </w:rPr>
              <w:t>3,7</w:t>
            </w:r>
          </w:p>
        </w:tc>
        <w:tc>
          <w:tcPr>
            <w:tcW w:w="0" w:type="auto"/>
            <w:tcBorders>
              <w:top w:val="single" w:sz="4" w:space="0" w:color="4F81BD" w:themeColor="accent1"/>
              <w:left w:val="nil"/>
              <w:bottom w:val="nil"/>
              <w:right w:val="nil"/>
            </w:tcBorders>
            <w:shd w:val="clear" w:color="auto" w:fill="auto"/>
            <w:noWrap/>
            <w:vAlign w:val="center"/>
            <w:hideMark/>
          </w:tcPr>
          <w:p w14:paraId="22A475A3" w14:textId="07C16CFF" w:rsidR="00692BDF" w:rsidRPr="00C32F9E" w:rsidRDefault="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lang w:val="en-US"/>
              </w:rPr>
              <w:t>4,</w:t>
            </w:r>
            <w:r w:rsidR="007F00B5" w:rsidRPr="00C32F9E">
              <w:rPr>
                <w:rFonts w:ascii="Arial Narrow" w:eastAsia="Times New Roman" w:hAnsi="Arial Narrow" w:cs="Calibri"/>
                <w:color w:val="000000"/>
                <w:lang w:val="en-US"/>
              </w:rPr>
              <w:t>2</w:t>
            </w:r>
          </w:p>
        </w:tc>
        <w:tc>
          <w:tcPr>
            <w:tcW w:w="0" w:type="auto"/>
            <w:tcBorders>
              <w:top w:val="single" w:sz="4" w:space="0" w:color="4F81BD" w:themeColor="accent1"/>
              <w:left w:val="nil"/>
              <w:bottom w:val="nil"/>
              <w:right w:val="single" w:sz="4" w:space="0" w:color="4F81BD" w:themeColor="accent1"/>
            </w:tcBorders>
            <w:shd w:val="clear" w:color="auto" w:fill="auto"/>
            <w:vAlign w:val="center"/>
            <w:hideMark/>
          </w:tcPr>
          <w:p w14:paraId="1A41A3B7" w14:textId="3CD09414" w:rsidR="00692BDF" w:rsidRPr="00C32F9E" w:rsidRDefault="007F00B5">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lang w:val="en-US"/>
              </w:rPr>
              <w:t>4,3</w:t>
            </w:r>
          </w:p>
        </w:tc>
      </w:tr>
      <w:tr w:rsidR="00692BDF" w:rsidRPr="00692BDF" w14:paraId="5E5F4CD9" w14:textId="77777777" w:rsidTr="00445180">
        <w:trPr>
          <w:trHeight w:val="330"/>
        </w:trPr>
        <w:tc>
          <w:tcPr>
            <w:tcW w:w="0" w:type="auto"/>
            <w:vMerge/>
            <w:tcBorders>
              <w:top w:val="nil"/>
              <w:left w:val="single" w:sz="4" w:space="0" w:color="4F81BD" w:themeColor="accent1"/>
              <w:bottom w:val="single" w:sz="8" w:space="0" w:color="95B3D7"/>
              <w:right w:val="single" w:sz="4" w:space="0" w:color="4F81BD" w:themeColor="accent1"/>
            </w:tcBorders>
            <w:vAlign w:val="center"/>
            <w:hideMark/>
          </w:tcPr>
          <w:p w14:paraId="213858E6" w14:textId="77777777" w:rsidR="00692BDF" w:rsidRPr="00C32F9E" w:rsidRDefault="00692BDF" w:rsidP="00692BDF">
            <w:pPr>
              <w:spacing w:after="0" w:line="240" w:lineRule="auto"/>
              <w:rPr>
                <w:rFonts w:ascii="Arial Narrow" w:eastAsia="Times New Roman" w:hAnsi="Arial Narrow" w:cs="Calibri"/>
                <w:color w:val="000000"/>
                <w:lang w:val="en-US"/>
              </w:rPr>
            </w:pPr>
          </w:p>
        </w:tc>
        <w:tc>
          <w:tcPr>
            <w:tcW w:w="0" w:type="auto"/>
            <w:tcBorders>
              <w:top w:val="nil"/>
              <w:left w:val="single" w:sz="4" w:space="0" w:color="4F81BD" w:themeColor="accent1"/>
              <w:bottom w:val="nil"/>
              <w:right w:val="single" w:sz="4" w:space="0" w:color="4F81BD" w:themeColor="accent1"/>
            </w:tcBorders>
            <w:shd w:val="clear" w:color="auto" w:fill="auto"/>
            <w:noWrap/>
            <w:vAlign w:val="center"/>
            <w:hideMark/>
          </w:tcPr>
          <w:p w14:paraId="09B72189" w14:textId="77777777" w:rsidR="00692BDF" w:rsidRPr="00C32F9E" w:rsidRDefault="00692BDF" w:rsidP="00692BDF">
            <w:pPr>
              <w:spacing w:after="0" w:line="240" w:lineRule="auto"/>
              <w:rPr>
                <w:rFonts w:ascii="Arial Narrow" w:eastAsia="Times New Roman" w:hAnsi="Arial Narrow" w:cs="Calibri"/>
                <w:color w:val="000000"/>
                <w:lang w:val="en-US"/>
              </w:rPr>
            </w:pPr>
            <w:r w:rsidRPr="00C32F9E">
              <w:rPr>
                <w:rFonts w:ascii="Arial Narrow" w:eastAsia="Times New Roman" w:hAnsi="Arial Narrow" w:cs="Calibri"/>
                <w:color w:val="000000"/>
              </w:rPr>
              <w:t>Dug koji se refiksira u 1 g  (% ukupnog duga)</w:t>
            </w:r>
          </w:p>
        </w:tc>
        <w:tc>
          <w:tcPr>
            <w:tcW w:w="0" w:type="auto"/>
            <w:tcBorders>
              <w:top w:val="nil"/>
              <w:left w:val="single" w:sz="4" w:space="0" w:color="4F81BD" w:themeColor="accent1"/>
              <w:bottom w:val="nil"/>
              <w:right w:val="nil"/>
            </w:tcBorders>
            <w:shd w:val="clear" w:color="auto" w:fill="auto"/>
            <w:vAlign w:val="center"/>
            <w:hideMark/>
          </w:tcPr>
          <w:p w14:paraId="518E3E2A"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Arial"/>
                <w:color w:val="000000"/>
              </w:rPr>
              <w:t>46</w:t>
            </w:r>
          </w:p>
        </w:tc>
        <w:tc>
          <w:tcPr>
            <w:tcW w:w="0" w:type="auto"/>
            <w:tcBorders>
              <w:top w:val="nil"/>
              <w:left w:val="nil"/>
              <w:bottom w:val="nil"/>
              <w:right w:val="nil"/>
            </w:tcBorders>
            <w:shd w:val="clear" w:color="auto" w:fill="auto"/>
            <w:noWrap/>
            <w:vAlign w:val="center"/>
            <w:hideMark/>
          </w:tcPr>
          <w:p w14:paraId="58F3B057"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lang w:val="en-US"/>
              </w:rPr>
              <w:t>45,8</w:t>
            </w:r>
          </w:p>
        </w:tc>
        <w:tc>
          <w:tcPr>
            <w:tcW w:w="0" w:type="auto"/>
            <w:tcBorders>
              <w:top w:val="nil"/>
              <w:left w:val="nil"/>
              <w:bottom w:val="nil"/>
              <w:right w:val="single" w:sz="4" w:space="0" w:color="4F81BD" w:themeColor="accent1"/>
            </w:tcBorders>
            <w:shd w:val="clear" w:color="auto" w:fill="auto"/>
            <w:vAlign w:val="center"/>
            <w:hideMark/>
          </w:tcPr>
          <w:p w14:paraId="17C0E6B4" w14:textId="12310ACB" w:rsidR="00692BDF" w:rsidRPr="00C32F9E" w:rsidRDefault="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lang w:val="en-US"/>
              </w:rPr>
              <w:t>4</w:t>
            </w:r>
            <w:r w:rsidR="00CD7213" w:rsidRPr="00C32F9E">
              <w:rPr>
                <w:rFonts w:ascii="Arial Narrow" w:eastAsia="Times New Roman" w:hAnsi="Arial Narrow" w:cs="Calibri"/>
                <w:color w:val="000000"/>
                <w:lang w:val="en-US"/>
              </w:rPr>
              <w:t>4,2</w:t>
            </w:r>
          </w:p>
        </w:tc>
      </w:tr>
      <w:tr w:rsidR="00692BDF" w:rsidRPr="00692BDF" w14:paraId="23BE4CFF" w14:textId="77777777" w:rsidTr="00445180">
        <w:trPr>
          <w:trHeight w:val="345"/>
        </w:trPr>
        <w:tc>
          <w:tcPr>
            <w:tcW w:w="0" w:type="auto"/>
            <w:vMerge/>
            <w:tcBorders>
              <w:top w:val="nil"/>
              <w:left w:val="single" w:sz="4" w:space="0" w:color="4F81BD" w:themeColor="accent1"/>
              <w:bottom w:val="single" w:sz="4" w:space="0" w:color="4F81BD" w:themeColor="accent1"/>
              <w:right w:val="single" w:sz="4" w:space="0" w:color="4F81BD" w:themeColor="accent1"/>
            </w:tcBorders>
            <w:vAlign w:val="center"/>
            <w:hideMark/>
          </w:tcPr>
          <w:p w14:paraId="09140949" w14:textId="77777777" w:rsidR="00692BDF" w:rsidRPr="00C32F9E" w:rsidRDefault="00692BDF" w:rsidP="00692BDF">
            <w:pPr>
              <w:spacing w:after="0" w:line="240" w:lineRule="auto"/>
              <w:rPr>
                <w:rFonts w:ascii="Arial Narrow" w:eastAsia="Times New Roman" w:hAnsi="Arial Narrow" w:cs="Calibri"/>
                <w:color w:val="000000"/>
                <w:lang w:val="en-US"/>
              </w:rPr>
            </w:pPr>
          </w:p>
        </w:tc>
        <w:tc>
          <w:tcPr>
            <w:tcW w:w="0" w:type="auto"/>
            <w:tcBorders>
              <w:top w:val="nil"/>
              <w:left w:val="single" w:sz="4" w:space="0" w:color="4F81BD" w:themeColor="accent1"/>
              <w:bottom w:val="single" w:sz="4" w:space="0" w:color="4F81BD" w:themeColor="accent1"/>
              <w:right w:val="single" w:sz="4" w:space="0" w:color="4F81BD" w:themeColor="accent1"/>
            </w:tcBorders>
            <w:shd w:val="clear" w:color="auto" w:fill="auto"/>
            <w:noWrap/>
            <w:vAlign w:val="center"/>
            <w:hideMark/>
          </w:tcPr>
          <w:p w14:paraId="60B4F0F0" w14:textId="77777777" w:rsidR="00692BDF" w:rsidRPr="00C32F9E" w:rsidRDefault="00692BDF" w:rsidP="00692BDF">
            <w:pPr>
              <w:spacing w:after="0" w:line="240" w:lineRule="auto"/>
              <w:rPr>
                <w:rFonts w:ascii="Arial Narrow" w:eastAsia="Times New Roman" w:hAnsi="Arial Narrow" w:cs="Calibri"/>
                <w:color w:val="000000"/>
                <w:lang w:val="en-US"/>
              </w:rPr>
            </w:pPr>
            <w:r w:rsidRPr="00C32F9E">
              <w:rPr>
                <w:rFonts w:ascii="Arial Narrow" w:eastAsia="Times New Roman" w:hAnsi="Arial Narrow" w:cs="Calibri"/>
                <w:color w:val="000000"/>
              </w:rPr>
              <w:t>Dug po fiksnoj kamati (% ukupnog duga)</w:t>
            </w:r>
          </w:p>
        </w:tc>
        <w:tc>
          <w:tcPr>
            <w:tcW w:w="0" w:type="auto"/>
            <w:tcBorders>
              <w:top w:val="nil"/>
              <w:left w:val="single" w:sz="4" w:space="0" w:color="4F81BD" w:themeColor="accent1"/>
              <w:bottom w:val="single" w:sz="4" w:space="0" w:color="4F81BD" w:themeColor="accent1"/>
              <w:right w:val="nil"/>
            </w:tcBorders>
            <w:shd w:val="clear" w:color="auto" w:fill="auto"/>
            <w:vAlign w:val="center"/>
            <w:hideMark/>
          </w:tcPr>
          <w:p w14:paraId="188C029A"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Arial"/>
                <w:color w:val="000000"/>
              </w:rPr>
              <w:t>61,9</w:t>
            </w:r>
          </w:p>
        </w:tc>
        <w:tc>
          <w:tcPr>
            <w:tcW w:w="0" w:type="auto"/>
            <w:tcBorders>
              <w:top w:val="nil"/>
              <w:left w:val="nil"/>
              <w:bottom w:val="single" w:sz="4" w:space="0" w:color="4F81BD" w:themeColor="accent1"/>
              <w:right w:val="nil"/>
            </w:tcBorders>
            <w:shd w:val="clear" w:color="auto" w:fill="auto"/>
            <w:noWrap/>
            <w:vAlign w:val="center"/>
            <w:hideMark/>
          </w:tcPr>
          <w:p w14:paraId="4E4C9880"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lang w:val="en-US"/>
              </w:rPr>
              <w:t>62,5</w:t>
            </w:r>
          </w:p>
        </w:tc>
        <w:tc>
          <w:tcPr>
            <w:tcW w:w="0" w:type="auto"/>
            <w:tcBorders>
              <w:top w:val="nil"/>
              <w:left w:val="nil"/>
              <w:bottom w:val="single" w:sz="4" w:space="0" w:color="4F81BD" w:themeColor="accent1"/>
              <w:right w:val="single" w:sz="4" w:space="0" w:color="4F81BD" w:themeColor="accent1"/>
            </w:tcBorders>
            <w:shd w:val="clear" w:color="auto" w:fill="auto"/>
            <w:vAlign w:val="center"/>
            <w:hideMark/>
          </w:tcPr>
          <w:p w14:paraId="6B833612" w14:textId="619DCF88" w:rsidR="00692BDF" w:rsidRPr="00C32F9E" w:rsidRDefault="00CD7213"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lang w:val="en-US"/>
              </w:rPr>
              <w:t>65,4</w:t>
            </w:r>
          </w:p>
        </w:tc>
      </w:tr>
      <w:tr w:rsidR="00692BDF" w:rsidRPr="00692BDF" w14:paraId="6417C5B9" w14:textId="77777777" w:rsidTr="00445180">
        <w:trPr>
          <w:trHeight w:val="330"/>
        </w:trPr>
        <w:tc>
          <w:tcPr>
            <w:tcW w:w="0" w:type="auto"/>
            <w:vMerge w:val="restart"/>
            <w:tcBorders>
              <w:top w:val="single" w:sz="4" w:space="0" w:color="4F81BD" w:themeColor="accent1"/>
              <w:left w:val="single" w:sz="4" w:space="0" w:color="4F81BD" w:themeColor="accent1"/>
              <w:bottom w:val="single" w:sz="8" w:space="0" w:color="C6D9F1"/>
              <w:right w:val="single" w:sz="4" w:space="0" w:color="4F81BD" w:themeColor="accent1"/>
            </w:tcBorders>
            <w:shd w:val="clear" w:color="auto" w:fill="auto"/>
            <w:noWrap/>
            <w:vAlign w:val="center"/>
            <w:hideMark/>
          </w:tcPr>
          <w:p w14:paraId="569CA13C"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rPr>
              <w:t>Valutni rizik</w:t>
            </w:r>
          </w:p>
        </w:tc>
        <w:tc>
          <w:tcPr>
            <w:tcW w:w="0" w:type="auto"/>
            <w:tcBorders>
              <w:top w:val="single" w:sz="4" w:space="0" w:color="4F81BD" w:themeColor="accent1"/>
              <w:left w:val="single" w:sz="4" w:space="0" w:color="4F81BD" w:themeColor="accent1"/>
              <w:bottom w:val="nil"/>
              <w:right w:val="single" w:sz="4" w:space="0" w:color="4F81BD" w:themeColor="accent1"/>
            </w:tcBorders>
            <w:shd w:val="clear" w:color="auto" w:fill="auto"/>
            <w:noWrap/>
            <w:vAlign w:val="center"/>
            <w:hideMark/>
          </w:tcPr>
          <w:p w14:paraId="51E26964" w14:textId="77777777" w:rsidR="00692BDF" w:rsidRPr="00C32F9E" w:rsidRDefault="00692BDF" w:rsidP="00692BDF">
            <w:pPr>
              <w:spacing w:after="0" w:line="240" w:lineRule="auto"/>
              <w:rPr>
                <w:rFonts w:ascii="Arial Narrow" w:eastAsia="Times New Roman" w:hAnsi="Arial Narrow" w:cs="Calibri"/>
                <w:color w:val="000000"/>
                <w:lang w:val="en-US"/>
              </w:rPr>
            </w:pPr>
            <w:r w:rsidRPr="00C32F9E">
              <w:rPr>
                <w:rFonts w:ascii="Arial Narrow" w:eastAsia="Times New Roman" w:hAnsi="Arial Narrow" w:cs="Calibri"/>
                <w:color w:val="000000"/>
              </w:rPr>
              <w:t>Devizni dug (% ukupnog duga)</w:t>
            </w:r>
          </w:p>
        </w:tc>
        <w:tc>
          <w:tcPr>
            <w:tcW w:w="0" w:type="auto"/>
            <w:tcBorders>
              <w:top w:val="single" w:sz="4" w:space="0" w:color="4F81BD" w:themeColor="accent1"/>
              <w:left w:val="single" w:sz="4" w:space="0" w:color="4F81BD" w:themeColor="accent1"/>
              <w:bottom w:val="nil"/>
              <w:right w:val="nil"/>
            </w:tcBorders>
            <w:shd w:val="clear" w:color="auto" w:fill="auto"/>
            <w:vAlign w:val="center"/>
            <w:hideMark/>
          </w:tcPr>
          <w:p w14:paraId="75F1FF0F"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Arial"/>
                <w:color w:val="000000"/>
              </w:rPr>
              <w:t>85,4</w:t>
            </w:r>
          </w:p>
        </w:tc>
        <w:tc>
          <w:tcPr>
            <w:tcW w:w="0" w:type="auto"/>
            <w:tcBorders>
              <w:top w:val="single" w:sz="4" w:space="0" w:color="4F81BD" w:themeColor="accent1"/>
              <w:left w:val="nil"/>
              <w:bottom w:val="nil"/>
              <w:right w:val="nil"/>
            </w:tcBorders>
            <w:shd w:val="clear" w:color="auto" w:fill="auto"/>
            <w:noWrap/>
            <w:vAlign w:val="center"/>
            <w:hideMark/>
          </w:tcPr>
          <w:p w14:paraId="5FD2EB91"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lang w:val="en-US"/>
              </w:rPr>
              <w:t>87,8</w:t>
            </w:r>
          </w:p>
        </w:tc>
        <w:tc>
          <w:tcPr>
            <w:tcW w:w="0" w:type="auto"/>
            <w:tcBorders>
              <w:top w:val="single" w:sz="4" w:space="0" w:color="4F81BD" w:themeColor="accent1"/>
              <w:left w:val="nil"/>
              <w:bottom w:val="nil"/>
              <w:right w:val="single" w:sz="4" w:space="0" w:color="4F81BD" w:themeColor="accent1"/>
            </w:tcBorders>
            <w:shd w:val="clear" w:color="auto" w:fill="auto"/>
            <w:vAlign w:val="center"/>
            <w:hideMark/>
          </w:tcPr>
          <w:p w14:paraId="39A4031A" w14:textId="0250515B" w:rsidR="00692BDF" w:rsidRPr="00C32F9E" w:rsidRDefault="00CD7213"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lang w:val="en-US"/>
              </w:rPr>
              <w:t>81,3</w:t>
            </w:r>
          </w:p>
        </w:tc>
      </w:tr>
      <w:tr w:rsidR="00692BDF" w:rsidRPr="00692BDF" w14:paraId="0F456351" w14:textId="77777777" w:rsidTr="00445180">
        <w:trPr>
          <w:trHeight w:val="345"/>
        </w:trPr>
        <w:tc>
          <w:tcPr>
            <w:tcW w:w="0" w:type="auto"/>
            <w:vMerge/>
            <w:tcBorders>
              <w:top w:val="nil"/>
              <w:left w:val="single" w:sz="4" w:space="0" w:color="4F81BD" w:themeColor="accent1"/>
              <w:bottom w:val="single" w:sz="4" w:space="0" w:color="4F81BD" w:themeColor="accent1"/>
              <w:right w:val="single" w:sz="4" w:space="0" w:color="4F81BD" w:themeColor="accent1"/>
            </w:tcBorders>
            <w:vAlign w:val="center"/>
            <w:hideMark/>
          </w:tcPr>
          <w:p w14:paraId="7F093CC5" w14:textId="77777777" w:rsidR="00692BDF" w:rsidRPr="00C32F9E" w:rsidRDefault="00692BDF" w:rsidP="00692BDF">
            <w:pPr>
              <w:spacing w:after="0" w:line="240" w:lineRule="auto"/>
              <w:rPr>
                <w:rFonts w:ascii="Arial Narrow" w:eastAsia="Times New Roman" w:hAnsi="Arial Narrow" w:cs="Calibri"/>
                <w:color w:val="000000"/>
                <w:lang w:val="en-US"/>
              </w:rPr>
            </w:pPr>
          </w:p>
        </w:tc>
        <w:tc>
          <w:tcPr>
            <w:tcW w:w="0" w:type="auto"/>
            <w:tcBorders>
              <w:top w:val="nil"/>
              <w:left w:val="single" w:sz="4" w:space="0" w:color="4F81BD" w:themeColor="accent1"/>
              <w:bottom w:val="single" w:sz="4" w:space="0" w:color="4F81BD" w:themeColor="accent1"/>
              <w:right w:val="single" w:sz="4" w:space="0" w:color="4F81BD" w:themeColor="accent1"/>
            </w:tcBorders>
            <w:shd w:val="clear" w:color="auto" w:fill="auto"/>
            <w:noWrap/>
            <w:vAlign w:val="center"/>
            <w:hideMark/>
          </w:tcPr>
          <w:p w14:paraId="206D475B" w14:textId="77777777" w:rsidR="00692BDF" w:rsidRPr="00C32F9E" w:rsidRDefault="00692BDF" w:rsidP="00692BDF">
            <w:pPr>
              <w:spacing w:after="0" w:line="240" w:lineRule="auto"/>
              <w:rPr>
                <w:rFonts w:ascii="Arial Narrow" w:eastAsia="Times New Roman" w:hAnsi="Arial Narrow" w:cs="Calibri"/>
                <w:color w:val="000000"/>
                <w:lang w:val="en-US"/>
              </w:rPr>
            </w:pPr>
            <w:r w:rsidRPr="00C32F9E">
              <w:rPr>
                <w:rFonts w:ascii="Arial Narrow" w:eastAsia="Times New Roman" w:hAnsi="Arial Narrow" w:cs="Calibri"/>
                <w:color w:val="000000"/>
              </w:rPr>
              <w:t>Kratkoročni devizni dug (% rezervi)</w:t>
            </w:r>
          </w:p>
        </w:tc>
        <w:tc>
          <w:tcPr>
            <w:tcW w:w="0" w:type="auto"/>
            <w:tcBorders>
              <w:top w:val="nil"/>
              <w:left w:val="single" w:sz="4" w:space="0" w:color="4F81BD" w:themeColor="accent1"/>
              <w:bottom w:val="single" w:sz="4" w:space="0" w:color="4F81BD" w:themeColor="accent1"/>
              <w:right w:val="nil"/>
            </w:tcBorders>
            <w:shd w:val="clear" w:color="auto" w:fill="auto"/>
            <w:vAlign w:val="center"/>
            <w:hideMark/>
          </w:tcPr>
          <w:p w14:paraId="1B573638"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Arial"/>
                <w:color w:val="000000"/>
              </w:rPr>
              <w:t>3,7</w:t>
            </w:r>
          </w:p>
        </w:tc>
        <w:tc>
          <w:tcPr>
            <w:tcW w:w="0" w:type="auto"/>
            <w:tcBorders>
              <w:top w:val="nil"/>
              <w:left w:val="nil"/>
              <w:bottom w:val="single" w:sz="4" w:space="0" w:color="4F81BD" w:themeColor="accent1"/>
              <w:right w:val="nil"/>
            </w:tcBorders>
            <w:shd w:val="clear" w:color="auto" w:fill="auto"/>
            <w:noWrap/>
            <w:vAlign w:val="center"/>
            <w:hideMark/>
          </w:tcPr>
          <w:p w14:paraId="7BC7B2BE"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lang w:val="en-US"/>
              </w:rPr>
              <w:t>3,0</w:t>
            </w:r>
          </w:p>
        </w:tc>
        <w:tc>
          <w:tcPr>
            <w:tcW w:w="0" w:type="auto"/>
            <w:tcBorders>
              <w:top w:val="nil"/>
              <w:left w:val="nil"/>
              <w:bottom w:val="single" w:sz="4" w:space="0" w:color="4F81BD" w:themeColor="accent1"/>
              <w:right w:val="single" w:sz="4" w:space="0" w:color="4F81BD" w:themeColor="accent1"/>
            </w:tcBorders>
            <w:shd w:val="clear" w:color="auto" w:fill="auto"/>
            <w:vAlign w:val="center"/>
            <w:hideMark/>
          </w:tcPr>
          <w:p w14:paraId="37213044" w14:textId="77777777" w:rsidR="00692BDF" w:rsidRPr="00C32F9E" w:rsidRDefault="00692BDF" w:rsidP="00692BDF">
            <w:pPr>
              <w:spacing w:after="0" w:line="240" w:lineRule="auto"/>
              <w:jc w:val="center"/>
              <w:rPr>
                <w:rFonts w:ascii="Arial Narrow" w:eastAsia="Times New Roman" w:hAnsi="Arial Narrow" w:cs="Calibri"/>
                <w:color w:val="000000"/>
                <w:lang w:val="en-US"/>
              </w:rPr>
            </w:pPr>
            <w:r w:rsidRPr="00C32F9E">
              <w:rPr>
                <w:rFonts w:ascii="Arial Narrow" w:eastAsia="Times New Roman" w:hAnsi="Arial Narrow" w:cs="Calibri"/>
                <w:color w:val="000000"/>
                <w:lang w:val="en-US"/>
              </w:rPr>
              <w:t>3,3</w:t>
            </w:r>
          </w:p>
        </w:tc>
      </w:tr>
    </w:tbl>
    <w:p w14:paraId="391A4E12" w14:textId="3CCEC9B5" w:rsidR="00073673" w:rsidRDefault="00073673" w:rsidP="00902BC4"/>
    <w:p w14:paraId="515ED086" w14:textId="77777777" w:rsidR="00ED768D" w:rsidRPr="00D912D1" w:rsidRDefault="00ED768D" w:rsidP="00627D74">
      <w:pPr>
        <w:pStyle w:val="Heading2"/>
        <w:numPr>
          <w:ilvl w:val="1"/>
          <w:numId w:val="5"/>
        </w:numPr>
        <w:spacing w:before="0"/>
        <w:rPr>
          <w:rFonts w:ascii="Arial" w:hAnsi="Arial" w:cs="Arial"/>
          <w:b w:val="0"/>
          <w:color w:val="auto"/>
          <w:sz w:val="22"/>
          <w:szCs w:val="22"/>
        </w:rPr>
      </w:pPr>
      <w:bookmarkStart w:id="128" w:name="_Toc100823762"/>
      <w:r w:rsidRPr="00D912D1">
        <w:rPr>
          <w:rFonts w:ascii="Arial" w:hAnsi="Arial" w:cs="Arial"/>
          <w:b w:val="0"/>
          <w:color w:val="auto"/>
          <w:sz w:val="22"/>
          <w:szCs w:val="22"/>
        </w:rPr>
        <w:t>Opis alternativnih strategija zaduživanja</w:t>
      </w:r>
      <w:bookmarkEnd w:id="128"/>
      <w:r w:rsidRPr="00D912D1">
        <w:rPr>
          <w:rFonts w:ascii="Arial" w:hAnsi="Arial" w:cs="Arial"/>
          <w:b w:val="0"/>
          <w:color w:val="auto"/>
          <w:sz w:val="22"/>
          <w:szCs w:val="22"/>
        </w:rPr>
        <w:t xml:space="preserve"> </w:t>
      </w:r>
    </w:p>
    <w:p w14:paraId="76A65F8D" w14:textId="649ACA92" w:rsidR="00902BC4" w:rsidRPr="00BB75CD" w:rsidRDefault="00902BC4" w:rsidP="00ED768D">
      <w:pPr>
        <w:spacing w:after="0"/>
        <w:rPr>
          <w:rFonts w:ascii="Arial" w:hAnsi="Arial" w:cs="Arial"/>
          <w:color w:val="E36C0A" w:themeColor="accent6" w:themeShade="BF"/>
        </w:rPr>
      </w:pPr>
    </w:p>
    <w:p w14:paraId="6C8384F4" w14:textId="3E84F10A" w:rsidR="00ED768D" w:rsidRPr="00BB75CD" w:rsidRDefault="00ED768D" w:rsidP="00095017">
      <w:pPr>
        <w:spacing w:after="0"/>
        <w:ind w:firstLine="426"/>
        <w:jc w:val="both"/>
        <w:rPr>
          <w:rFonts w:ascii="Arial" w:hAnsi="Arial" w:cs="Arial"/>
        </w:rPr>
      </w:pPr>
      <w:r w:rsidRPr="00BB75CD">
        <w:rPr>
          <w:rFonts w:ascii="Arial" w:hAnsi="Arial" w:cs="Arial"/>
        </w:rPr>
        <w:t>Vanjsko zaduživanje F</w:t>
      </w:r>
      <w:r w:rsidR="00B44EE9" w:rsidRPr="00BB75CD">
        <w:rPr>
          <w:rFonts w:ascii="Arial" w:hAnsi="Arial" w:cs="Arial"/>
        </w:rPr>
        <w:t xml:space="preserve">ederacije </w:t>
      </w:r>
      <w:r w:rsidRPr="00BB75CD">
        <w:rPr>
          <w:rFonts w:ascii="Arial" w:hAnsi="Arial" w:cs="Arial"/>
        </w:rPr>
        <w:t xml:space="preserve">BiH će se koristi za </w:t>
      </w:r>
      <w:r w:rsidR="009A78EF">
        <w:rPr>
          <w:rFonts w:ascii="Arial" w:hAnsi="Arial" w:cs="Arial"/>
        </w:rPr>
        <w:t>financ</w:t>
      </w:r>
      <w:r w:rsidRPr="00BB75CD">
        <w:rPr>
          <w:rFonts w:ascii="Arial" w:hAnsi="Arial" w:cs="Arial"/>
        </w:rPr>
        <w:t xml:space="preserve">iranje razvojnih programa i kao podrška </w:t>
      </w:r>
      <w:r w:rsidR="009A78EF">
        <w:rPr>
          <w:rFonts w:ascii="Arial" w:hAnsi="Arial" w:cs="Arial"/>
        </w:rPr>
        <w:t>proračun</w:t>
      </w:r>
      <w:r w:rsidRPr="00BB75CD">
        <w:rPr>
          <w:rFonts w:ascii="Arial" w:hAnsi="Arial" w:cs="Arial"/>
        </w:rPr>
        <w:t xml:space="preserve">u. </w:t>
      </w:r>
      <w:r w:rsidR="002D0909" w:rsidRPr="00BB75CD">
        <w:rPr>
          <w:rFonts w:ascii="Arial" w:hAnsi="Arial" w:cs="Arial"/>
        </w:rPr>
        <w:t>Razvojni programi su</w:t>
      </w:r>
      <w:r w:rsidR="00C705CB">
        <w:rPr>
          <w:rFonts w:ascii="Arial" w:hAnsi="Arial" w:cs="Arial"/>
        </w:rPr>
        <w:t xml:space="preserve"> projekti s</w:t>
      </w:r>
      <w:r w:rsidRPr="00BB75CD">
        <w:rPr>
          <w:rFonts w:ascii="Arial" w:hAnsi="Arial" w:cs="Arial"/>
        </w:rPr>
        <w:t xml:space="preserve"> unaprijed identificiranim kreditorima i </w:t>
      </w:r>
      <w:r w:rsidR="00536791" w:rsidRPr="00BB75CD">
        <w:rPr>
          <w:rFonts w:ascii="Arial" w:hAnsi="Arial" w:cs="Arial"/>
        </w:rPr>
        <w:t>pod</w:t>
      </w:r>
      <w:r w:rsidRPr="00BB75CD">
        <w:rPr>
          <w:rFonts w:ascii="Arial" w:hAnsi="Arial" w:cs="Arial"/>
        </w:rPr>
        <w:t xml:space="preserve"> poznatim u</w:t>
      </w:r>
      <w:r w:rsidR="00C705CB">
        <w:rPr>
          <w:rFonts w:ascii="Arial" w:hAnsi="Arial" w:cs="Arial"/>
        </w:rPr>
        <w:t>vjetima</w:t>
      </w:r>
      <w:r w:rsidRPr="00BB75CD">
        <w:rPr>
          <w:rFonts w:ascii="Arial" w:hAnsi="Arial" w:cs="Arial"/>
        </w:rPr>
        <w:t xml:space="preserve">, te je time ograničena mogućnost pregovaranja </w:t>
      </w:r>
      <w:r w:rsidR="009A78EF">
        <w:rPr>
          <w:rFonts w:ascii="Arial" w:hAnsi="Arial" w:cs="Arial"/>
        </w:rPr>
        <w:t>financ</w:t>
      </w:r>
      <w:r w:rsidRPr="00BB75CD">
        <w:rPr>
          <w:rFonts w:ascii="Arial" w:hAnsi="Arial" w:cs="Arial"/>
        </w:rPr>
        <w:t>ijskih u</w:t>
      </w:r>
      <w:r w:rsidR="00C705CB">
        <w:rPr>
          <w:rFonts w:ascii="Arial" w:hAnsi="Arial" w:cs="Arial"/>
        </w:rPr>
        <w:t>vjeta</w:t>
      </w:r>
      <w:r w:rsidRPr="00BB75CD">
        <w:rPr>
          <w:rFonts w:ascii="Arial" w:hAnsi="Arial" w:cs="Arial"/>
        </w:rPr>
        <w:t xml:space="preserve"> kredita. Tim ograničenjima treba upravljati u kombinaciji s ograničenjima opisanim za domaće </w:t>
      </w:r>
      <w:r w:rsidR="009A78EF">
        <w:rPr>
          <w:rFonts w:ascii="Arial" w:hAnsi="Arial" w:cs="Arial"/>
        </w:rPr>
        <w:t>financ</w:t>
      </w:r>
      <w:r w:rsidRPr="00BB75CD">
        <w:rPr>
          <w:rFonts w:ascii="Arial" w:hAnsi="Arial" w:cs="Arial"/>
        </w:rPr>
        <w:t xml:space="preserve">iranje, </w:t>
      </w:r>
      <w:r w:rsidR="00C705CB">
        <w:rPr>
          <w:rFonts w:ascii="Arial" w:hAnsi="Arial" w:cs="Arial"/>
        </w:rPr>
        <w:t>kako</w:t>
      </w:r>
      <w:r w:rsidRPr="00BB75CD">
        <w:rPr>
          <w:rFonts w:ascii="Arial" w:hAnsi="Arial" w:cs="Arial"/>
        </w:rPr>
        <w:t xml:space="preserve"> bi se ublažili ranije identificirani rizici. </w:t>
      </w:r>
    </w:p>
    <w:p w14:paraId="0C90636E" w14:textId="77777777" w:rsidR="00AB5C50" w:rsidRPr="00BB75CD" w:rsidRDefault="00AB5C50" w:rsidP="00ED768D">
      <w:pPr>
        <w:spacing w:after="0"/>
        <w:jc w:val="both"/>
        <w:rPr>
          <w:rFonts w:ascii="Arial" w:hAnsi="Arial" w:cs="Arial"/>
        </w:rPr>
      </w:pPr>
    </w:p>
    <w:p w14:paraId="1A431DE6" w14:textId="75DDA1E6" w:rsidR="0056558E" w:rsidRPr="00073673" w:rsidRDefault="0056558E" w:rsidP="000D15AD">
      <w:pPr>
        <w:spacing w:after="0"/>
        <w:jc w:val="both"/>
        <w:rPr>
          <w:rFonts w:ascii="Arial" w:hAnsi="Arial" w:cs="Arial"/>
        </w:rPr>
      </w:pPr>
      <w:r w:rsidRPr="00D912D1">
        <w:rPr>
          <w:rFonts w:ascii="Arial" w:hAnsi="Arial" w:cs="Arial"/>
          <w:b/>
          <w:i/>
        </w:rPr>
        <w:t>Strategija (S1)</w:t>
      </w:r>
      <w:r w:rsidR="001446EC" w:rsidRPr="00073673">
        <w:rPr>
          <w:rFonts w:ascii="Arial" w:hAnsi="Arial" w:cs="Arial"/>
          <w:b/>
          <w:i/>
        </w:rPr>
        <w:t>:</w:t>
      </w:r>
      <w:r w:rsidRPr="00073673">
        <w:rPr>
          <w:rFonts w:ascii="Arial" w:hAnsi="Arial" w:cs="Arial"/>
          <w:i/>
        </w:rPr>
        <w:t xml:space="preserve"> z</w:t>
      </w:r>
      <w:r w:rsidR="00ED768D" w:rsidRPr="00073673">
        <w:rPr>
          <w:rFonts w:ascii="Arial" w:hAnsi="Arial" w:cs="Arial"/>
          <w:i/>
        </w:rPr>
        <w:t>aduživanje F</w:t>
      </w:r>
      <w:r w:rsidR="00B44EE9" w:rsidRPr="00073673">
        <w:rPr>
          <w:rFonts w:ascii="Arial" w:hAnsi="Arial" w:cs="Arial"/>
          <w:i/>
        </w:rPr>
        <w:t xml:space="preserve">ederacije </w:t>
      </w:r>
      <w:r w:rsidR="00BE2B69" w:rsidRPr="00073673">
        <w:rPr>
          <w:rFonts w:ascii="Arial" w:hAnsi="Arial" w:cs="Arial"/>
          <w:i/>
        </w:rPr>
        <w:t>BiH u skladu s</w:t>
      </w:r>
      <w:r w:rsidR="00ED768D" w:rsidRPr="00073673">
        <w:rPr>
          <w:rFonts w:ascii="Arial" w:hAnsi="Arial" w:cs="Arial"/>
          <w:i/>
        </w:rPr>
        <w:t xml:space="preserve"> </w:t>
      </w:r>
      <w:r w:rsidR="009A78EF">
        <w:rPr>
          <w:rFonts w:ascii="Arial" w:hAnsi="Arial" w:cs="Arial"/>
          <w:i/>
        </w:rPr>
        <w:t>Proračun</w:t>
      </w:r>
      <w:r w:rsidR="00BE14BB" w:rsidRPr="00073673">
        <w:rPr>
          <w:rFonts w:ascii="Arial" w:hAnsi="Arial" w:cs="Arial"/>
          <w:i/>
        </w:rPr>
        <w:t>om Federacije BiH</w:t>
      </w:r>
      <w:r w:rsidR="00B1260C" w:rsidRPr="00073673">
        <w:rPr>
          <w:rFonts w:ascii="Arial" w:hAnsi="Arial" w:cs="Arial"/>
          <w:i/>
        </w:rPr>
        <w:t xml:space="preserve"> za </w:t>
      </w:r>
      <w:r w:rsidR="00997948" w:rsidRPr="00073673">
        <w:rPr>
          <w:rFonts w:ascii="Arial" w:hAnsi="Arial" w:cs="Arial"/>
          <w:i/>
        </w:rPr>
        <w:t>2022</w:t>
      </w:r>
      <w:r w:rsidR="00B1260C" w:rsidRPr="00073673">
        <w:rPr>
          <w:rFonts w:ascii="Arial" w:hAnsi="Arial" w:cs="Arial"/>
          <w:i/>
        </w:rPr>
        <w:t>. godinu</w:t>
      </w:r>
      <w:r w:rsidR="00BE14BB" w:rsidRPr="00073673">
        <w:rPr>
          <w:rFonts w:ascii="Arial" w:hAnsi="Arial" w:cs="Arial"/>
          <w:i/>
        </w:rPr>
        <w:t xml:space="preserve">, </w:t>
      </w:r>
      <w:r w:rsidR="00902BC4" w:rsidRPr="00073673">
        <w:rPr>
          <w:rFonts w:ascii="Arial" w:hAnsi="Arial" w:cs="Arial"/>
          <w:i/>
        </w:rPr>
        <w:t>Dokument</w:t>
      </w:r>
      <w:r w:rsidR="00492159" w:rsidRPr="00073673">
        <w:rPr>
          <w:rFonts w:ascii="Arial" w:hAnsi="Arial" w:cs="Arial"/>
          <w:i/>
        </w:rPr>
        <w:t>om</w:t>
      </w:r>
      <w:r w:rsidR="00902BC4" w:rsidRPr="00073673">
        <w:rPr>
          <w:rFonts w:ascii="Arial" w:hAnsi="Arial" w:cs="Arial"/>
          <w:i/>
        </w:rPr>
        <w:t xml:space="preserve"> okvirnog </w:t>
      </w:r>
      <w:r w:rsidR="009A78EF">
        <w:rPr>
          <w:rFonts w:ascii="Arial" w:hAnsi="Arial" w:cs="Arial"/>
          <w:i/>
        </w:rPr>
        <w:t>proračun</w:t>
      </w:r>
      <w:r w:rsidR="00902BC4" w:rsidRPr="00073673">
        <w:rPr>
          <w:rFonts w:ascii="Arial" w:hAnsi="Arial" w:cs="Arial"/>
          <w:i/>
        </w:rPr>
        <w:t>a Federacije BiH</w:t>
      </w:r>
      <w:r w:rsidR="0072143E" w:rsidRPr="00073673">
        <w:rPr>
          <w:rFonts w:ascii="Arial" w:hAnsi="Arial" w:cs="Arial"/>
          <w:i/>
        </w:rPr>
        <w:t xml:space="preserve"> u </w:t>
      </w:r>
      <w:r w:rsidR="00A31C4D">
        <w:rPr>
          <w:rFonts w:ascii="Arial" w:hAnsi="Arial" w:cs="Arial"/>
          <w:i/>
        </w:rPr>
        <w:t>razdoblju</w:t>
      </w:r>
      <w:r w:rsidR="0072143E" w:rsidRPr="00073673">
        <w:rPr>
          <w:rFonts w:ascii="Arial" w:hAnsi="Arial" w:cs="Arial"/>
          <w:i/>
        </w:rPr>
        <w:t xml:space="preserve"> </w:t>
      </w:r>
      <w:r w:rsidR="00997948" w:rsidRPr="00073673">
        <w:rPr>
          <w:rFonts w:ascii="Arial" w:hAnsi="Arial" w:cs="Arial"/>
          <w:i/>
        </w:rPr>
        <w:t>2022</w:t>
      </w:r>
      <w:r w:rsidR="0072143E" w:rsidRPr="00D912D1">
        <w:rPr>
          <w:rFonts w:ascii="Arial" w:hAnsi="Arial" w:cs="Arial"/>
          <w:i/>
        </w:rPr>
        <w:t>-</w:t>
      </w:r>
      <w:r w:rsidR="00997948" w:rsidRPr="00073673">
        <w:rPr>
          <w:rFonts w:ascii="Arial" w:hAnsi="Arial" w:cs="Arial"/>
          <w:i/>
        </w:rPr>
        <w:t>2024</w:t>
      </w:r>
      <w:r w:rsidR="00BE14BB" w:rsidRPr="00D912D1">
        <w:rPr>
          <w:rFonts w:ascii="Arial" w:hAnsi="Arial" w:cs="Arial"/>
          <w:i/>
        </w:rPr>
        <w:t>. godina</w:t>
      </w:r>
      <w:r w:rsidR="00B1260C" w:rsidRPr="00073673">
        <w:rPr>
          <w:rFonts w:ascii="Arial" w:hAnsi="Arial" w:cs="Arial"/>
          <w:i/>
        </w:rPr>
        <w:t xml:space="preserve"> i</w:t>
      </w:r>
      <w:r w:rsidR="00ED768D" w:rsidRPr="00073673">
        <w:rPr>
          <w:rFonts w:ascii="Arial" w:hAnsi="Arial" w:cs="Arial"/>
          <w:i/>
        </w:rPr>
        <w:t xml:space="preserve"> PJI</w:t>
      </w:r>
      <w:r w:rsidR="00B1260C" w:rsidRPr="00073673">
        <w:rPr>
          <w:rFonts w:ascii="Arial" w:hAnsi="Arial" w:cs="Arial"/>
          <w:i/>
        </w:rPr>
        <w:t xml:space="preserve">-a za </w:t>
      </w:r>
      <w:r w:rsidR="00C705CB">
        <w:rPr>
          <w:rFonts w:ascii="Arial" w:hAnsi="Arial" w:cs="Arial"/>
          <w:i/>
        </w:rPr>
        <w:t>razdoblje</w:t>
      </w:r>
      <w:r w:rsidR="00ED768D" w:rsidRPr="00073673">
        <w:rPr>
          <w:rFonts w:ascii="Arial" w:hAnsi="Arial" w:cs="Arial"/>
          <w:i/>
        </w:rPr>
        <w:t xml:space="preserve"> </w:t>
      </w:r>
      <w:r w:rsidR="00997948" w:rsidRPr="00073673">
        <w:rPr>
          <w:rFonts w:ascii="Arial" w:hAnsi="Arial" w:cs="Arial"/>
          <w:i/>
        </w:rPr>
        <w:t>2022</w:t>
      </w:r>
      <w:r w:rsidR="00AB0693" w:rsidRPr="00073673">
        <w:rPr>
          <w:rFonts w:ascii="Arial" w:hAnsi="Arial" w:cs="Arial"/>
          <w:i/>
        </w:rPr>
        <w:t>-</w:t>
      </w:r>
      <w:r w:rsidR="00997948" w:rsidRPr="00073673">
        <w:rPr>
          <w:rFonts w:ascii="Arial" w:hAnsi="Arial" w:cs="Arial"/>
          <w:i/>
        </w:rPr>
        <w:t>2024</w:t>
      </w:r>
      <w:r w:rsidRPr="00073673">
        <w:rPr>
          <w:rFonts w:ascii="Arial" w:hAnsi="Arial" w:cs="Arial"/>
          <w:i/>
        </w:rPr>
        <w:t>. godine</w:t>
      </w:r>
      <w:r w:rsidR="00BE14BB" w:rsidRPr="00073673">
        <w:rPr>
          <w:rFonts w:ascii="Arial" w:hAnsi="Arial" w:cs="Arial"/>
          <w:i/>
        </w:rPr>
        <w:t>.</w:t>
      </w:r>
      <w:r w:rsidRPr="00073673">
        <w:rPr>
          <w:rFonts w:ascii="Arial" w:hAnsi="Arial" w:cs="Arial"/>
          <w:i/>
        </w:rPr>
        <w:t xml:space="preserve"> </w:t>
      </w:r>
      <w:r w:rsidR="009A78EF">
        <w:rPr>
          <w:rFonts w:ascii="Arial" w:hAnsi="Arial" w:cs="Arial"/>
          <w:i/>
        </w:rPr>
        <w:t>Financ</w:t>
      </w:r>
      <w:r w:rsidR="00ED768D" w:rsidRPr="00073673">
        <w:rPr>
          <w:rFonts w:ascii="Arial" w:hAnsi="Arial" w:cs="Arial"/>
          <w:i/>
        </w:rPr>
        <w:t xml:space="preserve">iranje razvojnih projekta do </w:t>
      </w:r>
      <w:r w:rsidR="00997948" w:rsidRPr="00073673">
        <w:rPr>
          <w:rFonts w:ascii="Arial" w:hAnsi="Arial" w:cs="Arial"/>
          <w:i/>
        </w:rPr>
        <w:t>2024</w:t>
      </w:r>
      <w:r w:rsidR="00ED768D" w:rsidRPr="00073673">
        <w:rPr>
          <w:rFonts w:ascii="Arial" w:hAnsi="Arial" w:cs="Arial"/>
          <w:i/>
        </w:rPr>
        <w:t xml:space="preserve">. godine procijenjeno je na </w:t>
      </w:r>
      <w:r w:rsidR="00AB0693" w:rsidRPr="00073673">
        <w:rPr>
          <w:rFonts w:ascii="Arial" w:hAnsi="Arial" w:cs="Arial"/>
          <w:i/>
        </w:rPr>
        <w:t>1.</w:t>
      </w:r>
      <w:r w:rsidR="009137F0" w:rsidRPr="00445180">
        <w:rPr>
          <w:rFonts w:ascii="Arial" w:hAnsi="Arial" w:cs="Arial"/>
          <w:i/>
        </w:rPr>
        <w:t>791,56</w:t>
      </w:r>
      <w:r w:rsidR="00AB0693" w:rsidRPr="00073673">
        <w:rPr>
          <w:rFonts w:ascii="Arial" w:hAnsi="Arial" w:cs="Arial"/>
        </w:rPr>
        <w:t xml:space="preserve"> </w:t>
      </w:r>
      <w:r w:rsidR="00E672EB" w:rsidRPr="00073673">
        <w:rPr>
          <w:rFonts w:ascii="Arial" w:hAnsi="Arial" w:cs="Arial"/>
          <w:i/>
        </w:rPr>
        <w:t>mil.KM</w:t>
      </w:r>
      <w:r w:rsidR="00ED768D" w:rsidRPr="00073673">
        <w:rPr>
          <w:rFonts w:ascii="Arial" w:hAnsi="Arial" w:cs="Arial"/>
          <w:i/>
        </w:rPr>
        <w:t xml:space="preserve">. Vanjski izvori </w:t>
      </w:r>
      <w:r w:rsidR="009A78EF">
        <w:rPr>
          <w:rFonts w:ascii="Arial" w:hAnsi="Arial" w:cs="Arial"/>
          <w:i/>
        </w:rPr>
        <w:t>financ</w:t>
      </w:r>
      <w:r w:rsidR="00ED768D" w:rsidRPr="00073673">
        <w:rPr>
          <w:rFonts w:ascii="Arial" w:hAnsi="Arial" w:cs="Arial"/>
          <w:i/>
        </w:rPr>
        <w:t>i</w:t>
      </w:r>
      <w:r w:rsidR="00752945" w:rsidRPr="00073673">
        <w:rPr>
          <w:rFonts w:ascii="Arial" w:hAnsi="Arial" w:cs="Arial"/>
          <w:i/>
        </w:rPr>
        <w:t xml:space="preserve">ranja su okvirno identificirani </w:t>
      </w:r>
      <w:r w:rsidR="00BE14BB" w:rsidRPr="00073673">
        <w:rPr>
          <w:rFonts w:ascii="Arial" w:hAnsi="Arial" w:cs="Arial"/>
          <w:i/>
        </w:rPr>
        <w:t>(tab</w:t>
      </w:r>
      <w:r w:rsidR="00C705CB">
        <w:rPr>
          <w:rFonts w:ascii="Arial" w:hAnsi="Arial" w:cs="Arial"/>
          <w:i/>
        </w:rPr>
        <w:t>lica</w:t>
      </w:r>
      <w:r w:rsidR="00BE14BB" w:rsidRPr="00073673">
        <w:rPr>
          <w:rFonts w:ascii="Arial" w:hAnsi="Arial" w:cs="Arial"/>
          <w:i/>
        </w:rPr>
        <w:t xml:space="preserve"> 8.)</w:t>
      </w:r>
      <w:r w:rsidR="00492159" w:rsidRPr="00073673">
        <w:rPr>
          <w:rFonts w:ascii="Arial" w:hAnsi="Arial" w:cs="Arial"/>
          <w:i/>
        </w:rPr>
        <w:t>. U</w:t>
      </w:r>
      <w:r w:rsidR="002F0375" w:rsidRPr="00073673">
        <w:rPr>
          <w:rFonts w:ascii="Arial" w:hAnsi="Arial" w:cs="Arial"/>
          <w:i/>
        </w:rPr>
        <w:t xml:space="preserve"> kontekstu procjene troškova i rizika </w:t>
      </w:r>
      <w:r w:rsidR="00492159" w:rsidRPr="00073673">
        <w:rPr>
          <w:rFonts w:ascii="Arial" w:hAnsi="Arial" w:cs="Arial"/>
          <w:i/>
        </w:rPr>
        <w:t xml:space="preserve">vanjske kredite </w:t>
      </w:r>
      <w:r w:rsidR="00C705CB" w:rsidRPr="00073673">
        <w:rPr>
          <w:rFonts w:ascii="Arial" w:hAnsi="Arial" w:cs="Arial"/>
          <w:i/>
        </w:rPr>
        <w:t>namijenjene</w:t>
      </w:r>
      <w:r w:rsidR="00492159" w:rsidRPr="00073673">
        <w:rPr>
          <w:rFonts w:ascii="Arial" w:hAnsi="Arial" w:cs="Arial"/>
          <w:i/>
        </w:rPr>
        <w:t xml:space="preserve"> realizaciji PJI Federacije BiH</w:t>
      </w:r>
      <w:r w:rsidR="002F0375" w:rsidRPr="00073673">
        <w:rPr>
          <w:rFonts w:ascii="Arial" w:hAnsi="Arial" w:cs="Arial"/>
          <w:i/>
        </w:rPr>
        <w:t xml:space="preserve"> </w:t>
      </w:r>
      <w:r w:rsidR="00C705CB" w:rsidRPr="00073673">
        <w:rPr>
          <w:rFonts w:ascii="Arial" w:hAnsi="Arial" w:cs="Arial"/>
          <w:i/>
        </w:rPr>
        <w:t>primijenjeni</w:t>
      </w:r>
      <w:r w:rsidR="00492159" w:rsidRPr="00073673">
        <w:rPr>
          <w:rFonts w:ascii="Arial" w:hAnsi="Arial" w:cs="Arial"/>
          <w:i/>
        </w:rPr>
        <w:t xml:space="preserve"> su </w:t>
      </w:r>
      <w:r w:rsidR="002F0375" w:rsidRPr="00073673">
        <w:rPr>
          <w:rFonts w:ascii="Arial" w:hAnsi="Arial" w:cs="Arial"/>
          <w:i/>
        </w:rPr>
        <w:t>kreditni u</w:t>
      </w:r>
      <w:r w:rsidR="00C705CB">
        <w:rPr>
          <w:rFonts w:ascii="Arial" w:hAnsi="Arial" w:cs="Arial"/>
          <w:i/>
        </w:rPr>
        <w:t>vjeti</w:t>
      </w:r>
      <w:r w:rsidR="00752945" w:rsidRPr="00073673">
        <w:rPr>
          <w:rFonts w:ascii="Arial" w:hAnsi="Arial" w:cs="Arial"/>
          <w:i/>
        </w:rPr>
        <w:t xml:space="preserve"> </w:t>
      </w:r>
      <w:r w:rsidR="00C705CB">
        <w:rPr>
          <w:rFonts w:ascii="Arial" w:hAnsi="Arial" w:cs="Arial"/>
          <w:i/>
        </w:rPr>
        <w:t>u skladu s</w:t>
      </w:r>
      <w:r w:rsidR="005908FE" w:rsidRPr="00073673">
        <w:rPr>
          <w:rFonts w:ascii="Arial" w:hAnsi="Arial" w:cs="Arial"/>
          <w:i/>
        </w:rPr>
        <w:t xml:space="preserve"> generalnim u</w:t>
      </w:r>
      <w:r w:rsidR="00C705CB">
        <w:rPr>
          <w:rFonts w:ascii="Arial" w:hAnsi="Arial" w:cs="Arial"/>
          <w:i/>
        </w:rPr>
        <w:t>vjetima</w:t>
      </w:r>
      <w:r w:rsidR="005908FE" w:rsidRPr="00073673">
        <w:rPr>
          <w:rFonts w:ascii="Arial" w:hAnsi="Arial" w:cs="Arial"/>
          <w:i/>
        </w:rPr>
        <w:t xml:space="preserve"> poslovanja kreditora u pogledu</w:t>
      </w:r>
      <w:r w:rsidR="00752945" w:rsidRPr="00073673">
        <w:rPr>
          <w:rFonts w:ascii="Arial" w:hAnsi="Arial" w:cs="Arial"/>
          <w:i/>
        </w:rPr>
        <w:t xml:space="preserve"> fiksn</w:t>
      </w:r>
      <w:r w:rsidR="00492159" w:rsidRPr="00073673">
        <w:rPr>
          <w:rFonts w:ascii="Arial" w:hAnsi="Arial" w:cs="Arial"/>
          <w:i/>
        </w:rPr>
        <w:t>e</w:t>
      </w:r>
      <w:r w:rsidR="00752945" w:rsidRPr="00073673">
        <w:rPr>
          <w:rFonts w:ascii="Arial" w:hAnsi="Arial" w:cs="Arial"/>
          <w:i/>
        </w:rPr>
        <w:t xml:space="preserve"> i</w:t>
      </w:r>
      <w:r w:rsidR="005908FE" w:rsidRPr="00073673">
        <w:rPr>
          <w:rFonts w:ascii="Arial" w:hAnsi="Arial" w:cs="Arial"/>
          <w:i/>
        </w:rPr>
        <w:t>li</w:t>
      </w:r>
      <w:r w:rsidR="00752945" w:rsidRPr="00073673">
        <w:rPr>
          <w:rFonts w:ascii="Arial" w:hAnsi="Arial" w:cs="Arial"/>
          <w:i/>
        </w:rPr>
        <w:t xml:space="preserve"> promjenjiv</w:t>
      </w:r>
      <w:r w:rsidR="00492159" w:rsidRPr="00073673">
        <w:rPr>
          <w:rFonts w:ascii="Arial" w:hAnsi="Arial" w:cs="Arial"/>
          <w:i/>
        </w:rPr>
        <w:t>e</w:t>
      </w:r>
      <w:r w:rsidR="00752945" w:rsidRPr="00073673">
        <w:rPr>
          <w:rFonts w:ascii="Arial" w:hAnsi="Arial" w:cs="Arial"/>
          <w:i/>
        </w:rPr>
        <w:t xml:space="preserve"> kamatn</w:t>
      </w:r>
      <w:r w:rsidR="00492159" w:rsidRPr="00073673">
        <w:rPr>
          <w:rFonts w:ascii="Arial" w:hAnsi="Arial" w:cs="Arial"/>
          <w:i/>
        </w:rPr>
        <w:t>e</w:t>
      </w:r>
      <w:r w:rsidR="00752945" w:rsidRPr="00073673">
        <w:rPr>
          <w:rFonts w:ascii="Arial" w:hAnsi="Arial" w:cs="Arial"/>
          <w:i/>
        </w:rPr>
        <w:t xml:space="preserve"> stop</w:t>
      </w:r>
      <w:r w:rsidR="00492159" w:rsidRPr="00073673">
        <w:rPr>
          <w:rFonts w:ascii="Arial" w:hAnsi="Arial" w:cs="Arial"/>
          <w:i/>
        </w:rPr>
        <w:t>e</w:t>
      </w:r>
      <w:r w:rsidR="002F0375" w:rsidRPr="00073673">
        <w:rPr>
          <w:rFonts w:ascii="Arial" w:hAnsi="Arial" w:cs="Arial"/>
          <w:i/>
        </w:rPr>
        <w:t xml:space="preserve"> uz preferiranu valutu EUR</w:t>
      </w:r>
      <w:r w:rsidR="00752945" w:rsidRPr="00073673">
        <w:rPr>
          <w:rFonts w:ascii="Arial" w:hAnsi="Arial" w:cs="Arial"/>
          <w:i/>
        </w:rPr>
        <w:t>.</w:t>
      </w:r>
      <w:r w:rsidR="00ED768D" w:rsidRPr="00073673">
        <w:rPr>
          <w:rFonts w:ascii="Arial" w:hAnsi="Arial" w:cs="Arial"/>
          <w:i/>
        </w:rPr>
        <w:t xml:space="preserve"> </w:t>
      </w:r>
      <w:r w:rsidR="009A78EF">
        <w:rPr>
          <w:rFonts w:ascii="Arial" w:hAnsi="Arial" w:cs="Arial"/>
          <w:i/>
        </w:rPr>
        <w:t>Proračun</w:t>
      </w:r>
      <w:r w:rsidR="007E269C" w:rsidRPr="00073673">
        <w:rPr>
          <w:rFonts w:ascii="Arial" w:hAnsi="Arial" w:cs="Arial"/>
          <w:i/>
        </w:rPr>
        <w:t xml:space="preserve">ska podrška će se </w:t>
      </w:r>
      <w:r w:rsidR="009A78EF">
        <w:rPr>
          <w:rFonts w:ascii="Arial" w:hAnsi="Arial" w:cs="Arial"/>
          <w:i/>
        </w:rPr>
        <w:t>financ</w:t>
      </w:r>
      <w:r w:rsidR="007E269C" w:rsidRPr="00073673">
        <w:rPr>
          <w:rFonts w:ascii="Arial" w:hAnsi="Arial" w:cs="Arial"/>
          <w:i/>
        </w:rPr>
        <w:t>irati</w:t>
      </w:r>
      <w:r w:rsidRPr="00073673">
        <w:rPr>
          <w:rFonts w:ascii="Arial" w:hAnsi="Arial" w:cs="Arial"/>
          <w:i/>
        </w:rPr>
        <w:t xml:space="preserve"> </w:t>
      </w:r>
      <w:r w:rsidR="00715ECB" w:rsidRPr="00073673">
        <w:rPr>
          <w:rFonts w:ascii="Arial" w:hAnsi="Arial" w:cs="Arial"/>
          <w:i/>
        </w:rPr>
        <w:t xml:space="preserve">sredstvima </w:t>
      </w:r>
      <w:r w:rsidR="00492159" w:rsidRPr="00073673">
        <w:rPr>
          <w:rFonts w:ascii="Arial" w:hAnsi="Arial" w:cs="Arial"/>
          <w:i/>
        </w:rPr>
        <w:t xml:space="preserve">Europske unije u okviru makroekonomske pomoći kao i sredstvima prikupljenim </w:t>
      </w:r>
      <w:r w:rsidRPr="00073673">
        <w:rPr>
          <w:rFonts w:ascii="Arial" w:hAnsi="Arial" w:cs="Arial"/>
          <w:i/>
        </w:rPr>
        <w:t xml:space="preserve">emisijama trezorskih zapisa i </w:t>
      </w:r>
      <w:r w:rsidR="00DD1578" w:rsidRPr="00073673">
        <w:rPr>
          <w:rFonts w:ascii="Arial" w:hAnsi="Arial" w:cs="Arial"/>
          <w:i/>
        </w:rPr>
        <w:t xml:space="preserve">trogodišnjih, </w:t>
      </w:r>
      <w:r w:rsidRPr="00073673">
        <w:rPr>
          <w:rFonts w:ascii="Arial" w:hAnsi="Arial" w:cs="Arial"/>
          <w:i/>
        </w:rPr>
        <w:t xml:space="preserve">petogodišnjih, </w:t>
      </w:r>
      <w:r w:rsidR="00492159" w:rsidRPr="00073673">
        <w:rPr>
          <w:rFonts w:ascii="Arial" w:hAnsi="Arial" w:cs="Arial"/>
          <w:i/>
        </w:rPr>
        <w:t xml:space="preserve">šestogodišnjih, </w:t>
      </w:r>
      <w:r w:rsidRPr="00073673">
        <w:rPr>
          <w:rFonts w:ascii="Arial" w:hAnsi="Arial" w:cs="Arial"/>
          <w:i/>
        </w:rPr>
        <w:t>sedmogodišnjih</w:t>
      </w:r>
      <w:r w:rsidR="00D1611F" w:rsidRPr="00073673">
        <w:rPr>
          <w:rFonts w:ascii="Arial" w:hAnsi="Arial" w:cs="Arial"/>
          <w:i/>
        </w:rPr>
        <w:t>,</w:t>
      </w:r>
      <w:r w:rsidRPr="00073673">
        <w:rPr>
          <w:rFonts w:ascii="Arial" w:hAnsi="Arial" w:cs="Arial"/>
          <w:i/>
        </w:rPr>
        <w:t xml:space="preserve"> desetogodišnjih </w:t>
      </w:r>
      <w:r w:rsidR="0047387A" w:rsidRPr="00073673">
        <w:rPr>
          <w:rFonts w:ascii="Arial" w:hAnsi="Arial" w:cs="Arial"/>
          <w:i/>
        </w:rPr>
        <w:t>obveznica</w:t>
      </w:r>
      <w:r w:rsidRPr="00073673">
        <w:rPr>
          <w:rFonts w:ascii="Arial" w:hAnsi="Arial" w:cs="Arial"/>
          <w:i/>
        </w:rPr>
        <w:t xml:space="preserve"> u </w:t>
      </w:r>
      <w:r w:rsidR="00C705CB">
        <w:rPr>
          <w:rFonts w:ascii="Arial" w:hAnsi="Arial" w:cs="Arial"/>
          <w:i/>
        </w:rPr>
        <w:t>opsegu</w:t>
      </w:r>
      <w:r w:rsidRPr="00073673">
        <w:rPr>
          <w:rFonts w:ascii="Arial" w:hAnsi="Arial" w:cs="Arial"/>
          <w:i/>
        </w:rPr>
        <w:t xml:space="preserve"> koji osigurava </w:t>
      </w:r>
      <w:r w:rsidR="00B44EE9" w:rsidRPr="00073673">
        <w:rPr>
          <w:rFonts w:ascii="Arial" w:hAnsi="Arial" w:cs="Arial"/>
          <w:i/>
        </w:rPr>
        <w:t xml:space="preserve">i </w:t>
      </w:r>
      <w:r w:rsidRPr="00073673">
        <w:rPr>
          <w:rFonts w:ascii="Arial" w:hAnsi="Arial" w:cs="Arial"/>
          <w:i/>
        </w:rPr>
        <w:t>razvoj domaćeg tržišta.</w:t>
      </w:r>
    </w:p>
    <w:p w14:paraId="1BDEB71B" w14:textId="77777777" w:rsidR="000D15AD" w:rsidRPr="00073673" w:rsidRDefault="000D15AD" w:rsidP="000D15AD">
      <w:pPr>
        <w:spacing w:after="0"/>
        <w:jc w:val="both"/>
        <w:rPr>
          <w:rFonts w:ascii="Arial" w:hAnsi="Arial" w:cs="Arial"/>
        </w:rPr>
      </w:pPr>
    </w:p>
    <w:p w14:paraId="4A234347" w14:textId="17BA63B7" w:rsidR="00D1611F" w:rsidRPr="00073673" w:rsidRDefault="00ED768D" w:rsidP="00D1611F">
      <w:pPr>
        <w:spacing w:after="0"/>
        <w:jc w:val="both"/>
        <w:rPr>
          <w:rFonts w:ascii="Arial" w:hAnsi="Arial" w:cs="Arial"/>
        </w:rPr>
      </w:pPr>
      <w:r w:rsidRPr="00073673">
        <w:rPr>
          <w:rFonts w:ascii="Arial" w:hAnsi="Arial" w:cs="Arial"/>
          <w:b/>
          <w:i/>
        </w:rPr>
        <w:t>Strategija 2</w:t>
      </w:r>
      <w:r w:rsidRPr="00073673">
        <w:rPr>
          <w:rFonts w:ascii="Arial" w:hAnsi="Arial" w:cs="Arial"/>
          <w:i/>
        </w:rPr>
        <w:t xml:space="preserve"> (S2)</w:t>
      </w:r>
      <w:r w:rsidR="001446EC" w:rsidRPr="00073673">
        <w:rPr>
          <w:rFonts w:ascii="Arial" w:hAnsi="Arial" w:cs="Arial"/>
          <w:i/>
        </w:rPr>
        <w:t>:</w:t>
      </w:r>
      <w:r w:rsidR="007427FC" w:rsidRPr="00073673">
        <w:rPr>
          <w:rFonts w:ascii="Arial" w:hAnsi="Arial" w:cs="Arial"/>
          <w:i/>
        </w:rPr>
        <w:t xml:space="preserve"> </w:t>
      </w:r>
      <w:r w:rsidR="00BE14BB" w:rsidRPr="00073673">
        <w:rPr>
          <w:rFonts w:ascii="Arial" w:hAnsi="Arial" w:cs="Arial"/>
          <w:i/>
        </w:rPr>
        <w:t xml:space="preserve">zaduživanje Federacije BiH u skladu s </w:t>
      </w:r>
      <w:r w:rsidR="009A78EF">
        <w:rPr>
          <w:rFonts w:ascii="Arial" w:hAnsi="Arial" w:cs="Arial"/>
          <w:i/>
        </w:rPr>
        <w:t>Proračun</w:t>
      </w:r>
      <w:r w:rsidR="00BE14BB" w:rsidRPr="00073673">
        <w:rPr>
          <w:rFonts w:ascii="Arial" w:hAnsi="Arial" w:cs="Arial"/>
          <w:i/>
        </w:rPr>
        <w:t xml:space="preserve">om Federacije BiH za </w:t>
      </w:r>
      <w:r w:rsidR="00997948" w:rsidRPr="00073673">
        <w:rPr>
          <w:rFonts w:ascii="Arial" w:hAnsi="Arial" w:cs="Arial"/>
          <w:i/>
        </w:rPr>
        <w:t>2022</w:t>
      </w:r>
      <w:r w:rsidR="00BE14BB" w:rsidRPr="00073673">
        <w:rPr>
          <w:rFonts w:ascii="Arial" w:hAnsi="Arial" w:cs="Arial"/>
          <w:i/>
        </w:rPr>
        <w:t xml:space="preserve">. godinu, </w:t>
      </w:r>
      <w:r w:rsidR="00435E22" w:rsidRPr="00073673">
        <w:rPr>
          <w:rFonts w:ascii="Arial" w:hAnsi="Arial" w:cs="Arial"/>
          <w:i/>
        </w:rPr>
        <w:t xml:space="preserve">Dokumentom okvirnog </w:t>
      </w:r>
      <w:r w:rsidR="009A78EF">
        <w:rPr>
          <w:rFonts w:ascii="Arial" w:hAnsi="Arial" w:cs="Arial"/>
          <w:i/>
        </w:rPr>
        <w:t>proračun</w:t>
      </w:r>
      <w:r w:rsidR="00435E22" w:rsidRPr="00073673">
        <w:rPr>
          <w:rFonts w:ascii="Arial" w:hAnsi="Arial" w:cs="Arial"/>
          <w:i/>
        </w:rPr>
        <w:t xml:space="preserve">a Federacije BiH u </w:t>
      </w:r>
      <w:r w:rsidR="00A31C4D">
        <w:rPr>
          <w:rFonts w:ascii="Arial" w:hAnsi="Arial" w:cs="Arial"/>
          <w:i/>
        </w:rPr>
        <w:t>razdoblju</w:t>
      </w:r>
      <w:r w:rsidR="00435E22" w:rsidRPr="00073673">
        <w:rPr>
          <w:rFonts w:ascii="Arial" w:hAnsi="Arial" w:cs="Arial"/>
          <w:i/>
        </w:rPr>
        <w:t xml:space="preserve"> </w:t>
      </w:r>
      <w:r w:rsidR="00997948" w:rsidRPr="00073673">
        <w:rPr>
          <w:rFonts w:ascii="Arial" w:hAnsi="Arial" w:cs="Arial"/>
          <w:i/>
        </w:rPr>
        <w:t>2022</w:t>
      </w:r>
      <w:r w:rsidR="00435E22" w:rsidRPr="00073673">
        <w:rPr>
          <w:rFonts w:ascii="Arial" w:hAnsi="Arial" w:cs="Arial"/>
          <w:i/>
        </w:rPr>
        <w:t>-</w:t>
      </w:r>
      <w:r w:rsidR="00997948" w:rsidRPr="00073673">
        <w:rPr>
          <w:rFonts w:ascii="Arial" w:hAnsi="Arial" w:cs="Arial"/>
          <w:i/>
        </w:rPr>
        <w:t>2024</w:t>
      </w:r>
      <w:r w:rsidR="00435E22" w:rsidRPr="00073673">
        <w:rPr>
          <w:rFonts w:ascii="Arial" w:hAnsi="Arial" w:cs="Arial"/>
          <w:i/>
        </w:rPr>
        <w:t xml:space="preserve">. godina i PJI-a za </w:t>
      </w:r>
      <w:r w:rsidR="00DB32CA">
        <w:rPr>
          <w:rFonts w:ascii="Arial" w:hAnsi="Arial" w:cs="Arial"/>
          <w:i/>
        </w:rPr>
        <w:t>razdoblje</w:t>
      </w:r>
      <w:r w:rsidR="00435E22" w:rsidRPr="00073673">
        <w:rPr>
          <w:rFonts w:ascii="Arial" w:hAnsi="Arial" w:cs="Arial"/>
          <w:i/>
        </w:rPr>
        <w:t xml:space="preserve"> </w:t>
      </w:r>
      <w:r w:rsidR="00997948" w:rsidRPr="00073673">
        <w:rPr>
          <w:rFonts w:ascii="Arial" w:hAnsi="Arial" w:cs="Arial"/>
          <w:i/>
        </w:rPr>
        <w:t>2022</w:t>
      </w:r>
      <w:r w:rsidR="00435E22" w:rsidRPr="00073673">
        <w:rPr>
          <w:rFonts w:ascii="Arial" w:hAnsi="Arial" w:cs="Arial"/>
          <w:i/>
        </w:rPr>
        <w:t>-</w:t>
      </w:r>
      <w:r w:rsidR="00997948" w:rsidRPr="00073673">
        <w:rPr>
          <w:rFonts w:ascii="Arial" w:hAnsi="Arial" w:cs="Arial"/>
          <w:i/>
        </w:rPr>
        <w:t>2024</w:t>
      </w:r>
      <w:r w:rsidR="00435E22" w:rsidRPr="00073673">
        <w:rPr>
          <w:rFonts w:ascii="Arial" w:hAnsi="Arial" w:cs="Arial"/>
          <w:i/>
        </w:rPr>
        <w:t>. godine</w:t>
      </w:r>
      <w:r w:rsidR="00CA3B13" w:rsidRPr="00073673">
        <w:rPr>
          <w:rFonts w:ascii="Arial" w:hAnsi="Arial" w:cs="Arial"/>
          <w:i/>
        </w:rPr>
        <w:t>.</w:t>
      </w:r>
      <w:r w:rsidRPr="00073673">
        <w:rPr>
          <w:rFonts w:ascii="Arial" w:hAnsi="Arial" w:cs="Arial"/>
          <w:i/>
        </w:rPr>
        <w:t xml:space="preserve"> </w:t>
      </w:r>
      <w:r w:rsidR="009E79E0" w:rsidRPr="00073673">
        <w:rPr>
          <w:rFonts w:ascii="Arial" w:hAnsi="Arial" w:cs="Arial"/>
          <w:i/>
        </w:rPr>
        <w:t>U cilju procj</w:t>
      </w:r>
      <w:r w:rsidR="00435E22" w:rsidRPr="00073673">
        <w:rPr>
          <w:rFonts w:ascii="Arial" w:hAnsi="Arial" w:cs="Arial"/>
          <w:i/>
        </w:rPr>
        <w:t xml:space="preserve">ene troškova i rizika </w:t>
      </w:r>
      <w:r w:rsidR="00997948" w:rsidRPr="00445180">
        <w:rPr>
          <w:rFonts w:ascii="Arial" w:hAnsi="Arial" w:cs="Arial"/>
          <w:i/>
        </w:rPr>
        <w:t xml:space="preserve"> razmatrani su kreditni u</w:t>
      </w:r>
      <w:r w:rsidR="00C705CB">
        <w:rPr>
          <w:rFonts w:ascii="Arial" w:hAnsi="Arial" w:cs="Arial"/>
          <w:i/>
        </w:rPr>
        <w:t>vjeti koji podrazumijevaju kredite s</w:t>
      </w:r>
      <w:r w:rsidR="00997948" w:rsidRPr="00445180">
        <w:rPr>
          <w:rFonts w:ascii="Arial" w:hAnsi="Arial" w:cs="Arial"/>
          <w:i/>
        </w:rPr>
        <w:t xml:space="preserve"> ugovorenom promjenjivom kamatnom stopom uz preferiranu valutu EUR</w:t>
      </w:r>
      <w:r w:rsidR="00DC10AD" w:rsidRPr="00073673">
        <w:rPr>
          <w:rFonts w:ascii="Arial" w:hAnsi="Arial" w:cs="Arial"/>
          <w:i/>
        </w:rPr>
        <w:t>.</w:t>
      </w:r>
      <w:r w:rsidR="00E9638C" w:rsidRPr="00073673">
        <w:rPr>
          <w:rFonts w:ascii="Arial" w:hAnsi="Arial" w:cs="Arial"/>
          <w:i/>
        </w:rPr>
        <w:t xml:space="preserve"> </w:t>
      </w:r>
      <w:r w:rsidR="009A78EF">
        <w:rPr>
          <w:rFonts w:ascii="Arial" w:hAnsi="Arial" w:cs="Arial"/>
          <w:i/>
        </w:rPr>
        <w:t>Proračun</w:t>
      </w:r>
      <w:r w:rsidR="00D1611F" w:rsidRPr="00073673">
        <w:rPr>
          <w:rFonts w:ascii="Arial" w:hAnsi="Arial" w:cs="Arial"/>
          <w:i/>
        </w:rPr>
        <w:t xml:space="preserve">ska podrška će se </w:t>
      </w:r>
      <w:r w:rsidR="00DC10AD" w:rsidRPr="00073673">
        <w:rPr>
          <w:rFonts w:ascii="Arial" w:hAnsi="Arial" w:cs="Arial"/>
          <w:i/>
        </w:rPr>
        <w:t xml:space="preserve">dodatno </w:t>
      </w:r>
      <w:r w:rsidR="009A78EF">
        <w:rPr>
          <w:rFonts w:ascii="Arial" w:hAnsi="Arial" w:cs="Arial"/>
          <w:i/>
        </w:rPr>
        <w:t>financ</w:t>
      </w:r>
      <w:r w:rsidR="00DC10AD" w:rsidRPr="00073673">
        <w:rPr>
          <w:rFonts w:ascii="Arial" w:hAnsi="Arial" w:cs="Arial"/>
          <w:i/>
        </w:rPr>
        <w:t xml:space="preserve">irati sredstvima Europske unije </w:t>
      </w:r>
      <w:r w:rsidR="005908FE" w:rsidRPr="00073673">
        <w:rPr>
          <w:rFonts w:ascii="Arial" w:hAnsi="Arial" w:cs="Arial"/>
          <w:i/>
        </w:rPr>
        <w:t>u skladu sa sporazumom</w:t>
      </w:r>
      <w:r w:rsidR="00DC10AD" w:rsidRPr="00073673">
        <w:rPr>
          <w:rFonts w:ascii="Arial" w:hAnsi="Arial" w:cs="Arial"/>
          <w:i/>
        </w:rPr>
        <w:t xml:space="preserve"> kao i </w:t>
      </w:r>
      <w:r w:rsidR="00D1611F" w:rsidRPr="00073673">
        <w:rPr>
          <w:rFonts w:ascii="Arial" w:hAnsi="Arial" w:cs="Arial"/>
          <w:i/>
        </w:rPr>
        <w:t>sredstvima prikupljenim emisijama trezorskih zapisa i trogodišnjih, petogodišnjih, sedmogodišnjih</w:t>
      </w:r>
      <w:r w:rsidR="00DC10AD" w:rsidRPr="00073673">
        <w:rPr>
          <w:rFonts w:ascii="Arial" w:hAnsi="Arial" w:cs="Arial"/>
          <w:i/>
        </w:rPr>
        <w:t xml:space="preserve"> i</w:t>
      </w:r>
      <w:r w:rsidR="00D1611F" w:rsidRPr="00073673">
        <w:rPr>
          <w:rFonts w:ascii="Arial" w:hAnsi="Arial" w:cs="Arial"/>
          <w:i/>
        </w:rPr>
        <w:t xml:space="preserve"> desetogodišnjih obveznica u o</w:t>
      </w:r>
      <w:r w:rsidR="00C705CB">
        <w:rPr>
          <w:rFonts w:ascii="Arial" w:hAnsi="Arial" w:cs="Arial"/>
          <w:i/>
        </w:rPr>
        <w:t>psegu</w:t>
      </w:r>
      <w:r w:rsidR="00D1611F" w:rsidRPr="00073673">
        <w:rPr>
          <w:rFonts w:ascii="Arial" w:hAnsi="Arial" w:cs="Arial"/>
          <w:i/>
        </w:rPr>
        <w:t xml:space="preserve"> koji osigurava i razvoj domaćeg tržišta.</w:t>
      </w:r>
    </w:p>
    <w:p w14:paraId="45D8C4AC" w14:textId="77777777" w:rsidR="000D15AD" w:rsidRPr="00073673" w:rsidRDefault="000D15AD" w:rsidP="000D15AD">
      <w:pPr>
        <w:spacing w:after="0"/>
        <w:jc w:val="both"/>
        <w:rPr>
          <w:rFonts w:ascii="Arial" w:hAnsi="Arial" w:cs="Arial"/>
          <w:b/>
        </w:rPr>
      </w:pPr>
    </w:p>
    <w:p w14:paraId="52F5854C" w14:textId="53C79969" w:rsidR="00997948" w:rsidRPr="00BB75CD" w:rsidRDefault="00ED768D" w:rsidP="00997948">
      <w:pPr>
        <w:spacing w:after="0"/>
        <w:jc w:val="both"/>
        <w:rPr>
          <w:rFonts w:ascii="Arial" w:hAnsi="Arial" w:cs="Arial"/>
        </w:rPr>
      </w:pPr>
      <w:r w:rsidRPr="00073673">
        <w:rPr>
          <w:rFonts w:ascii="Arial" w:hAnsi="Arial" w:cs="Arial"/>
          <w:b/>
          <w:i/>
        </w:rPr>
        <w:t xml:space="preserve">Strategija 3 </w:t>
      </w:r>
      <w:r w:rsidRPr="00073673">
        <w:rPr>
          <w:rFonts w:ascii="Arial" w:hAnsi="Arial" w:cs="Arial"/>
          <w:i/>
        </w:rPr>
        <w:t>(S3)</w:t>
      </w:r>
      <w:r w:rsidR="00B44EE9" w:rsidRPr="00073673">
        <w:rPr>
          <w:rFonts w:ascii="Arial" w:hAnsi="Arial" w:cs="Arial"/>
          <w:i/>
        </w:rPr>
        <w:t>:</w:t>
      </w:r>
      <w:r w:rsidR="00DC10AD" w:rsidRPr="00073673">
        <w:rPr>
          <w:rFonts w:ascii="Arial" w:hAnsi="Arial" w:cs="Arial"/>
          <w:i/>
        </w:rPr>
        <w:t xml:space="preserve"> </w:t>
      </w:r>
      <w:r w:rsidR="00997948" w:rsidRPr="00445180">
        <w:rPr>
          <w:rFonts w:ascii="Arial" w:hAnsi="Arial" w:cs="Arial"/>
          <w:i/>
        </w:rPr>
        <w:t xml:space="preserve">zaduživanje Federacije BiH u skladu s </w:t>
      </w:r>
      <w:r w:rsidR="009A78EF">
        <w:rPr>
          <w:rFonts w:ascii="Arial" w:hAnsi="Arial" w:cs="Arial"/>
          <w:i/>
        </w:rPr>
        <w:t>Proračun</w:t>
      </w:r>
      <w:r w:rsidR="00997948" w:rsidRPr="00445180">
        <w:rPr>
          <w:rFonts w:ascii="Arial" w:hAnsi="Arial" w:cs="Arial"/>
          <w:i/>
        </w:rPr>
        <w:t xml:space="preserve">om Federacije BiH za 2022. godinu, Dokumentom okvirnog </w:t>
      </w:r>
      <w:r w:rsidR="009A78EF">
        <w:rPr>
          <w:rFonts w:ascii="Arial" w:hAnsi="Arial" w:cs="Arial"/>
          <w:i/>
        </w:rPr>
        <w:t>proračun</w:t>
      </w:r>
      <w:r w:rsidR="00997948" w:rsidRPr="00445180">
        <w:rPr>
          <w:rFonts w:ascii="Arial" w:hAnsi="Arial" w:cs="Arial"/>
          <w:i/>
        </w:rPr>
        <w:t xml:space="preserve">a Federacije BiH u </w:t>
      </w:r>
      <w:r w:rsidR="00A31C4D">
        <w:rPr>
          <w:rFonts w:ascii="Arial" w:hAnsi="Arial" w:cs="Arial"/>
          <w:i/>
        </w:rPr>
        <w:t>razdoblju</w:t>
      </w:r>
      <w:r w:rsidR="00997948" w:rsidRPr="00445180">
        <w:rPr>
          <w:rFonts w:ascii="Arial" w:hAnsi="Arial" w:cs="Arial"/>
          <w:i/>
        </w:rPr>
        <w:t xml:space="preserve"> 2022-2024. godina i PJI-a za </w:t>
      </w:r>
      <w:r w:rsidR="00DB32CA">
        <w:rPr>
          <w:rFonts w:ascii="Arial" w:hAnsi="Arial" w:cs="Arial"/>
          <w:i/>
        </w:rPr>
        <w:t>razdoblje</w:t>
      </w:r>
      <w:r w:rsidR="00997948" w:rsidRPr="00445180">
        <w:rPr>
          <w:rFonts w:ascii="Arial" w:hAnsi="Arial" w:cs="Arial"/>
          <w:i/>
        </w:rPr>
        <w:t xml:space="preserve"> 2022</w:t>
      </w:r>
      <w:r w:rsidR="009645F1">
        <w:rPr>
          <w:rFonts w:ascii="Arial" w:hAnsi="Arial" w:cs="Arial"/>
          <w:i/>
        </w:rPr>
        <w:t>.</w:t>
      </w:r>
      <w:r w:rsidR="00997948" w:rsidRPr="00445180">
        <w:rPr>
          <w:rFonts w:ascii="Arial" w:hAnsi="Arial" w:cs="Arial"/>
          <w:i/>
        </w:rPr>
        <w:t>-2024. godine</w:t>
      </w:r>
      <w:r w:rsidR="001B2D70" w:rsidRPr="00073673">
        <w:rPr>
          <w:rFonts w:ascii="Arial" w:hAnsi="Arial" w:cs="Arial"/>
          <w:i/>
        </w:rPr>
        <w:t>.</w:t>
      </w:r>
      <w:r w:rsidR="00997948" w:rsidRPr="00445180">
        <w:rPr>
          <w:rFonts w:ascii="Arial" w:hAnsi="Arial" w:cs="Arial"/>
          <w:i/>
        </w:rPr>
        <w:t xml:space="preserve"> </w:t>
      </w:r>
      <w:r w:rsidR="00820F18" w:rsidRPr="00445180">
        <w:rPr>
          <w:rFonts w:ascii="Arial" w:hAnsi="Arial" w:cs="Arial"/>
          <w:i/>
        </w:rPr>
        <w:t>Kreditni u</w:t>
      </w:r>
      <w:r w:rsidR="00DB32CA">
        <w:rPr>
          <w:rFonts w:ascii="Arial" w:hAnsi="Arial" w:cs="Arial"/>
          <w:i/>
        </w:rPr>
        <w:t>vjeti</w:t>
      </w:r>
      <w:r w:rsidR="00820F18" w:rsidRPr="00445180">
        <w:rPr>
          <w:rFonts w:ascii="Arial" w:hAnsi="Arial" w:cs="Arial"/>
          <w:i/>
        </w:rPr>
        <w:t xml:space="preserve"> pod kojima bi se Federacija BiH trebala zadužiti za </w:t>
      </w:r>
      <w:r w:rsidR="009A78EF">
        <w:rPr>
          <w:rFonts w:ascii="Arial" w:hAnsi="Arial" w:cs="Arial"/>
          <w:i/>
        </w:rPr>
        <w:t>financ</w:t>
      </w:r>
      <w:r w:rsidR="00820F18" w:rsidRPr="00445180">
        <w:rPr>
          <w:rFonts w:ascii="Arial" w:hAnsi="Arial" w:cs="Arial"/>
          <w:i/>
        </w:rPr>
        <w:t>iranje razvojnih projekata (u cilju procjene tako nastalih troškova)</w:t>
      </w:r>
      <w:r w:rsidR="00DB32CA">
        <w:rPr>
          <w:rFonts w:ascii="Arial" w:hAnsi="Arial" w:cs="Arial"/>
          <w:i/>
        </w:rPr>
        <w:t xml:space="preserve"> koji podrazumijevaju kredite s</w:t>
      </w:r>
      <w:r w:rsidR="00820F18" w:rsidRPr="00445180">
        <w:rPr>
          <w:rFonts w:ascii="Arial" w:hAnsi="Arial" w:cs="Arial"/>
          <w:i/>
        </w:rPr>
        <w:t xml:space="preserve"> ugovorenom fiksnom kamatnom stopom uz preferiranu valutu EUR. </w:t>
      </w:r>
      <w:r w:rsidR="009A78EF">
        <w:rPr>
          <w:rFonts w:ascii="Arial" w:hAnsi="Arial" w:cs="Arial"/>
          <w:i/>
        </w:rPr>
        <w:t>Proračun</w:t>
      </w:r>
      <w:r w:rsidR="00997948" w:rsidRPr="00445180">
        <w:rPr>
          <w:rFonts w:ascii="Arial" w:hAnsi="Arial" w:cs="Arial"/>
          <w:i/>
        </w:rPr>
        <w:t xml:space="preserve">ska podrška će se </w:t>
      </w:r>
      <w:r w:rsidR="009A78EF">
        <w:rPr>
          <w:rFonts w:ascii="Arial" w:hAnsi="Arial" w:cs="Arial"/>
          <w:i/>
        </w:rPr>
        <w:t>financ</w:t>
      </w:r>
      <w:r w:rsidR="00997948" w:rsidRPr="00445180">
        <w:rPr>
          <w:rFonts w:ascii="Arial" w:hAnsi="Arial" w:cs="Arial"/>
          <w:i/>
        </w:rPr>
        <w:t>irati sredstvima prikupljenim emisijama trezorskih zapisa i trogodišnjih, petogodišnjih, sedmogodišnjih i desetogodišnjih obveznica u o</w:t>
      </w:r>
      <w:r w:rsidR="00DB32CA">
        <w:rPr>
          <w:rFonts w:ascii="Arial" w:hAnsi="Arial" w:cs="Arial"/>
          <w:i/>
        </w:rPr>
        <w:t>psegu</w:t>
      </w:r>
      <w:r w:rsidR="00997948" w:rsidRPr="00445180">
        <w:rPr>
          <w:rFonts w:ascii="Arial" w:hAnsi="Arial" w:cs="Arial"/>
          <w:i/>
        </w:rPr>
        <w:t xml:space="preserve"> koji osigurava i razvoj domaćeg tržišta.</w:t>
      </w:r>
    </w:p>
    <w:p w14:paraId="5056FF5B" w14:textId="3E29FBFE" w:rsidR="000D15AD" w:rsidRPr="00445180" w:rsidRDefault="000D15AD" w:rsidP="000D15AD">
      <w:pPr>
        <w:spacing w:after="0"/>
        <w:jc w:val="both"/>
        <w:rPr>
          <w:rFonts w:ascii="Arial" w:hAnsi="Arial" w:cs="Arial"/>
          <w:b/>
          <w:i/>
          <w:highlight w:val="yellow"/>
        </w:rPr>
      </w:pPr>
    </w:p>
    <w:p w14:paraId="005FDC94" w14:textId="10B1E7E5" w:rsidR="00820F18" w:rsidRPr="00445180" w:rsidRDefault="00ED768D" w:rsidP="006F06B8">
      <w:pPr>
        <w:spacing w:after="0"/>
        <w:jc w:val="both"/>
        <w:rPr>
          <w:rFonts w:ascii="Arial" w:hAnsi="Arial" w:cs="Arial"/>
          <w:i/>
        </w:rPr>
      </w:pPr>
      <w:r w:rsidRPr="00D912D1">
        <w:rPr>
          <w:rFonts w:ascii="Arial" w:hAnsi="Arial" w:cs="Arial"/>
          <w:b/>
          <w:i/>
        </w:rPr>
        <w:t>Strategija 4</w:t>
      </w:r>
      <w:r w:rsidRPr="00073673">
        <w:rPr>
          <w:rFonts w:ascii="Arial" w:hAnsi="Arial" w:cs="Arial"/>
          <w:i/>
        </w:rPr>
        <w:t xml:space="preserve"> (S4)</w:t>
      </w:r>
      <w:r w:rsidR="00804BE8" w:rsidRPr="00073673">
        <w:rPr>
          <w:rFonts w:ascii="Arial" w:hAnsi="Arial" w:cs="Arial"/>
        </w:rPr>
        <w:t xml:space="preserve">: </w:t>
      </w:r>
      <w:r w:rsidR="00820F18" w:rsidRPr="00445180">
        <w:rPr>
          <w:rFonts w:ascii="Arial" w:hAnsi="Arial" w:cs="Arial"/>
          <w:i/>
        </w:rPr>
        <w:t xml:space="preserve">zaduživanje Federacije BiH u skladu s </w:t>
      </w:r>
      <w:r w:rsidR="009A78EF">
        <w:rPr>
          <w:rFonts w:ascii="Arial" w:hAnsi="Arial" w:cs="Arial"/>
          <w:i/>
        </w:rPr>
        <w:t>Proračun</w:t>
      </w:r>
      <w:r w:rsidR="00820F18" w:rsidRPr="00445180">
        <w:rPr>
          <w:rFonts w:ascii="Arial" w:hAnsi="Arial" w:cs="Arial"/>
          <w:i/>
        </w:rPr>
        <w:t xml:space="preserve">om Federacije BiH za 2022. godinu, Dokumentom okvirnog </w:t>
      </w:r>
      <w:r w:rsidR="009A78EF">
        <w:rPr>
          <w:rFonts w:ascii="Arial" w:hAnsi="Arial" w:cs="Arial"/>
          <w:i/>
        </w:rPr>
        <w:t>proračun</w:t>
      </w:r>
      <w:r w:rsidR="00820F18" w:rsidRPr="00445180">
        <w:rPr>
          <w:rFonts w:ascii="Arial" w:hAnsi="Arial" w:cs="Arial"/>
          <w:i/>
        </w:rPr>
        <w:t xml:space="preserve">a Federacije BiH u </w:t>
      </w:r>
      <w:r w:rsidR="00A31C4D">
        <w:rPr>
          <w:rFonts w:ascii="Arial" w:hAnsi="Arial" w:cs="Arial"/>
          <w:i/>
        </w:rPr>
        <w:t>razdoblju</w:t>
      </w:r>
      <w:r w:rsidR="00820F18" w:rsidRPr="00445180">
        <w:rPr>
          <w:rFonts w:ascii="Arial" w:hAnsi="Arial" w:cs="Arial"/>
          <w:i/>
        </w:rPr>
        <w:t xml:space="preserve"> 2022-2024. godina i PJI-a za </w:t>
      </w:r>
      <w:r w:rsidR="00DB32CA">
        <w:rPr>
          <w:rFonts w:ascii="Arial" w:hAnsi="Arial" w:cs="Arial"/>
          <w:i/>
        </w:rPr>
        <w:t>razdoblje</w:t>
      </w:r>
      <w:r w:rsidR="00820F18" w:rsidRPr="00445180">
        <w:rPr>
          <w:rFonts w:ascii="Arial" w:hAnsi="Arial" w:cs="Arial"/>
          <w:i/>
        </w:rPr>
        <w:t xml:space="preserve"> 2022-2024. godine</w:t>
      </w:r>
      <w:r w:rsidR="00640FC4" w:rsidRPr="00073673">
        <w:rPr>
          <w:rFonts w:ascii="Arial" w:hAnsi="Arial" w:cs="Arial"/>
          <w:i/>
        </w:rPr>
        <w:t xml:space="preserve">. </w:t>
      </w:r>
      <w:r w:rsidR="009A78EF">
        <w:rPr>
          <w:rFonts w:ascii="Arial" w:hAnsi="Arial" w:cs="Arial"/>
          <w:i/>
        </w:rPr>
        <w:t>Financ</w:t>
      </w:r>
      <w:r w:rsidR="00640FC4" w:rsidRPr="00073673">
        <w:rPr>
          <w:rFonts w:ascii="Arial" w:hAnsi="Arial" w:cs="Arial"/>
          <w:i/>
        </w:rPr>
        <w:t xml:space="preserve">iranje razvojnih projekta do </w:t>
      </w:r>
      <w:r w:rsidR="00820F18" w:rsidRPr="00073673">
        <w:rPr>
          <w:rFonts w:ascii="Arial" w:hAnsi="Arial" w:cs="Arial"/>
          <w:i/>
        </w:rPr>
        <w:t>2024</w:t>
      </w:r>
      <w:r w:rsidR="00640FC4" w:rsidRPr="00073673">
        <w:rPr>
          <w:rFonts w:ascii="Arial" w:hAnsi="Arial" w:cs="Arial"/>
          <w:i/>
        </w:rPr>
        <w:t xml:space="preserve">. godine procijenjeno je na </w:t>
      </w:r>
      <w:r w:rsidR="00FE64B7" w:rsidRPr="00073673">
        <w:rPr>
          <w:rFonts w:ascii="Arial" w:hAnsi="Arial" w:cs="Arial"/>
          <w:i/>
        </w:rPr>
        <w:t>1.</w:t>
      </w:r>
      <w:r w:rsidR="009137F0" w:rsidRPr="00445180">
        <w:rPr>
          <w:rFonts w:ascii="Arial" w:hAnsi="Arial" w:cs="Arial"/>
          <w:i/>
        </w:rPr>
        <w:t>791,56</w:t>
      </w:r>
      <w:r w:rsidR="009137F0" w:rsidRPr="00445180">
        <w:rPr>
          <w:rFonts w:ascii="Arial" w:hAnsi="Arial" w:cs="Arial"/>
        </w:rPr>
        <w:t xml:space="preserve"> </w:t>
      </w:r>
      <w:r w:rsidR="00FE64B7" w:rsidRPr="00073673">
        <w:rPr>
          <w:rFonts w:ascii="Arial" w:hAnsi="Arial" w:cs="Arial"/>
          <w:i/>
        </w:rPr>
        <w:t>mil.</w:t>
      </w:r>
      <w:r w:rsidR="009137F0" w:rsidRPr="00445180">
        <w:rPr>
          <w:rFonts w:ascii="Arial" w:hAnsi="Arial" w:cs="Arial"/>
          <w:i/>
        </w:rPr>
        <w:t xml:space="preserve"> </w:t>
      </w:r>
      <w:r w:rsidR="00FE64B7" w:rsidRPr="00D912D1">
        <w:rPr>
          <w:rFonts w:ascii="Arial" w:hAnsi="Arial" w:cs="Arial"/>
          <w:i/>
        </w:rPr>
        <w:t>KM</w:t>
      </w:r>
      <w:r w:rsidR="00640FC4" w:rsidRPr="00073673">
        <w:rPr>
          <w:rFonts w:ascii="Arial" w:hAnsi="Arial" w:cs="Arial"/>
          <w:i/>
        </w:rPr>
        <w:t xml:space="preserve">. </w:t>
      </w:r>
      <w:r w:rsidR="009A78EF">
        <w:rPr>
          <w:rFonts w:ascii="Arial" w:hAnsi="Arial" w:cs="Arial"/>
          <w:i/>
        </w:rPr>
        <w:t>Proračun</w:t>
      </w:r>
      <w:r w:rsidR="00820F18" w:rsidRPr="00445180">
        <w:rPr>
          <w:rFonts w:ascii="Arial" w:hAnsi="Arial" w:cs="Arial"/>
          <w:i/>
        </w:rPr>
        <w:t xml:space="preserve">ska podrška planirana da se </w:t>
      </w:r>
      <w:r w:rsidR="009A78EF">
        <w:rPr>
          <w:rFonts w:ascii="Arial" w:hAnsi="Arial" w:cs="Arial"/>
          <w:i/>
        </w:rPr>
        <w:t>financ</w:t>
      </w:r>
      <w:r w:rsidR="00820F18" w:rsidRPr="00445180">
        <w:rPr>
          <w:rFonts w:ascii="Arial" w:hAnsi="Arial" w:cs="Arial"/>
          <w:i/>
        </w:rPr>
        <w:t xml:space="preserve">ira sredstvima Europske unije u okviru makroekonomske pomoći </w:t>
      </w:r>
      <w:r w:rsidR="00DB32CA" w:rsidRPr="00445180">
        <w:rPr>
          <w:rFonts w:ascii="Arial" w:hAnsi="Arial" w:cs="Arial"/>
          <w:i/>
        </w:rPr>
        <w:t>zamijenjena</w:t>
      </w:r>
      <w:r w:rsidR="00820F18" w:rsidRPr="00445180">
        <w:rPr>
          <w:rFonts w:ascii="Arial" w:hAnsi="Arial" w:cs="Arial"/>
          <w:i/>
        </w:rPr>
        <w:t xml:space="preserve"> su izdavanjem desetogodišnje i petnaestogodišnje euroobveznice na </w:t>
      </w:r>
      <w:r w:rsidR="00DB32CA">
        <w:rPr>
          <w:rFonts w:ascii="Arial" w:hAnsi="Arial" w:cs="Arial"/>
          <w:i/>
        </w:rPr>
        <w:t>razini</w:t>
      </w:r>
      <w:r w:rsidR="00820F18" w:rsidRPr="00445180">
        <w:rPr>
          <w:rFonts w:ascii="Arial" w:hAnsi="Arial" w:cs="Arial"/>
          <w:i/>
        </w:rPr>
        <w:t xml:space="preserve"> koj</w:t>
      </w:r>
      <w:r w:rsidR="00DB32CA">
        <w:rPr>
          <w:rFonts w:ascii="Arial" w:hAnsi="Arial" w:cs="Arial"/>
          <w:i/>
        </w:rPr>
        <w:t>a</w:t>
      </w:r>
      <w:r w:rsidR="00820F18" w:rsidRPr="00445180">
        <w:rPr>
          <w:rFonts w:ascii="Arial" w:hAnsi="Arial" w:cs="Arial"/>
          <w:i/>
        </w:rPr>
        <w:t xml:space="preserve"> je adekvat</w:t>
      </w:r>
      <w:r w:rsidR="00DB32CA">
        <w:rPr>
          <w:rFonts w:ascii="Arial" w:hAnsi="Arial" w:cs="Arial"/>
          <w:i/>
        </w:rPr>
        <w:t>na</w:t>
      </w:r>
      <w:r w:rsidR="00820F18" w:rsidRPr="00445180">
        <w:rPr>
          <w:rFonts w:ascii="Arial" w:hAnsi="Arial" w:cs="Arial"/>
          <w:i/>
        </w:rPr>
        <w:t xml:space="preserve"> izvorima koji su </w:t>
      </w:r>
      <w:r w:rsidR="00DB32CA" w:rsidRPr="00445180">
        <w:rPr>
          <w:rFonts w:ascii="Arial" w:hAnsi="Arial" w:cs="Arial"/>
          <w:i/>
        </w:rPr>
        <w:t>zamijenjeni</w:t>
      </w:r>
      <w:r w:rsidR="00820F18" w:rsidRPr="00445180">
        <w:rPr>
          <w:rFonts w:ascii="Arial" w:hAnsi="Arial" w:cs="Arial"/>
          <w:i/>
        </w:rPr>
        <w:t xml:space="preserve"> kao i sredstvima prikupljenim emisijama trezorskih zapisa i trogodišnjih, petogodišnjih, šestogodišnjih, sedmogodišnjih, desetogodišnjih obveznica u o</w:t>
      </w:r>
      <w:r w:rsidR="00DB32CA">
        <w:rPr>
          <w:rFonts w:ascii="Arial" w:hAnsi="Arial" w:cs="Arial"/>
          <w:i/>
        </w:rPr>
        <w:t>psegu</w:t>
      </w:r>
      <w:r w:rsidR="00820F18" w:rsidRPr="00445180">
        <w:rPr>
          <w:rFonts w:ascii="Arial" w:hAnsi="Arial" w:cs="Arial"/>
          <w:i/>
        </w:rPr>
        <w:t xml:space="preserve"> koji osigurava i razvoj domaćeg tržišta.</w:t>
      </w:r>
    </w:p>
    <w:p w14:paraId="5736C7F3" w14:textId="77777777" w:rsidR="00820F18" w:rsidRDefault="00820F18" w:rsidP="006F06B8">
      <w:pPr>
        <w:spacing w:after="0"/>
        <w:jc w:val="both"/>
        <w:rPr>
          <w:rFonts w:ascii="Arial" w:hAnsi="Arial" w:cs="Arial"/>
          <w:i/>
          <w:highlight w:val="yellow"/>
        </w:rPr>
      </w:pPr>
    </w:p>
    <w:p w14:paraId="7553E35B" w14:textId="74E16694" w:rsidR="009E79E0" w:rsidRDefault="009E79E0" w:rsidP="006F06B8">
      <w:pPr>
        <w:spacing w:after="0"/>
        <w:jc w:val="both"/>
        <w:rPr>
          <w:rFonts w:ascii="Arial" w:hAnsi="Arial" w:cs="Arial"/>
          <w:i/>
        </w:rPr>
      </w:pPr>
    </w:p>
    <w:p w14:paraId="19791B2E" w14:textId="77777777" w:rsidR="00721364" w:rsidRDefault="00721364" w:rsidP="006F06B8">
      <w:pPr>
        <w:spacing w:after="0"/>
        <w:jc w:val="both"/>
        <w:rPr>
          <w:rFonts w:ascii="Arial" w:hAnsi="Arial" w:cs="Arial"/>
          <w:i/>
        </w:rPr>
      </w:pPr>
    </w:p>
    <w:p w14:paraId="2E461BE9" w14:textId="77777777" w:rsidR="00ED768D" w:rsidRDefault="00ED768D" w:rsidP="006F06B8">
      <w:pPr>
        <w:pStyle w:val="Heading2"/>
        <w:numPr>
          <w:ilvl w:val="1"/>
          <w:numId w:val="5"/>
        </w:numPr>
        <w:spacing w:before="0" w:line="240" w:lineRule="auto"/>
        <w:ind w:left="993" w:hanging="709"/>
        <w:rPr>
          <w:rFonts w:ascii="Arial" w:hAnsi="Arial" w:cs="Arial"/>
          <w:b w:val="0"/>
          <w:color w:val="auto"/>
          <w:sz w:val="24"/>
        </w:rPr>
      </w:pPr>
      <w:bookmarkStart w:id="129" w:name="_Toc100667337"/>
      <w:bookmarkStart w:id="130" w:name="_Toc100751763"/>
      <w:bookmarkStart w:id="131" w:name="_Toc100754220"/>
      <w:bookmarkStart w:id="132" w:name="_Toc100754664"/>
      <w:bookmarkStart w:id="133" w:name="_Toc100755056"/>
      <w:bookmarkStart w:id="134" w:name="_Toc100818787"/>
      <w:bookmarkStart w:id="135" w:name="_Toc100820493"/>
      <w:bookmarkStart w:id="136" w:name="_Toc100822781"/>
      <w:bookmarkStart w:id="137" w:name="_Toc100823320"/>
      <w:bookmarkStart w:id="138" w:name="_Toc100823763"/>
      <w:bookmarkStart w:id="139" w:name="_Toc100667338"/>
      <w:bookmarkStart w:id="140" w:name="_Toc100751764"/>
      <w:bookmarkStart w:id="141" w:name="_Toc100754221"/>
      <w:bookmarkStart w:id="142" w:name="_Toc100754665"/>
      <w:bookmarkStart w:id="143" w:name="_Toc100755057"/>
      <w:bookmarkStart w:id="144" w:name="_Toc100818788"/>
      <w:bookmarkStart w:id="145" w:name="_Toc100820494"/>
      <w:bookmarkStart w:id="146" w:name="_Toc100822782"/>
      <w:bookmarkStart w:id="147" w:name="_Toc100823321"/>
      <w:bookmarkStart w:id="148" w:name="_Toc100823764"/>
      <w:bookmarkStart w:id="149" w:name="_Toc100823765"/>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640FC4">
        <w:rPr>
          <w:rFonts w:ascii="Arial" w:hAnsi="Arial" w:cs="Arial"/>
          <w:b w:val="0"/>
          <w:color w:val="auto"/>
          <w:sz w:val="24"/>
        </w:rPr>
        <w:lastRenderedPageBreak/>
        <w:t xml:space="preserve">Analiza troškova i </w:t>
      </w:r>
      <w:r w:rsidRPr="000216F3">
        <w:rPr>
          <w:rFonts w:ascii="Arial" w:hAnsi="Arial" w:cs="Arial"/>
          <w:b w:val="0"/>
          <w:color w:val="auto"/>
          <w:sz w:val="24"/>
        </w:rPr>
        <w:t>rizika alternativnih strategija zaduživanja</w:t>
      </w:r>
      <w:bookmarkEnd w:id="149"/>
      <w:r w:rsidRPr="00640FC4">
        <w:rPr>
          <w:rFonts w:ascii="Arial" w:hAnsi="Arial" w:cs="Arial"/>
          <w:b w:val="0"/>
          <w:color w:val="auto"/>
          <w:sz w:val="24"/>
        </w:rPr>
        <w:t xml:space="preserve"> </w:t>
      </w:r>
    </w:p>
    <w:p w14:paraId="19FB1303" w14:textId="77777777" w:rsidR="007A7F89" w:rsidRPr="007A7F89" w:rsidRDefault="007A7F89" w:rsidP="007A7F89">
      <w:pPr>
        <w:spacing w:after="0"/>
      </w:pPr>
    </w:p>
    <w:p w14:paraId="52A98B3E" w14:textId="77777777" w:rsidR="00ED768D" w:rsidRPr="00AF7CAC" w:rsidRDefault="00ED768D" w:rsidP="007A7F89">
      <w:pPr>
        <w:pStyle w:val="ListParagraph"/>
        <w:spacing w:after="0" w:line="240" w:lineRule="auto"/>
        <w:contextualSpacing w:val="0"/>
        <w:jc w:val="both"/>
        <w:rPr>
          <w:rFonts w:ascii="Arial" w:hAnsi="Arial" w:cs="Arial"/>
          <w:b/>
          <w:color w:val="E36C0A" w:themeColor="accent6" w:themeShade="BF"/>
          <w:sz w:val="24"/>
          <w:szCs w:val="24"/>
        </w:rPr>
      </w:pPr>
    </w:p>
    <w:p w14:paraId="6D468DCC" w14:textId="0048609E" w:rsidR="00873A1D" w:rsidRPr="00445180" w:rsidRDefault="00873A1D" w:rsidP="00873A1D">
      <w:pPr>
        <w:spacing w:after="0"/>
        <w:ind w:firstLine="284"/>
        <w:jc w:val="both"/>
        <w:rPr>
          <w:rFonts w:ascii="Arial" w:hAnsi="Arial" w:cs="Arial"/>
          <w:szCs w:val="24"/>
          <w:highlight w:val="green"/>
        </w:rPr>
      </w:pPr>
      <w:r w:rsidRPr="00D912D1">
        <w:rPr>
          <w:rFonts w:ascii="Arial" w:hAnsi="Arial" w:cs="Arial"/>
          <w:szCs w:val="24"/>
        </w:rPr>
        <w:t>Uč</w:t>
      </w:r>
      <w:r w:rsidRPr="00073673">
        <w:rPr>
          <w:rFonts w:ascii="Arial" w:hAnsi="Arial" w:cs="Arial"/>
          <w:szCs w:val="24"/>
        </w:rPr>
        <w:t xml:space="preserve">inak predloženih strategija je procijenjen u osnovnom i šok scenariju. Dva ključna indikatora troškova (dug/BDP i kamata/BDP) izračunati su kako bi se odredio odnos između troškova i rizika različitih scenarija zaduživanja. Promjene visine neotplaćenog duga uzrokovane promjenom valutnog </w:t>
      </w:r>
      <w:r w:rsidR="00D41C1F">
        <w:rPr>
          <w:rFonts w:ascii="Arial" w:hAnsi="Arial" w:cs="Arial"/>
          <w:szCs w:val="24"/>
        </w:rPr>
        <w:t>tečaja</w:t>
      </w:r>
      <w:r w:rsidRPr="00073673">
        <w:rPr>
          <w:rFonts w:ascii="Arial" w:hAnsi="Arial" w:cs="Arial"/>
          <w:szCs w:val="24"/>
        </w:rPr>
        <w:t xml:space="preserve"> odražavaju se na odnos dug/BDP. Udio plaćene kamate u BDP-u daje procjenu potencijalnog utjecaja svake strategije na </w:t>
      </w:r>
      <w:r w:rsidR="009A78EF">
        <w:rPr>
          <w:rFonts w:ascii="Arial" w:hAnsi="Arial" w:cs="Arial"/>
          <w:szCs w:val="24"/>
        </w:rPr>
        <w:t>proračun</w:t>
      </w:r>
      <w:r w:rsidRPr="00073673">
        <w:rPr>
          <w:rFonts w:ascii="Arial" w:hAnsi="Arial" w:cs="Arial"/>
          <w:szCs w:val="24"/>
        </w:rPr>
        <w:t>. Rizik da</w:t>
      </w:r>
      <w:r w:rsidR="00D41C1F">
        <w:rPr>
          <w:rFonts w:ascii="Arial" w:hAnsi="Arial" w:cs="Arial"/>
          <w:szCs w:val="24"/>
        </w:rPr>
        <w:t>n</w:t>
      </w:r>
      <w:r w:rsidRPr="00073673">
        <w:rPr>
          <w:rFonts w:ascii="Arial" w:hAnsi="Arial" w:cs="Arial"/>
          <w:szCs w:val="24"/>
        </w:rPr>
        <w:t xml:space="preserve">e strategije je razlika </w:t>
      </w:r>
      <w:r w:rsidRPr="001349F9">
        <w:rPr>
          <w:rFonts w:ascii="Arial" w:hAnsi="Arial" w:cs="Arial"/>
          <w:szCs w:val="24"/>
        </w:rPr>
        <w:t xml:space="preserve">između njenih troškova prema scenariju rizika, odnosno scenariju šoka u odnosu na osnovni (bazni) scenarij. </w:t>
      </w:r>
    </w:p>
    <w:p w14:paraId="46BABD86" w14:textId="77777777" w:rsidR="00873A1D" w:rsidRPr="00445180" w:rsidRDefault="00873A1D" w:rsidP="00873A1D">
      <w:pPr>
        <w:spacing w:after="0"/>
        <w:jc w:val="both"/>
        <w:rPr>
          <w:rFonts w:ascii="Arial" w:hAnsi="Arial" w:cs="Arial"/>
          <w:szCs w:val="24"/>
          <w:highlight w:val="yellow"/>
        </w:rPr>
      </w:pPr>
    </w:p>
    <w:p w14:paraId="0505A59C" w14:textId="2E0A5D3A" w:rsidR="00873A1D" w:rsidRPr="00DC4B41" w:rsidRDefault="00873A1D" w:rsidP="00445180">
      <w:pPr>
        <w:spacing w:after="0"/>
        <w:ind w:firstLine="284"/>
        <w:jc w:val="both"/>
        <w:rPr>
          <w:rFonts w:ascii="Arial" w:hAnsi="Arial" w:cs="Arial"/>
          <w:szCs w:val="24"/>
        </w:rPr>
      </w:pPr>
      <w:r w:rsidRPr="00D912D1">
        <w:rPr>
          <w:rFonts w:ascii="Arial" w:hAnsi="Arial" w:cs="Arial"/>
          <w:szCs w:val="24"/>
        </w:rPr>
        <w:t>Trošak servisiranja d</w:t>
      </w:r>
      <w:r w:rsidR="00D41C1F">
        <w:rPr>
          <w:rFonts w:ascii="Arial" w:hAnsi="Arial" w:cs="Arial"/>
          <w:szCs w:val="24"/>
        </w:rPr>
        <w:t>uga u direktnoj je korelaciji s</w:t>
      </w:r>
      <w:r w:rsidRPr="00D912D1">
        <w:rPr>
          <w:rFonts w:ascii="Arial" w:hAnsi="Arial" w:cs="Arial"/>
          <w:szCs w:val="24"/>
        </w:rPr>
        <w:t xml:space="preserve"> promjenama kamatnih stopa. Dug s visokim kamatnim stopama generira t</w:t>
      </w:r>
      <w:r w:rsidR="00D41C1F">
        <w:rPr>
          <w:rFonts w:ascii="Arial" w:hAnsi="Arial" w:cs="Arial"/>
          <w:szCs w:val="24"/>
        </w:rPr>
        <w:t>ije</w:t>
      </w:r>
      <w:r w:rsidRPr="00D912D1">
        <w:rPr>
          <w:rFonts w:ascii="Arial" w:hAnsi="Arial" w:cs="Arial"/>
          <w:szCs w:val="24"/>
        </w:rPr>
        <w:t>kom vremena veće troškove duga, odnosno povećava potrebe za re</w:t>
      </w:r>
      <w:r w:rsidR="009A78EF">
        <w:rPr>
          <w:rFonts w:ascii="Arial" w:hAnsi="Arial" w:cs="Arial"/>
          <w:szCs w:val="24"/>
        </w:rPr>
        <w:t>financ</w:t>
      </w:r>
      <w:r w:rsidRPr="00D912D1">
        <w:rPr>
          <w:rFonts w:ascii="Arial" w:hAnsi="Arial" w:cs="Arial"/>
          <w:szCs w:val="24"/>
        </w:rPr>
        <w:t>iranjem</w:t>
      </w:r>
      <w:r w:rsidRPr="00DC4B41">
        <w:rPr>
          <w:rFonts w:ascii="Arial" w:hAnsi="Arial" w:cs="Arial"/>
          <w:szCs w:val="24"/>
        </w:rPr>
        <w:t>. Strategije S</w:t>
      </w:r>
      <w:r w:rsidR="00B9248C" w:rsidRPr="00445180">
        <w:rPr>
          <w:rFonts w:ascii="Arial" w:hAnsi="Arial" w:cs="Arial"/>
          <w:szCs w:val="24"/>
        </w:rPr>
        <w:t>3</w:t>
      </w:r>
      <w:r w:rsidRPr="00D912D1">
        <w:rPr>
          <w:rFonts w:ascii="Arial" w:hAnsi="Arial" w:cs="Arial"/>
          <w:szCs w:val="24"/>
        </w:rPr>
        <w:t xml:space="preserve"> i S4 su najmanje rizične strategije</w:t>
      </w:r>
      <w:r w:rsidR="00D41C1F">
        <w:rPr>
          <w:rFonts w:ascii="Arial" w:hAnsi="Arial" w:cs="Arial"/>
          <w:szCs w:val="24"/>
        </w:rPr>
        <w:t>,</w:t>
      </w:r>
      <w:r w:rsidRPr="00D912D1">
        <w:rPr>
          <w:rFonts w:ascii="Arial" w:hAnsi="Arial" w:cs="Arial"/>
          <w:szCs w:val="24"/>
        </w:rPr>
        <w:t xml:space="preserve"> ali imaju i najveće troškove (Slika 12.) zbog strukture duga u kojoj dominira vanjsko zaduživanje </w:t>
      </w:r>
      <w:r w:rsidR="00D41C1F">
        <w:rPr>
          <w:rFonts w:ascii="Arial" w:hAnsi="Arial" w:cs="Arial"/>
          <w:szCs w:val="24"/>
        </w:rPr>
        <w:t>u EUR-ima i u kojem udio duga s</w:t>
      </w:r>
      <w:r w:rsidRPr="00D912D1">
        <w:rPr>
          <w:rFonts w:ascii="Arial" w:hAnsi="Arial" w:cs="Arial"/>
          <w:szCs w:val="24"/>
        </w:rPr>
        <w:t xml:space="preserve"> fiksnim kamatnim stopama zadržava visok u</w:t>
      </w:r>
      <w:r w:rsidR="00D41C1F">
        <w:rPr>
          <w:rFonts w:ascii="Arial" w:hAnsi="Arial" w:cs="Arial"/>
          <w:szCs w:val="24"/>
        </w:rPr>
        <w:t>djel</w:t>
      </w:r>
      <w:r w:rsidRPr="00D912D1">
        <w:rPr>
          <w:rFonts w:ascii="Arial" w:hAnsi="Arial" w:cs="Arial"/>
          <w:szCs w:val="24"/>
        </w:rPr>
        <w:t xml:space="preserve"> u </w:t>
      </w:r>
      <w:r w:rsidR="00DA7CD0">
        <w:rPr>
          <w:rFonts w:ascii="Arial" w:hAnsi="Arial" w:cs="Arial"/>
          <w:szCs w:val="24"/>
        </w:rPr>
        <w:t>portfelju</w:t>
      </w:r>
      <w:r w:rsidRPr="00D912D1">
        <w:rPr>
          <w:rFonts w:ascii="Arial" w:hAnsi="Arial" w:cs="Arial"/>
          <w:szCs w:val="24"/>
        </w:rPr>
        <w:t xml:space="preserve"> ukupnog duga. Strat</w:t>
      </w:r>
      <w:r w:rsidRPr="00DC4B41">
        <w:rPr>
          <w:rFonts w:ascii="Arial" w:hAnsi="Arial" w:cs="Arial"/>
          <w:szCs w:val="24"/>
        </w:rPr>
        <w:t>egija S4 je najskuplja jer predviđa zaduživanje u većem o</w:t>
      </w:r>
      <w:r w:rsidR="00D41C1F">
        <w:rPr>
          <w:rFonts w:ascii="Arial" w:hAnsi="Arial" w:cs="Arial"/>
          <w:szCs w:val="24"/>
        </w:rPr>
        <w:t>psegu</w:t>
      </w:r>
      <w:r w:rsidRPr="00DC4B41">
        <w:rPr>
          <w:rFonts w:ascii="Arial" w:hAnsi="Arial" w:cs="Arial"/>
          <w:szCs w:val="24"/>
        </w:rPr>
        <w:t xml:space="preserve"> na ino</w:t>
      </w:r>
      <w:r w:rsidR="00D41C1F">
        <w:rPr>
          <w:rFonts w:ascii="Arial" w:hAnsi="Arial" w:cs="Arial"/>
          <w:szCs w:val="24"/>
        </w:rPr>
        <w:t>zemnom</w:t>
      </w:r>
      <w:r w:rsidRPr="00DC4B41">
        <w:rPr>
          <w:rFonts w:ascii="Arial" w:hAnsi="Arial" w:cs="Arial"/>
          <w:szCs w:val="24"/>
        </w:rPr>
        <w:t xml:space="preserve"> tržištu kapitala kombinacijom desetogodišnjih i petnaestogodišnjih euroobveznica u u</w:t>
      </w:r>
      <w:r w:rsidR="00D41C1F">
        <w:rPr>
          <w:rFonts w:ascii="Arial" w:hAnsi="Arial" w:cs="Arial"/>
          <w:szCs w:val="24"/>
        </w:rPr>
        <w:t>vjetima</w:t>
      </w:r>
      <w:r w:rsidRPr="00DC4B41">
        <w:rPr>
          <w:rFonts w:ascii="Arial" w:hAnsi="Arial" w:cs="Arial"/>
          <w:szCs w:val="24"/>
        </w:rPr>
        <w:t xml:space="preserve"> tržišnih kamatnih stopa. Strategije S1 i S</w:t>
      </w:r>
      <w:r w:rsidR="00B9248C" w:rsidRPr="00445180">
        <w:rPr>
          <w:rFonts w:ascii="Arial" w:hAnsi="Arial" w:cs="Arial"/>
          <w:szCs w:val="24"/>
        </w:rPr>
        <w:t>2</w:t>
      </w:r>
      <w:r w:rsidRPr="00D912D1">
        <w:rPr>
          <w:rFonts w:ascii="Arial" w:hAnsi="Arial" w:cs="Arial"/>
          <w:szCs w:val="24"/>
        </w:rPr>
        <w:t xml:space="preserve"> imaju približno iste troškove</w:t>
      </w:r>
      <w:r w:rsidR="00D41C1F">
        <w:rPr>
          <w:rFonts w:ascii="Arial" w:hAnsi="Arial" w:cs="Arial"/>
          <w:szCs w:val="24"/>
        </w:rPr>
        <w:t>,</w:t>
      </w:r>
      <w:r w:rsidRPr="00D912D1">
        <w:rPr>
          <w:rFonts w:ascii="Arial" w:hAnsi="Arial" w:cs="Arial"/>
          <w:szCs w:val="24"/>
        </w:rPr>
        <w:t xml:space="preserve"> s tim da je st</w:t>
      </w:r>
      <w:r w:rsidRPr="00DC4B41">
        <w:rPr>
          <w:rFonts w:ascii="Arial" w:hAnsi="Arial" w:cs="Arial"/>
          <w:szCs w:val="24"/>
        </w:rPr>
        <w:t>rategija S</w:t>
      </w:r>
      <w:r w:rsidR="00B9248C" w:rsidRPr="00445180">
        <w:rPr>
          <w:rFonts w:ascii="Arial" w:hAnsi="Arial" w:cs="Arial"/>
          <w:szCs w:val="24"/>
        </w:rPr>
        <w:t>2</w:t>
      </w:r>
      <w:r w:rsidRPr="00D912D1">
        <w:rPr>
          <w:rFonts w:ascii="Arial" w:hAnsi="Arial" w:cs="Arial"/>
          <w:szCs w:val="24"/>
        </w:rPr>
        <w:t xml:space="preserve"> najrizičnija s obzirom da su u strategiji S</w:t>
      </w:r>
      <w:r w:rsidR="00B9248C" w:rsidRPr="00445180">
        <w:rPr>
          <w:rFonts w:ascii="Arial" w:hAnsi="Arial" w:cs="Arial"/>
          <w:szCs w:val="24"/>
        </w:rPr>
        <w:t>2</w:t>
      </w:r>
      <w:r w:rsidRPr="00D912D1">
        <w:rPr>
          <w:rFonts w:ascii="Arial" w:hAnsi="Arial" w:cs="Arial"/>
          <w:szCs w:val="24"/>
        </w:rPr>
        <w:t xml:space="preserve"> razmatrani kreditni u</w:t>
      </w:r>
      <w:r w:rsidR="00D41C1F">
        <w:rPr>
          <w:rFonts w:ascii="Arial" w:hAnsi="Arial" w:cs="Arial"/>
          <w:szCs w:val="24"/>
        </w:rPr>
        <w:t xml:space="preserve">vjeti </w:t>
      </w:r>
      <w:r w:rsidRPr="00D912D1">
        <w:rPr>
          <w:rFonts w:ascii="Arial" w:hAnsi="Arial" w:cs="Arial"/>
          <w:szCs w:val="24"/>
        </w:rPr>
        <w:t xml:space="preserve">u kojima u većem </w:t>
      </w:r>
      <w:r w:rsidR="00D41C1F">
        <w:rPr>
          <w:rFonts w:ascii="Arial" w:hAnsi="Arial" w:cs="Arial"/>
          <w:szCs w:val="24"/>
        </w:rPr>
        <w:t>opsegu</w:t>
      </w:r>
      <w:r w:rsidRPr="00D912D1">
        <w:rPr>
          <w:rFonts w:ascii="Arial" w:hAnsi="Arial" w:cs="Arial"/>
          <w:szCs w:val="24"/>
        </w:rPr>
        <w:t xml:space="preserve"> (u odnosu na Strategiju S1) prevladavaju promjenjive kamatne stope. Najveći rizik za sve bazne strategije u pogledu omjera kamata/BDP predstavlja eks</w:t>
      </w:r>
      <w:r w:rsidRPr="00DC4B41">
        <w:rPr>
          <w:rFonts w:ascii="Arial" w:hAnsi="Arial" w:cs="Arial"/>
          <w:szCs w:val="24"/>
        </w:rPr>
        <w:t>tremni kamatni šok u 2. godini strategije. Odstupanje od baznog scenarija kreće u iznosu od 0,</w:t>
      </w:r>
      <w:r w:rsidR="00E728FD" w:rsidRPr="00445180">
        <w:rPr>
          <w:rFonts w:ascii="Arial" w:hAnsi="Arial" w:cs="Arial"/>
          <w:szCs w:val="24"/>
        </w:rPr>
        <w:t>4488</w:t>
      </w:r>
      <w:r w:rsidRPr="00D912D1">
        <w:rPr>
          <w:rFonts w:ascii="Arial" w:hAnsi="Arial" w:cs="Arial"/>
          <w:szCs w:val="24"/>
        </w:rPr>
        <w:t>% – 0,</w:t>
      </w:r>
      <w:r w:rsidR="00E728FD" w:rsidRPr="00445180">
        <w:rPr>
          <w:rFonts w:ascii="Arial" w:hAnsi="Arial" w:cs="Arial"/>
          <w:szCs w:val="24"/>
        </w:rPr>
        <w:t>4497</w:t>
      </w:r>
      <w:r w:rsidRPr="00D912D1">
        <w:rPr>
          <w:rFonts w:ascii="Arial" w:hAnsi="Arial" w:cs="Arial"/>
          <w:szCs w:val="24"/>
        </w:rPr>
        <w:t xml:space="preserve">% procijenjenog </w:t>
      </w:r>
      <w:r w:rsidRPr="00DC4B41">
        <w:rPr>
          <w:rFonts w:ascii="Arial" w:hAnsi="Arial" w:cs="Arial"/>
          <w:szCs w:val="24"/>
        </w:rPr>
        <w:t xml:space="preserve">BDP-a. </w:t>
      </w:r>
    </w:p>
    <w:p w14:paraId="54C4045E" w14:textId="77777777" w:rsidR="00355621" w:rsidRPr="00DC4B41" w:rsidRDefault="00355621" w:rsidP="00773274">
      <w:pPr>
        <w:spacing w:after="0"/>
        <w:ind w:firstLine="425"/>
        <w:jc w:val="both"/>
        <w:rPr>
          <w:rFonts w:ascii="Arial" w:hAnsi="Arial" w:cs="Arial"/>
          <w:szCs w:val="24"/>
        </w:rPr>
      </w:pPr>
    </w:p>
    <w:p w14:paraId="162B16AA" w14:textId="0A135D92" w:rsidR="00ED768D" w:rsidRDefault="00ED768D" w:rsidP="003440EA">
      <w:pPr>
        <w:spacing w:after="0" w:line="240" w:lineRule="auto"/>
        <w:jc w:val="both"/>
        <w:rPr>
          <w:rFonts w:ascii="Arial" w:hAnsi="Arial" w:cs="Arial"/>
          <w:i/>
          <w:szCs w:val="24"/>
        </w:rPr>
      </w:pPr>
      <w:r w:rsidRPr="00DC4B41">
        <w:rPr>
          <w:rFonts w:ascii="Arial" w:hAnsi="Arial" w:cs="Arial"/>
          <w:i/>
          <w:szCs w:val="24"/>
        </w:rPr>
        <w:t xml:space="preserve">Slika </w:t>
      </w:r>
      <w:r w:rsidR="009D5680" w:rsidRPr="00DC4B41">
        <w:rPr>
          <w:rFonts w:ascii="Arial" w:hAnsi="Arial" w:cs="Arial"/>
          <w:i/>
          <w:szCs w:val="24"/>
        </w:rPr>
        <w:t>1</w:t>
      </w:r>
      <w:r w:rsidR="008A7690" w:rsidRPr="00DC4B41">
        <w:rPr>
          <w:rFonts w:ascii="Arial" w:hAnsi="Arial" w:cs="Arial"/>
          <w:i/>
          <w:szCs w:val="24"/>
        </w:rPr>
        <w:t>2</w:t>
      </w:r>
      <w:r w:rsidRPr="00DC4B41">
        <w:rPr>
          <w:rFonts w:ascii="Arial" w:hAnsi="Arial" w:cs="Arial"/>
          <w:i/>
          <w:szCs w:val="24"/>
        </w:rPr>
        <w:t>. U</w:t>
      </w:r>
      <w:r w:rsidR="00D41C1F">
        <w:rPr>
          <w:rFonts w:ascii="Arial" w:hAnsi="Arial" w:cs="Arial"/>
          <w:i/>
          <w:szCs w:val="24"/>
        </w:rPr>
        <w:t>djel</w:t>
      </w:r>
      <w:r w:rsidRPr="00DC4B41">
        <w:rPr>
          <w:rFonts w:ascii="Arial" w:hAnsi="Arial" w:cs="Arial"/>
          <w:i/>
          <w:szCs w:val="24"/>
        </w:rPr>
        <w:t xml:space="preserve"> troškova kamata u BDP-u (kraj </w:t>
      </w:r>
      <w:r w:rsidR="001C7485" w:rsidRPr="00DC4B41">
        <w:rPr>
          <w:rFonts w:ascii="Arial" w:hAnsi="Arial" w:cs="Arial"/>
          <w:i/>
          <w:szCs w:val="24"/>
        </w:rPr>
        <w:t>202</w:t>
      </w:r>
      <w:r w:rsidR="00873A1D" w:rsidRPr="00445180">
        <w:rPr>
          <w:rFonts w:ascii="Arial" w:hAnsi="Arial" w:cs="Arial"/>
          <w:i/>
          <w:szCs w:val="24"/>
        </w:rPr>
        <w:t>4</w:t>
      </w:r>
      <w:r w:rsidRPr="00D912D1">
        <w:rPr>
          <w:rFonts w:ascii="Arial" w:hAnsi="Arial" w:cs="Arial"/>
          <w:i/>
          <w:szCs w:val="24"/>
        </w:rPr>
        <w:t>. godine)</w:t>
      </w:r>
    </w:p>
    <w:p w14:paraId="1E3D2FEE" w14:textId="4603413D" w:rsidR="00665731" w:rsidRDefault="00873A1D" w:rsidP="003440EA">
      <w:pPr>
        <w:spacing w:after="0" w:line="240" w:lineRule="auto"/>
        <w:jc w:val="both"/>
        <w:rPr>
          <w:rFonts w:ascii="Arial" w:hAnsi="Arial" w:cs="Arial"/>
          <w:i/>
          <w:szCs w:val="24"/>
        </w:rPr>
      </w:pPr>
      <w:r>
        <w:rPr>
          <w:noProof/>
          <w:lang w:val="en-US"/>
        </w:rPr>
        <w:drawing>
          <wp:inline distT="0" distB="0" distL="0" distR="0" wp14:anchorId="05EAA678" wp14:editId="634B365D">
            <wp:extent cx="5835015" cy="1666800"/>
            <wp:effectExtent l="0" t="0" r="13335" b="10160"/>
            <wp:docPr id="30" name="Chart 3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8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E113979" w14:textId="21D0671E" w:rsidR="00066616" w:rsidRPr="007A7F89" w:rsidRDefault="00066616" w:rsidP="003440EA">
      <w:pPr>
        <w:spacing w:after="0" w:line="240" w:lineRule="auto"/>
        <w:jc w:val="both"/>
        <w:rPr>
          <w:rFonts w:ascii="Arial" w:hAnsi="Arial" w:cs="Arial"/>
          <w:i/>
          <w:szCs w:val="24"/>
        </w:rPr>
      </w:pPr>
    </w:p>
    <w:p w14:paraId="036FC7A0" w14:textId="4F21A52B" w:rsidR="00873A1D" w:rsidRPr="00445180" w:rsidRDefault="00873A1D" w:rsidP="00873A1D">
      <w:pPr>
        <w:spacing w:after="0"/>
        <w:ind w:firstLine="426"/>
        <w:jc w:val="both"/>
        <w:rPr>
          <w:rFonts w:ascii="Arial" w:hAnsi="Arial" w:cs="Arial"/>
          <w:szCs w:val="24"/>
        </w:rPr>
      </w:pPr>
      <w:r w:rsidRPr="00D912D1">
        <w:rPr>
          <w:rFonts w:ascii="Arial" w:hAnsi="Arial" w:cs="Arial"/>
          <w:szCs w:val="24"/>
        </w:rPr>
        <w:t xml:space="preserve">Najveći rizik </w:t>
      </w:r>
      <w:r w:rsidR="009A78EF">
        <w:rPr>
          <w:rFonts w:ascii="Arial" w:hAnsi="Arial" w:cs="Arial"/>
          <w:szCs w:val="24"/>
        </w:rPr>
        <w:t>portfelja</w:t>
      </w:r>
      <w:r w:rsidRPr="00D912D1">
        <w:rPr>
          <w:rFonts w:ascii="Arial" w:hAnsi="Arial" w:cs="Arial"/>
          <w:szCs w:val="24"/>
        </w:rPr>
        <w:t xml:space="preserve"> duga za sve četiri testirane strategije, u pogledu omjera dug/BDP predstavlja valutni rizik u slučaju nagle promjene deviznog </w:t>
      </w:r>
      <w:r w:rsidR="00D41C1F">
        <w:rPr>
          <w:rFonts w:ascii="Arial" w:hAnsi="Arial" w:cs="Arial"/>
          <w:szCs w:val="24"/>
        </w:rPr>
        <w:t>tečaja</w:t>
      </w:r>
      <w:r w:rsidRPr="00D912D1">
        <w:rPr>
          <w:rFonts w:ascii="Arial" w:hAnsi="Arial" w:cs="Arial"/>
          <w:szCs w:val="24"/>
        </w:rPr>
        <w:t xml:space="preserve"> odnosno aprecijaci</w:t>
      </w:r>
      <w:r w:rsidRPr="00DC4B41">
        <w:rPr>
          <w:rFonts w:ascii="Arial" w:hAnsi="Arial" w:cs="Arial"/>
          <w:szCs w:val="24"/>
        </w:rPr>
        <w:t xml:space="preserve">je USD u odnosu na KM i EUR (šok od 30% u 2. godini strategije). </w:t>
      </w:r>
    </w:p>
    <w:p w14:paraId="7249F108" w14:textId="18C1EEC8" w:rsidR="00873A1D" w:rsidRPr="00DC4B41" w:rsidRDefault="00DA7CD0" w:rsidP="00873A1D">
      <w:pPr>
        <w:spacing w:after="0"/>
        <w:ind w:firstLine="426"/>
        <w:jc w:val="both"/>
        <w:rPr>
          <w:rFonts w:ascii="Arial" w:hAnsi="Arial" w:cs="Arial"/>
          <w:szCs w:val="24"/>
        </w:rPr>
      </w:pPr>
      <w:r>
        <w:rPr>
          <w:rFonts w:ascii="Arial" w:hAnsi="Arial" w:cs="Arial"/>
          <w:szCs w:val="24"/>
        </w:rPr>
        <w:t>Portfelj</w:t>
      </w:r>
      <w:r w:rsidR="00873A1D" w:rsidRPr="00D912D1">
        <w:rPr>
          <w:rFonts w:ascii="Arial" w:hAnsi="Arial" w:cs="Arial"/>
          <w:szCs w:val="24"/>
        </w:rPr>
        <w:t xml:space="preserve"> koji ima veći ud</w:t>
      </w:r>
      <w:r w:rsidR="00D41C1F">
        <w:rPr>
          <w:rFonts w:ascii="Arial" w:hAnsi="Arial" w:cs="Arial"/>
          <w:szCs w:val="24"/>
        </w:rPr>
        <w:t>jel</w:t>
      </w:r>
      <w:r w:rsidR="00873A1D" w:rsidRPr="00D912D1">
        <w:rPr>
          <w:rFonts w:ascii="Arial" w:hAnsi="Arial" w:cs="Arial"/>
          <w:szCs w:val="24"/>
        </w:rPr>
        <w:t xml:space="preserve"> neeurskih valuta u stanju neotplaćenog vanjskog duga izložen je većem riziku kada je u pitanju apracijacija stranih valuta u odnosu na domaću. Strategija S4 je </w:t>
      </w:r>
      <w:r w:rsidR="00873A1D" w:rsidRPr="00DC4B41">
        <w:rPr>
          <w:rFonts w:ascii="Arial" w:hAnsi="Arial" w:cs="Arial"/>
          <w:szCs w:val="24"/>
        </w:rPr>
        <w:t xml:space="preserve">najosjetljivija strategija na promjene deviznih </w:t>
      </w:r>
      <w:r w:rsidR="00D41C1F">
        <w:rPr>
          <w:rFonts w:ascii="Arial" w:hAnsi="Arial" w:cs="Arial"/>
          <w:szCs w:val="24"/>
        </w:rPr>
        <w:t>tečajeva</w:t>
      </w:r>
      <w:r w:rsidR="00873A1D" w:rsidRPr="00DC4B41">
        <w:rPr>
          <w:rFonts w:ascii="Arial" w:hAnsi="Arial" w:cs="Arial"/>
          <w:szCs w:val="24"/>
        </w:rPr>
        <w:t>, zbog niskog udjela domaćeg zaduživanja i značajnijeg vanjskog zaduživanja u neeurskim valutama (SDR, USD).</w:t>
      </w:r>
    </w:p>
    <w:p w14:paraId="19B0AAAF" w14:textId="269029F6" w:rsidR="00873A1D" w:rsidRPr="00445180" w:rsidRDefault="00873A1D" w:rsidP="00873A1D">
      <w:pPr>
        <w:spacing w:after="0"/>
        <w:ind w:firstLine="426"/>
        <w:jc w:val="both"/>
        <w:rPr>
          <w:rFonts w:ascii="Arial" w:hAnsi="Arial" w:cs="Arial"/>
          <w:szCs w:val="24"/>
        </w:rPr>
      </w:pPr>
      <w:r w:rsidRPr="00DC4B41">
        <w:rPr>
          <w:rFonts w:ascii="Arial" w:hAnsi="Arial" w:cs="Arial"/>
          <w:szCs w:val="24"/>
        </w:rPr>
        <w:t xml:space="preserve"> Kao i u slučaju prethodnog indikatora kada </w:t>
      </w:r>
      <w:r w:rsidR="00D41C1F" w:rsidRPr="00DC4B41">
        <w:rPr>
          <w:rFonts w:ascii="Arial" w:hAnsi="Arial" w:cs="Arial"/>
          <w:szCs w:val="24"/>
        </w:rPr>
        <w:t>promatramo</w:t>
      </w:r>
      <w:r w:rsidRPr="00DC4B41">
        <w:rPr>
          <w:rFonts w:ascii="Arial" w:hAnsi="Arial" w:cs="Arial"/>
          <w:szCs w:val="24"/>
        </w:rPr>
        <w:t xml:space="preserve"> bazni scenarij, strategije S1 i S</w:t>
      </w:r>
      <w:r w:rsidR="00E728FD" w:rsidRPr="00445180">
        <w:rPr>
          <w:rFonts w:ascii="Arial" w:hAnsi="Arial" w:cs="Arial"/>
          <w:szCs w:val="24"/>
        </w:rPr>
        <w:t xml:space="preserve">2 </w:t>
      </w:r>
      <w:r w:rsidRPr="00D912D1">
        <w:rPr>
          <w:rFonts w:ascii="Arial" w:hAnsi="Arial" w:cs="Arial"/>
          <w:szCs w:val="24"/>
        </w:rPr>
        <w:t>im</w:t>
      </w:r>
      <w:r w:rsidRPr="00DC4B41">
        <w:rPr>
          <w:rFonts w:ascii="Arial" w:hAnsi="Arial" w:cs="Arial"/>
          <w:szCs w:val="24"/>
        </w:rPr>
        <w:t>aju najmanje troškove i manje su rizične u odnosu na strategije S</w:t>
      </w:r>
      <w:r w:rsidR="00E728FD" w:rsidRPr="00445180">
        <w:rPr>
          <w:rFonts w:ascii="Arial" w:hAnsi="Arial" w:cs="Arial"/>
          <w:szCs w:val="24"/>
        </w:rPr>
        <w:t>3</w:t>
      </w:r>
      <w:r w:rsidRPr="00D912D1">
        <w:rPr>
          <w:rFonts w:ascii="Arial" w:hAnsi="Arial" w:cs="Arial"/>
          <w:szCs w:val="24"/>
        </w:rPr>
        <w:t xml:space="preserve"> i S4. Strategija S4 je najrizičnija i najskuplja kada je </w:t>
      </w:r>
      <w:r w:rsidR="00D41C1F">
        <w:rPr>
          <w:rFonts w:ascii="Arial" w:hAnsi="Arial" w:cs="Arial"/>
          <w:szCs w:val="24"/>
        </w:rPr>
        <w:t>us</w:t>
      </w:r>
      <w:r w:rsidRPr="00D912D1">
        <w:rPr>
          <w:rFonts w:ascii="Arial" w:hAnsi="Arial" w:cs="Arial"/>
          <w:szCs w:val="24"/>
        </w:rPr>
        <w:t xml:space="preserve">poredimo </w:t>
      </w:r>
      <w:r w:rsidR="00D41C1F">
        <w:rPr>
          <w:rFonts w:ascii="Arial" w:hAnsi="Arial" w:cs="Arial"/>
          <w:szCs w:val="24"/>
        </w:rPr>
        <w:t>s</w:t>
      </w:r>
      <w:r w:rsidRPr="00D912D1">
        <w:rPr>
          <w:rFonts w:ascii="Arial" w:hAnsi="Arial" w:cs="Arial"/>
          <w:szCs w:val="24"/>
        </w:rPr>
        <w:t xml:space="preserve"> ostal</w:t>
      </w:r>
      <w:r w:rsidR="00D41C1F">
        <w:rPr>
          <w:rFonts w:ascii="Arial" w:hAnsi="Arial" w:cs="Arial"/>
          <w:szCs w:val="24"/>
        </w:rPr>
        <w:t>im</w:t>
      </w:r>
      <w:r w:rsidRPr="00D912D1">
        <w:rPr>
          <w:rFonts w:ascii="Arial" w:hAnsi="Arial" w:cs="Arial"/>
          <w:szCs w:val="24"/>
        </w:rPr>
        <w:t xml:space="preserve"> strategij</w:t>
      </w:r>
      <w:r w:rsidR="00D41C1F">
        <w:rPr>
          <w:rFonts w:ascii="Arial" w:hAnsi="Arial" w:cs="Arial"/>
          <w:szCs w:val="24"/>
        </w:rPr>
        <w:t>ama</w:t>
      </w:r>
      <w:r w:rsidRPr="00D912D1">
        <w:rPr>
          <w:rFonts w:ascii="Arial" w:hAnsi="Arial" w:cs="Arial"/>
          <w:szCs w:val="24"/>
        </w:rPr>
        <w:t xml:space="preserve">. </w:t>
      </w:r>
    </w:p>
    <w:p w14:paraId="2990A8E8" w14:textId="6F880794" w:rsidR="00873A1D" w:rsidRPr="00445180" w:rsidRDefault="00873A1D" w:rsidP="00873A1D">
      <w:pPr>
        <w:spacing w:after="0"/>
        <w:ind w:firstLine="426"/>
        <w:jc w:val="both"/>
        <w:rPr>
          <w:rFonts w:ascii="Arial" w:hAnsi="Arial" w:cs="Arial"/>
          <w:szCs w:val="24"/>
        </w:rPr>
      </w:pPr>
      <w:r w:rsidRPr="00D912D1">
        <w:rPr>
          <w:rFonts w:ascii="Arial" w:hAnsi="Arial" w:cs="Arial"/>
          <w:szCs w:val="24"/>
        </w:rPr>
        <w:t xml:space="preserve">Strategija S4 je najosjetljivija na promjene deviznog </w:t>
      </w:r>
      <w:r w:rsidR="00D41C1F">
        <w:rPr>
          <w:rFonts w:ascii="Arial" w:hAnsi="Arial" w:cs="Arial"/>
          <w:szCs w:val="24"/>
        </w:rPr>
        <w:t>tečaja</w:t>
      </w:r>
      <w:r w:rsidRPr="00D912D1">
        <w:rPr>
          <w:rFonts w:ascii="Arial" w:hAnsi="Arial" w:cs="Arial"/>
          <w:szCs w:val="24"/>
        </w:rPr>
        <w:t xml:space="preserve"> i ima veće odstupanje od svog b</w:t>
      </w:r>
      <w:r w:rsidRPr="00DC4B41">
        <w:rPr>
          <w:rFonts w:ascii="Arial" w:hAnsi="Arial" w:cs="Arial"/>
          <w:szCs w:val="24"/>
        </w:rPr>
        <w:t>aznog scenarija (u odnosu na ostale strategije), koji podrazumijeva izdavanje euroobveznice na vanjskom tržištu kao i zaduživanje u neeurskim valutama (USD i SDR) u cilju realizacije PJI 202</w:t>
      </w:r>
      <w:r w:rsidR="00E728FD" w:rsidRPr="00445180">
        <w:rPr>
          <w:rFonts w:ascii="Arial" w:hAnsi="Arial" w:cs="Arial"/>
          <w:szCs w:val="24"/>
        </w:rPr>
        <w:t>2</w:t>
      </w:r>
      <w:r w:rsidRPr="00D912D1">
        <w:rPr>
          <w:rFonts w:ascii="Arial" w:hAnsi="Arial" w:cs="Arial"/>
          <w:szCs w:val="24"/>
        </w:rPr>
        <w:t xml:space="preserve"> – 202</w:t>
      </w:r>
      <w:r w:rsidR="00E728FD" w:rsidRPr="00445180">
        <w:rPr>
          <w:rFonts w:ascii="Arial" w:hAnsi="Arial" w:cs="Arial"/>
          <w:szCs w:val="24"/>
        </w:rPr>
        <w:t>4</w:t>
      </w:r>
      <w:r w:rsidRPr="00D912D1">
        <w:rPr>
          <w:rFonts w:ascii="Arial" w:hAnsi="Arial" w:cs="Arial"/>
          <w:szCs w:val="24"/>
        </w:rPr>
        <w:t>. godine. U slučaju ekstremnog deviznog šoka (aprecijacij</w:t>
      </w:r>
      <w:r w:rsidRPr="00DC4B41">
        <w:rPr>
          <w:rFonts w:ascii="Arial" w:hAnsi="Arial" w:cs="Arial"/>
          <w:szCs w:val="24"/>
        </w:rPr>
        <w:t xml:space="preserve">a USD u odnosu na BAM u iznosu od 30%) odstupanje šok scenarija od baznog, iznosi od </w:t>
      </w:r>
      <w:r w:rsidR="00E728FD" w:rsidRPr="00445180">
        <w:rPr>
          <w:rFonts w:ascii="Arial" w:hAnsi="Arial" w:cs="Arial"/>
          <w:szCs w:val="24"/>
        </w:rPr>
        <w:t>5,9779</w:t>
      </w:r>
      <w:r w:rsidRPr="00D912D1">
        <w:rPr>
          <w:rFonts w:ascii="Arial" w:hAnsi="Arial" w:cs="Arial"/>
          <w:szCs w:val="24"/>
        </w:rPr>
        <w:t>%–</w:t>
      </w:r>
      <w:r w:rsidR="00E728FD" w:rsidRPr="00445180">
        <w:rPr>
          <w:rFonts w:ascii="Arial" w:hAnsi="Arial" w:cs="Arial"/>
          <w:szCs w:val="24"/>
        </w:rPr>
        <w:t>6,5552</w:t>
      </w:r>
      <w:r w:rsidRPr="00D912D1">
        <w:rPr>
          <w:rFonts w:ascii="Arial" w:hAnsi="Arial" w:cs="Arial"/>
          <w:szCs w:val="24"/>
        </w:rPr>
        <w:t>%, procijenjenog BDP-a u 202</w:t>
      </w:r>
      <w:r w:rsidR="00E728FD" w:rsidRPr="00445180">
        <w:rPr>
          <w:rFonts w:ascii="Arial" w:hAnsi="Arial" w:cs="Arial"/>
          <w:szCs w:val="24"/>
        </w:rPr>
        <w:t>4</w:t>
      </w:r>
      <w:r w:rsidRPr="00D912D1">
        <w:rPr>
          <w:rFonts w:ascii="Arial" w:hAnsi="Arial" w:cs="Arial"/>
          <w:szCs w:val="24"/>
        </w:rPr>
        <w:t>. godini s tim da je to odstupanje najmanje u Strategiji S</w:t>
      </w:r>
      <w:r w:rsidR="00E728FD" w:rsidRPr="00445180">
        <w:rPr>
          <w:rFonts w:ascii="Arial" w:hAnsi="Arial" w:cs="Arial"/>
          <w:szCs w:val="24"/>
        </w:rPr>
        <w:t>2</w:t>
      </w:r>
      <w:r w:rsidRPr="00D912D1">
        <w:rPr>
          <w:rFonts w:ascii="Arial" w:hAnsi="Arial" w:cs="Arial"/>
          <w:szCs w:val="24"/>
        </w:rPr>
        <w:t xml:space="preserve"> i iznosi </w:t>
      </w:r>
      <w:r w:rsidR="00E728FD" w:rsidRPr="00445180">
        <w:rPr>
          <w:rFonts w:ascii="Arial" w:hAnsi="Arial" w:cs="Arial"/>
          <w:szCs w:val="24"/>
        </w:rPr>
        <w:t>5,9779</w:t>
      </w:r>
      <w:r w:rsidRPr="00D912D1">
        <w:rPr>
          <w:rFonts w:ascii="Arial" w:hAnsi="Arial" w:cs="Arial"/>
          <w:szCs w:val="24"/>
        </w:rPr>
        <w:t>%.</w:t>
      </w:r>
    </w:p>
    <w:p w14:paraId="276C72F3" w14:textId="1BA67FED" w:rsidR="00066616" w:rsidRPr="007A7F89" w:rsidRDefault="00ED768D" w:rsidP="003440EA">
      <w:pPr>
        <w:spacing w:after="0" w:line="240" w:lineRule="auto"/>
        <w:jc w:val="both"/>
        <w:rPr>
          <w:rFonts w:ascii="Arial" w:hAnsi="Arial" w:cs="Arial"/>
          <w:i/>
          <w:color w:val="E36C0A" w:themeColor="accent6" w:themeShade="BF"/>
          <w:sz w:val="20"/>
        </w:rPr>
      </w:pPr>
      <w:r w:rsidRPr="00DC4B41">
        <w:rPr>
          <w:rFonts w:ascii="Arial" w:hAnsi="Arial" w:cs="Arial"/>
          <w:i/>
          <w:szCs w:val="24"/>
        </w:rPr>
        <w:lastRenderedPageBreak/>
        <w:t xml:space="preserve">Slika </w:t>
      </w:r>
      <w:r w:rsidR="008A7690" w:rsidRPr="00DC4B41">
        <w:rPr>
          <w:rFonts w:ascii="Arial" w:hAnsi="Arial" w:cs="Arial"/>
          <w:i/>
          <w:szCs w:val="24"/>
        </w:rPr>
        <w:t>13</w:t>
      </w:r>
      <w:r w:rsidRPr="00DC4B41">
        <w:rPr>
          <w:rFonts w:ascii="Arial" w:hAnsi="Arial" w:cs="Arial"/>
          <w:i/>
          <w:szCs w:val="24"/>
        </w:rPr>
        <w:t>. U</w:t>
      </w:r>
      <w:r w:rsidR="00D41C1F">
        <w:rPr>
          <w:rFonts w:ascii="Arial" w:hAnsi="Arial" w:cs="Arial"/>
          <w:i/>
          <w:szCs w:val="24"/>
        </w:rPr>
        <w:t>djel</w:t>
      </w:r>
      <w:r w:rsidRPr="00DC4B41">
        <w:rPr>
          <w:rFonts w:ascii="Arial" w:hAnsi="Arial" w:cs="Arial"/>
          <w:i/>
          <w:szCs w:val="24"/>
        </w:rPr>
        <w:t xml:space="preserve"> duga u BDP-u</w:t>
      </w:r>
      <w:r w:rsidRPr="00DC4B41">
        <w:rPr>
          <w:rFonts w:ascii="Arial" w:hAnsi="Arial" w:cs="Arial"/>
          <w:i/>
          <w:sz w:val="20"/>
        </w:rPr>
        <w:t xml:space="preserve">  </w:t>
      </w:r>
      <w:r w:rsidRPr="00DC4B41">
        <w:rPr>
          <w:rFonts w:ascii="Arial" w:hAnsi="Arial" w:cs="Arial"/>
          <w:i/>
          <w:szCs w:val="24"/>
        </w:rPr>
        <w:t xml:space="preserve">(kraj </w:t>
      </w:r>
      <w:r w:rsidR="00383751" w:rsidRPr="00DC4B41">
        <w:rPr>
          <w:rFonts w:ascii="Arial" w:hAnsi="Arial" w:cs="Arial"/>
          <w:i/>
          <w:szCs w:val="24"/>
        </w:rPr>
        <w:t>2024</w:t>
      </w:r>
      <w:r w:rsidRPr="00DC4B41">
        <w:rPr>
          <w:rFonts w:ascii="Arial" w:hAnsi="Arial" w:cs="Arial"/>
          <w:i/>
          <w:szCs w:val="24"/>
        </w:rPr>
        <w:t>. godine)</w:t>
      </w:r>
      <w:r w:rsidRPr="007A7F89">
        <w:rPr>
          <w:rFonts w:ascii="Arial" w:hAnsi="Arial" w:cs="Arial"/>
          <w:i/>
          <w:color w:val="E36C0A" w:themeColor="accent6" w:themeShade="BF"/>
          <w:sz w:val="20"/>
        </w:rPr>
        <w:t xml:space="preserve">      </w:t>
      </w:r>
    </w:p>
    <w:p w14:paraId="0682AAAC" w14:textId="2F126B9C" w:rsidR="00ED768D" w:rsidRDefault="00ED768D" w:rsidP="003440EA">
      <w:pPr>
        <w:spacing w:after="0" w:line="240" w:lineRule="auto"/>
        <w:jc w:val="both"/>
        <w:rPr>
          <w:rFonts w:ascii="Arial" w:hAnsi="Arial" w:cs="Arial"/>
          <w:i/>
          <w:color w:val="E36C0A" w:themeColor="accent6" w:themeShade="BF"/>
        </w:rPr>
      </w:pPr>
      <w:r w:rsidRPr="00AF7CAC">
        <w:rPr>
          <w:rFonts w:ascii="Arial" w:hAnsi="Arial" w:cs="Arial"/>
          <w:i/>
          <w:color w:val="E36C0A" w:themeColor="accent6" w:themeShade="BF"/>
        </w:rPr>
        <w:t xml:space="preserve">                      </w:t>
      </w:r>
      <w:r w:rsidR="00873A1D">
        <w:rPr>
          <w:noProof/>
          <w:lang w:val="en-US"/>
        </w:rPr>
        <w:drawing>
          <wp:inline distT="0" distB="0" distL="0" distR="0" wp14:anchorId="6F2E8FDA" wp14:editId="4702581E">
            <wp:extent cx="5779135" cy="2695575"/>
            <wp:effectExtent l="0" t="0" r="12065" b="9525"/>
            <wp:docPr id="31" name="Chart 3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DDA4C85" w14:textId="0636FE0F" w:rsidR="00ED768D" w:rsidRPr="00AF7CAC" w:rsidRDefault="00ED768D" w:rsidP="00ED768D">
      <w:pPr>
        <w:spacing w:after="0"/>
        <w:jc w:val="center"/>
        <w:rPr>
          <w:rFonts w:ascii="Arial" w:hAnsi="Arial" w:cs="Arial"/>
        </w:rPr>
      </w:pPr>
    </w:p>
    <w:p w14:paraId="5619706D" w14:textId="77777777" w:rsidR="001349F9" w:rsidRDefault="001349F9" w:rsidP="00445180">
      <w:pPr>
        <w:pStyle w:val="Heading2"/>
        <w:spacing w:before="0"/>
        <w:ind w:left="993"/>
        <w:rPr>
          <w:rFonts w:ascii="Arial" w:hAnsi="Arial" w:cs="Arial"/>
          <w:b w:val="0"/>
          <w:color w:val="auto"/>
          <w:sz w:val="22"/>
          <w:szCs w:val="22"/>
        </w:rPr>
      </w:pPr>
    </w:p>
    <w:p w14:paraId="76EBD437" w14:textId="77777777" w:rsidR="00ED768D" w:rsidRPr="00D912D1" w:rsidRDefault="00ED768D" w:rsidP="003440EA">
      <w:pPr>
        <w:pStyle w:val="Heading2"/>
        <w:numPr>
          <w:ilvl w:val="1"/>
          <w:numId w:val="5"/>
        </w:numPr>
        <w:spacing w:before="0"/>
        <w:ind w:left="993" w:hanging="709"/>
        <w:rPr>
          <w:rFonts w:ascii="Arial" w:hAnsi="Arial" w:cs="Arial"/>
          <w:b w:val="0"/>
          <w:color w:val="auto"/>
          <w:sz w:val="22"/>
          <w:szCs w:val="22"/>
        </w:rPr>
      </w:pPr>
      <w:bookmarkStart w:id="150" w:name="_Toc100823766"/>
      <w:r w:rsidRPr="00D912D1">
        <w:rPr>
          <w:rFonts w:ascii="Arial" w:hAnsi="Arial" w:cs="Arial"/>
          <w:b w:val="0"/>
          <w:color w:val="auto"/>
          <w:sz w:val="22"/>
          <w:szCs w:val="22"/>
        </w:rPr>
        <w:t>Indikatori rizika alternativnih strategija</w:t>
      </w:r>
      <w:bookmarkEnd w:id="150"/>
    </w:p>
    <w:p w14:paraId="3BE9E212" w14:textId="77777777" w:rsidR="009E79E0" w:rsidRPr="00DC4B41" w:rsidRDefault="009E79E0" w:rsidP="00AF3981">
      <w:pPr>
        <w:spacing w:after="0" w:line="240" w:lineRule="auto"/>
        <w:jc w:val="both"/>
        <w:rPr>
          <w:rFonts w:ascii="Arial" w:hAnsi="Arial" w:cs="Arial"/>
        </w:rPr>
      </w:pPr>
    </w:p>
    <w:p w14:paraId="1692A568" w14:textId="0C8EEAB6" w:rsidR="00ED768D" w:rsidRPr="00DC4B41" w:rsidRDefault="00ED768D" w:rsidP="00773274">
      <w:pPr>
        <w:spacing w:after="0"/>
        <w:ind w:firstLine="284"/>
        <w:jc w:val="both"/>
        <w:rPr>
          <w:rFonts w:ascii="Arial" w:hAnsi="Arial" w:cs="Arial"/>
        </w:rPr>
      </w:pPr>
      <w:r w:rsidRPr="00DC4B41">
        <w:rPr>
          <w:rFonts w:ascii="Arial" w:hAnsi="Arial" w:cs="Arial"/>
        </w:rPr>
        <w:t xml:space="preserve">Budući da odnosi </w:t>
      </w:r>
      <w:r w:rsidRPr="00DC4B41">
        <w:rPr>
          <w:rFonts w:ascii="Arial" w:hAnsi="Arial" w:cs="Arial"/>
          <w:i/>
        </w:rPr>
        <w:t>dug/BDP</w:t>
      </w:r>
      <w:r w:rsidRPr="00DC4B41">
        <w:rPr>
          <w:rFonts w:ascii="Arial" w:hAnsi="Arial" w:cs="Arial"/>
        </w:rPr>
        <w:t xml:space="preserve"> i </w:t>
      </w:r>
      <w:r w:rsidRPr="00DC4B41">
        <w:rPr>
          <w:rFonts w:ascii="Arial" w:hAnsi="Arial" w:cs="Arial"/>
          <w:i/>
        </w:rPr>
        <w:t>kamata/BDP</w:t>
      </w:r>
      <w:r w:rsidRPr="00DC4B41">
        <w:rPr>
          <w:rFonts w:ascii="Arial" w:hAnsi="Arial" w:cs="Arial"/>
        </w:rPr>
        <w:t xml:space="preserve"> nisu dovoljni za procjenu rizika analizirani </w:t>
      </w:r>
      <w:r w:rsidR="00224D49" w:rsidRPr="00DC4B41">
        <w:rPr>
          <w:rFonts w:ascii="Arial" w:hAnsi="Arial" w:cs="Arial"/>
        </w:rPr>
        <w:t xml:space="preserve">su </w:t>
      </w:r>
      <w:r w:rsidR="00477B94" w:rsidRPr="00DC4B41">
        <w:rPr>
          <w:rFonts w:ascii="Arial" w:hAnsi="Arial" w:cs="Arial"/>
        </w:rPr>
        <w:t xml:space="preserve">i </w:t>
      </w:r>
      <w:r w:rsidRPr="00DC4B41">
        <w:rPr>
          <w:rFonts w:ascii="Arial" w:hAnsi="Arial" w:cs="Arial"/>
        </w:rPr>
        <w:t>drugi indikatori</w:t>
      </w:r>
      <w:r w:rsidR="00224D49" w:rsidRPr="00DC4B41">
        <w:rPr>
          <w:rFonts w:ascii="Arial" w:hAnsi="Arial" w:cs="Arial"/>
        </w:rPr>
        <w:t>:</w:t>
      </w:r>
      <w:r w:rsidRPr="00DC4B41">
        <w:rPr>
          <w:rFonts w:ascii="Arial" w:hAnsi="Arial" w:cs="Arial"/>
        </w:rPr>
        <w:t xml:space="preserve"> rizik re</w:t>
      </w:r>
      <w:r w:rsidR="009A78EF">
        <w:rPr>
          <w:rFonts w:ascii="Arial" w:hAnsi="Arial" w:cs="Arial"/>
        </w:rPr>
        <w:t>financ</w:t>
      </w:r>
      <w:r w:rsidRPr="00DC4B41">
        <w:rPr>
          <w:rFonts w:ascii="Arial" w:hAnsi="Arial" w:cs="Arial"/>
        </w:rPr>
        <w:t>iranja,</w:t>
      </w:r>
      <w:r w:rsidR="006C23C4" w:rsidRPr="00DC4B41">
        <w:rPr>
          <w:rFonts w:ascii="Arial" w:hAnsi="Arial" w:cs="Arial"/>
        </w:rPr>
        <w:t xml:space="preserve"> kamatni rizik i valutni rizik</w:t>
      </w:r>
      <w:r w:rsidRPr="00DC4B41">
        <w:rPr>
          <w:rFonts w:ascii="Arial" w:hAnsi="Arial" w:cs="Arial"/>
        </w:rPr>
        <w:t xml:space="preserve">. </w:t>
      </w:r>
    </w:p>
    <w:p w14:paraId="12E04A98" w14:textId="77777777" w:rsidR="00773274" w:rsidRPr="00DC4B41" w:rsidRDefault="00773274" w:rsidP="00773274">
      <w:pPr>
        <w:spacing w:after="0"/>
        <w:ind w:firstLine="284"/>
        <w:jc w:val="both"/>
        <w:rPr>
          <w:rFonts w:ascii="Arial" w:hAnsi="Arial" w:cs="Arial"/>
        </w:rPr>
      </w:pPr>
    </w:p>
    <w:p w14:paraId="419A6B75" w14:textId="480815ED" w:rsidR="00ED768D" w:rsidRDefault="00ED768D" w:rsidP="00AF3981">
      <w:pPr>
        <w:spacing w:after="0" w:line="240" w:lineRule="auto"/>
        <w:jc w:val="both"/>
        <w:rPr>
          <w:rFonts w:ascii="Arial" w:hAnsi="Arial" w:cs="Arial"/>
        </w:rPr>
      </w:pPr>
      <w:r w:rsidRPr="00DC4B41">
        <w:rPr>
          <w:rFonts w:ascii="Arial" w:hAnsi="Arial" w:cs="Arial"/>
        </w:rPr>
        <w:t>Tab</w:t>
      </w:r>
      <w:r w:rsidR="00D41C1F">
        <w:rPr>
          <w:rFonts w:ascii="Arial" w:hAnsi="Arial" w:cs="Arial"/>
        </w:rPr>
        <w:t>lica</w:t>
      </w:r>
      <w:r w:rsidRPr="00DC4B41">
        <w:rPr>
          <w:rFonts w:ascii="Arial" w:hAnsi="Arial" w:cs="Arial"/>
        </w:rPr>
        <w:t xml:space="preserve"> 1</w:t>
      </w:r>
      <w:r w:rsidR="005A0B60" w:rsidRPr="00DC4B41">
        <w:rPr>
          <w:rFonts w:ascii="Arial" w:hAnsi="Arial" w:cs="Arial"/>
        </w:rPr>
        <w:t>5</w:t>
      </w:r>
      <w:r w:rsidRPr="00DC4B41">
        <w:rPr>
          <w:rFonts w:ascii="Arial" w:hAnsi="Arial" w:cs="Arial"/>
        </w:rPr>
        <w:t>. Indikatori rizika po strategijama na kraju 20</w:t>
      </w:r>
      <w:r w:rsidR="00E919B0" w:rsidRPr="00DC4B41">
        <w:rPr>
          <w:rFonts w:ascii="Arial" w:hAnsi="Arial" w:cs="Arial"/>
        </w:rPr>
        <w:t>2</w:t>
      </w:r>
      <w:r w:rsidR="00123EA5" w:rsidRPr="00445180">
        <w:rPr>
          <w:rFonts w:ascii="Arial" w:hAnsi="Arial" w:cs="Arial"/>
        </w:rPr>
        <w:t>4</w:t>
      </w:r>
      <w:r w:rsidRPr="00DC4B41">
        <w:rPr>
          <w:rFonts w:ascii="Arial" w:hAnsi="Arial" w:cs="Arial"/>
        </w:rPr>
        <w:t>. godine</w:t>
      </w:r>
    </w:p>
    <w:p w14:paraId="3440806D" w14:textId="77777777" w:rsidR="00DC4B41" w:rsidRPr="00445180" w:rsidRDefault="00DC4B41" w:rsidP="00AF3981">
      <w:pPr>
        <w:spacing w:after="0" w:line="240" w:lineRule="auto"/>
        <w:jc w:val="both"/>
        <w:rPr>
          <w:rFonts w:ascii="Arial" w:hAnsi="Arial" w:cs="Arial"/>
        </w:rPr>
      </w:pPr>
    </w:p>
    <w:tbl>
      <w:tblPr>
        <w:tblW w:w="0" w:type="auto"/>
        <w:tblInd w:w="-10" w:type="dxa"/>
        <w:tblLook w:val="04A0" w:firstRow="1" w:lastRow="0" w:firstColumn="1" w:lastColumn="0" w:noHBand="0" w:noVBand="1"/>
      </w:tblPr>
      <w:tblGrid>
        <w:gridCol w:w="1737"/>
        <w:gridCol w:w="3668"/>
        <w:gridCol w:w="1193"/>
        <w:gridCol w:w="586"/>
        <w:gridCol w:w="586"/>
        <w:gridCol w:w="586"/>
        <w:gridCol w:w="586"/>
      </w:tblGrid>
      <w:tr w:rsidR="00123EA5" w:rsidRPr="00123EA5" w14:paraId="303C90CF" w14:textId="77777777" w:rsidTr="00445180">
        <w:trPr>
          <w:trHeight w:val="315"/>
        </w:trPr>
        <w:tc>
          <w:tcPr>
            <w:tcW w:w="0" w:type="auto"/>
            <w:gridSpan w:val="2"/>
            <w:vMerge w:val="restart"/>
            <w:tcBorders>
              <w:top w:val="single" w:sz="8" w:space="0" w:color="4F81BD"/>
              <w:left w:val="single" w:sz="8" w:space="0" w:color="4F81BD"/>
              <w:bottom w:val="single" w:sz="8" w:space="0" w:color="95B3D7"/>
              <w:right w:val="nil"/>
            </w:tcBorders>
            <w:shd w:val="clear" w:color="auto" w:fill="auto"/>
            <w:noWrap/>
            <w:vAlign w:val="center"/>
            <w:hideMark/>
          </w:tcPr>
          <w:p w14:paraId="708607C7" w14:textId="77777777" w:rsidR="00123EA5" w:rsidRPr="00445180" w:rsidRDefault="00123EA5" w:rsidP="00123EA5">
            <w:pPr>
              <w:spacing w:after="0" w:line="240" w:lineRule="auto"/>
              <w:jc w:val="center"/>
              <w:rPr>
                <w:rFonts w:ascii="Arial Narrow" w:eastAsia="Times New Roman" w:hAnsi="Arial Narrow" w:cs="Calibri"/>
                <w:bCs/>
                <w:color w:val="000000"/>
                <w:sz w:val="18"/>
                <w:szCs w:val="18"/>
                <w:lang w:val="en-US"/>
              </w:rPr>
            </w:pPr>
            <w:r w:rsidRPr="00445180">
              <w:rPr>
                <w:rFonts w:ascii="Arial Narrow" w:eastAsia="Times New Roman" w:hAnsi="Arial Narrow" w:cs="Calibri"/>
                <w:bCs/>
                <w:color w:val="000000"/>
                <w:szCs w:val="18"/>
              </w:rPr>
              <w:t>Indikatori rizika</w:t>
            </w:r>
          </w:p>
        </w:tc>
        <w:tc>
          <w:tcPr>
            <w:tcW w:w="0" w:type="auto"/>
            <w:tcBorders>
              <w:top w:val="single" w:sz="8" w:space="0" w:color="4F81BD"/>
              <w:left w:val="nil"/>
              <w:bottom w:val="single" w:sz="8" w:space="0" w:color="95B3D7"/>
              <w:right w:val="nil"/>
            </w:tcBorders>
            <w:shd w:val="clear" w:color="auto" w:fill="auto"/>
            <w:noWrap/>
            <w:vAlign w:val="center"/>
            <w:hideMark/>
          </w:tcPr>
          <w:p w14:paraId="60E550D5" w14:textId="77777777" w:rsidR="00123EA5" w:rsidRPr="00123EA5" w:rsidRDefault="00123EA5" w:rsidP="00123EA5">
            <w:pPr>
              <w:spacing w:after="0" w:line="240" w:lineRule="auto"/>
              <w:jc w:val="center"/>
              <w:rPr>
                <w:rFonts w:ascii="Arial Narrow" w:eastAsia="Times New Roman" w:hAnsi="Arial Narrow" w:cs="Calibri"/>
                <w:b/>
                <w:bCs/>
                <w:color w:val="FFFFFF"/>
                <w:sz w:val="18"/>
                <w:szCs w:val="18"/>
                <w:lang w:val="en-US"/>
              </w:rPr>
            </w:pPr>
            <w:r w:rsidRPr="00123EA5">
              <w:rPr>
                <w:rFonts w:ascii="Arial Narrow" w:eastAsia="Times New Roman" w:hAnsi="Arial Narrow" w:cs="Calibri"/>
                <w:b/>
                <w:bCs/>
                <w:color w:val="FFFFFF"/>
                <w:sz w:val="18"/>
                <w:szCs w:val="18"/>
              </w:rPr>
              <w:t>2016</w:t>
            </w:r>
          </w:p>
        </w:tc>
        <w:tc>
          <w:tcPr>
            <w:tcW w:w="0" w:type="auto"/>
            <w:gridSpan w:val="4"/>
            <w:tcBorders>
              <w:top w:val="single" w:sz="8" w:space="0" w:color="4F81BD"/>
              <w:left w:val="nil"/>
              <w:bottom w:val="single" w:sz="8" w:space="0" w:color="95B3D7"/>
              <w:right w:val="single" w:sz="8" w:space="0" w:color="4F81BD"/>
            </w:tcBorders>
            <w:shd w:val="clear" w:color="auto" w:fill="auto"/>
            <w:noWrap/>
            <w:vAlign w:val="center"/>
            <w:hideMark/>
          </w:tcPr>
          <w:p w14:paraId="585AD8D0" w14:textId="77777777" w:rsidR="00123EA5" w:rsidRPr="00123EA5" w:rsidRDefault="00123EA5" w:rsidP="00123EA5">
            <w:pPr>
              <w:spacing w:after="0" w:line="240" w:lineRule="auto"/>
              <w:jc w:val="center"/>
              <w:rPr>
                <w:rFonts w:ascii="Arial Narrow" w:eastAsia="Times New Roman" w:hAnsi="Arial Narrow" w:cs="Calibri"/>
                <w:b/>
                <w:bCs/>
                <w:color w:val="FFFFFF"/>
                <w:sz w:val="18"/>
                <w:szCs w:val="18"/>
                <w:lang w:val="en-US"/>
              </w:rPr>
            </w:pPr>
            <w:r w:rsidRPr="00123EA5">
              <w:rPr>
                <w:rFonts w:ascii="Arial Narrow" w:eastAsia="Times New Roman" w:hAnsi="Arial Narrow" w:cs="Calibri"/>
                <w:b/>
                <w:bCs/>
                <w:color w:val="FFFFFF"/>
                <w:sz w:val="18"/>
                <w:szCs w:val="18"/>
              </w:rPr>
              <w:t>Na kraju 2019</w:t>
            </w:r>
          </w:p>
        </w:tc>
      </w:tr>
      <w:tr w:rsidR="00123EA5" w:rsidRPr="00123EA5" w14:paraId="5B662F5F" w14:textId="77777777" w:rsidTr="00445180">
        <w:trPr>
          <w:trHeight w:val="315"/>
        </w:trPr>
        <w:tc>
          <w:tcPr>
            <w:tcW w:w="0" w:type="auto"/>
            <w:gridSpan w:val="2"/>
            <w:vMerge/>
            <w:tcBorders>
              <w:top w:val="single" w:sz="8" w:space="0" w:color="4F81BD"/>
              <w:left w:val="single" w:sz="8" w:space="0" w:color="4F81BD"/>
              <w:bottom w:val="single" w:sz="8" w:space="0" w:color="95B3D7"/>
              <w:right w:val="nil"/>
            </w:tcBorders>
            <w:vAlign w:val="center"/>
            <w:hideMark/>
          </w:tcPr>
          <w:p w14:paraId="1E8C2899" w14:textId="77777777" w:rsidR="00123EA5" w:rsidRPr="00123EA5" w:rsidRDefault="00123EA5" w:rsidP="00123EA5">
            <w:pPr>
              <w:spacing w:after="0" w:line="240" w:lineRule="auto"/>
              <w:rPr>
                <w:rFonts w:ascii="Arial Narrow" w:eastAsia="Times New Roman" w:hAnsi="Arial Narrow" w:cs="Calibri"/>
                <w:b/>
                <w:bCs/>
                <w:color w:val="000000"/>
                <w:sz w:val="18"/>
                <w:szCs w:val="18"/>
                <w:lang w:val="en-US"/>
              </w:rPr>
            </w:pPr>
          </w:p>
        </w:tc>
        <w:tc>
          <w:tcPr>
            <w:tcW w:w="0" w:type="auto"/>
            <w:tcBorders>
              <w:top w:val="nil"/>
              <w:left w:val="single" w:sz="8" w:space="0" w:color="95B3D7"/>
              <w:bottom w:val="single" w:sz="8" w:space="0" w:color="95B3D7"/>
              <w:right w:val="single" w:sz="8" w:space="0" w:color="95B3D7"/>
            </w:tcBorders>
            <w:shd w:val="clear" w:color="auto" w:fill="auto"/>
            <w:noWrap/>
            <w:vAlign w:val="center"/>
            <w:hideMark/>
          </w:tcPr>
          <w:p w14:paraId="01FE2F6E" w14:textId="60C03F5C"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rPr>
              <w:t xml:space="preserve">Početni </w:t>
            </w:r>
            <w:r w:rsidR="009A78EF">
              <w:rPr>
                <w:rFonts w:ascii="Arial Narrow" w:eastAsia="Times New Roman" w:hAnsi="Arial Narrow" w:cs="Calibri"/>
                <w:color w:val="000000"/>
                <w:sz w:val="18"/>
                <w:szCs w:val="18"/>
              </w:rPr>
              <w:t>portfelj</w:t>
            </w:r>
          </w:p>
        </w:tc>
        <w:tc>
          <w:tcPr>
            <w:tcW w:w="0" w:type="auto"/>
            <w:tcBorders>
              <w:top w:val="nil"/>
              <w:left w:val="nil"/>
              <w:bottom w:val="single" w:sz="8" w:space="0" w:color="95B3D7"/>
              <w:right w:val="single" w:sz="8" w:space="0" w:color="95B3D7"/>
            </w:tcBorders>
            <w:shd w:val="clear" w:color="auto" w:fill="auto"/>
            <w:noWrap/>
            <w:vAlign w:val="center"/>
            <w:hideMark/>
          </w:tcPr>
          <w:p w14:paraId="0F6E4B22"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rPr>
              <w:t>S1</w:t>
            </w:r>
          </w:p>
        </w:tc>
        <w:tc>
          <w:tcPr>
            <w:tcW w:w="0" w:type="auto"/>
            <w:tcBorders>
              <w:top w:val="nil"/>
              <w:left w:val="nil"/>
              <w:bottom w:val="single" w:sz="8" w:space="0" w:color="95B3D7"/>
              <w:right w:val="single" w:sz="8" w:space="0" w:color="95B3D7"/>
            </w:tcBorders>
            <w:shd w:val="clear" w:color="auto" w:fill="auto"/>
            <w:noWrap/>
            <w:vAlign w:val="center"/>
            <w:hideMark/>
          </w:tcPr>
          <w:p w14:paraId="1545055D"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rPr>
              <w:t>S2</w:t>
            </w:r>
          </w:p>
        </w:tc>
        <w:tc>
          <w:tcPr>
            <w:tcW w:w="0" w:type="auto"/>
            <w:tcBorders>
              <w:top w:val="nil"/>
              <w:left w:val="nil"/>
              <w:bottom w:val="single" w:sz="8" w:space="0" w:color="95B3D7"/>
              <w:right w:val="single" w:sz="8" w:space="0" w:color="95B3D7"/>
            </w:tcBorders>
            <w:shd w:val="clear" w:color="auto" w:fill="auto"/>
            <w:noWrap/>
            <w:vAlign w:val="center"/>
            <w:hideMark/>
          </w:tcPr>
          <w:p w14:paraId="13EB7922"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rPr>
              <w:t>S3</w:t>
            </w:r>
          </w:p>
        </w:tc>
        <w:tc>
          <w:tcPr>
            <w:tcW w:w="0" w:type="auto"/>
            <w:tcBorders>
              <w:top w:val="nil"/>
              <w:left w:val="nil"/>
              <w:bottom w:val="single" w:sz="8" w:space="0" w:color="95B3D7"/>
              <w:right w:val="single" w:sz="8" w:space="0" w:color="95B3D7"/>
            </w:tcBorders>
            <w:shd w:val="clear" w:color="auto" w:fill="auto"/>
            <w:noWrap/>
            <w:vAlign w:val="center"/>
            <w:hideMark/>
          </w:tcPr>
          <w:p w14:paraId="4B92D79B"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rPr>
              <w:t>S4</w:t>
            </w:r>
          </w:p>
        </w:tc>
      </w:tr>
      <w:tr w:rsidR="00123EA5" w:rsidRPr="00123EA5" w14:paraId="6C10AC29" w14:textId="77777777" w:rsidTr="00445180">
        <w:trPr>
          <w:trHeight w:val="300"/>
        </w:trPr>
        <w:tc>
          <w:tcPr>
            <w:tcW w:w="0" w:type="auto"/>
            <w:gridSpan w:val="2"/>
            <w:tcBorders>
              <w:top w:val="single" w:sz="8" w:space="0" w:color="95B3D7"/>
              <w:left w:val="single" w:sz="8" w:space="0" w:color="95B3D7"/>
              <w:bottom w:val="nil"/>
              <w:right w:val="nil"/>
            </w:tcBorders>
            <w:shd w:val="clear" w:color="auto" w:fill="auto"/>
            <w:noWrap/>
            <w:vAlign w:val="center"/>
            <w:hideMark/>
          </w:tcPr>
          <w:p w14:paraId="7A343616" w14:textId="77777777" w:rsidR="00123EA5" w:rsidRPr="00123EA5" w:rsidRDefault="00123EA5" w:rsidP="00123EA5">
            <w:pPr>
              <w:spacing w:after="0" w:line="240" w:lineRule="auto"/>
              <w:rPr>
                <w:rFonts w:ascii="Arial" w:eastAsia="Times New Roman" w:hAnsi="Arial" w:cs="Arial"/>
                <w:color w:val="000000"/>
                <w:sz w:val="18"/>
                <w:szCs w:val="18"/>
                <w:lang w:val="en-US"/>
              </w:rPr>
            </w:pPr>
            <w:r w:rsidRPr="00123EA5">
              <w:rPr>
                <w:rFonts w:ascii="Arial" w:eastAsia="Times New Roman" w:hAnsi="Arial" w:cs="Arial"/>
                <w:color w:val="000000"/>
                <w:sz w:val="18"/>
                <w:szCs w:val="18"/>
              </w:rPr>
              <w:t>Nominalni dug u % BDP</w:t>
            </w:r>
          </w:p>
        </w:tc>
        <w:tc>
          <w:tcPr>
            <w:tcW w:w="0" w:type="auto"/>
            <w:tcBorders>
              <w:top w:val="nil"/>
              <w:left w:val="nil"/>
              <w:bottom w:val="nil"/>
              <w:right w:val="nil"/>
            </w:tcBorders>
            <w:shd w:val="clear" w:color="auto" w:fill="auto"/>
            <w:noWrap/>
            <w:vAlign w:val="center"/>
            <w:hideMark/>
          </w:tcPr>
          <w:p w14:paraId="400BDD62"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26,84</w:t>
            </w:r>
          </w:p>
        </w:tc>
        <w:tc>
          <w:tcPr>
            <w:tcW w:w="0" w:type="auto"/>
            <w:tcBorders>
              <w:top w:val="nil"/>
              <w:left w:val="nil"/>
              <w:bottom w:val="nil"/>
              <w:right w:val="nil"/>
            </w:tcBorders>
            <w:shd w:val="clear" w:color="auto" w:fill="auto"/>
            <w:noWrap/>
            <w:vAlign w:val="center"/>
            <w:hideMark/>
          </w:tcPr>
          <w:p w14:paraId="2238C7F4"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24,45</w:t>
            </w:r>
          </w:p>
        </w:tc>
        <w:tc>
          <w:tcPr>
            <w:tcW w:w="0" w:type="auto"/>
            <w:tcBorders>
              <w:top w:val="nil"/>
              <w:left w:val="nil"/>
              <w:bottom w:val="nil"/>
              <w:right w:val="nil"/>
            </w:tcBorders>
            <w:shd w:val="clear" w:color="auto" w:fill="auto"/>
            <w:noWrap/>
            <w:vAlign w:val="center"/>
            <w:hideMark/>
          </w:tcPr>
          <w:p w14:paraId="775B9CD3"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24,44</w:t>
            </w:r>
          </w:p>
        </w:tc>
        <w:tc>
          <w:tcPr>
            <w:tcW w:w="0" w:type="auto"/>
            <w:tcBorders>
              <w:top w:val="nil"/>
              <w:left w:val="nil"/>
              <w:bottom w:val="nil"/>
              <w:right w:val="nil"/>
            </w:tcBorders>
            <w:shd w:val="clear" w:color="auto" w:fill="auto"/>
            <w:noWrap/>
            <w:vAlign w:val="center"/>
            <w:hideMark/>
          </w:tcPr>
          <w:p w14:paraId="109C4BE8"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24,46</w:t>
            </w:r>
          </w:p>
        </w:tc>
        <w:tc>
          <w:tcPr>
            <w:tcW w:w="0" w:type="auto"/>
            <w:tcBorders>
              <w:top w:val="nil"/>
              <w:left w:val="nil"/>
              <w:bottom w:val="nil"/>
              <w:right w:val="single" w:sz="8" w:space="0" w:color="95B3D7"/>
            </w:tcBorders>
            <w:shd w:val="clear" w:color="auto" w:fill="auto"/>
            <w:noWrap/>
            <w:vAlign w:val="center"/>
            <w:hideMark/>
          </w:tcPr>
          <w:p w14:paraId="5718C37E"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24,61</w:t>
            </w:r>
          </w:p>
        </w:tc>
      </w:tr>
      <w:tr w:rsidR="00123EA5" w:rsidRPr="00123EA5" w14:paraId="7A98AADB" w14:textId="77777777" w:rsidTr="00445180">
        <w:trPr>
          <w:trHeight w:val="300"/>
        </w:trPr>
        <w:tc>
          <w:tcPr>
            <w:tcW w:w="0" w:type="auto"/>
            <w:gridSpan w:val="2"/>
            <w:tcBorders>
              <w:top w:val="nil"/>
              <w:left w:val="single" w:sz="8" w:space="0" w:color="95B3D7"/>
              <w:bottom w:val="nil"/>
              <w:right w:val="nil"/>
            </w:tcBorders>
            <w:shd w:val="clear" w:color="auto" w:fill="auto"/>
            <w:noWrap/>
            <w:vAlign w:val="center"/>
            <w:hideMark/>
          </w:tcPr>
          <w:p w14:paraId="56A9969B" w14:textId="77777777" w:rsidR="00123EA5" w:rsidRPr="00123EA5" w:rsidRDefault="00123EA5" w:rsidP="00123EA5">
            <w:pPr>
              <w:spacing w:after="0" w:line="240" w:lineRule="auto"/>
              <w:rPr>
                <w:rFonts w:ascii="Arial" w:eastAsia="Times New Roman" w:hAnsi="Arial" w:cs="Arial"/>
                <w:color w:val="000000"/>
                <w:sz w:val="18"/>
                <w:szCs w:val="18"/>
                <w:lang w:val="en-US"/>
              </w:rPr>
            </w:pPr>
            <w:r w:rsidRPr="00123EA5">
              <w:rPr>
                <w:rFonts w:ascii="Arial" w:eastAsia="Times New Roman" w:hAnsi="Arial" w:cs="Arial"/>
                <w:color w:val="000000"/>
                <w:sz w:val="18"/>
                <w:szCs w:val="18"/>
              </w:rPr>
              <w:t>Sadašnja vrijednost duga u % BDP</w:t>
            </w:r>
          </w:p>
        </w:tc>
        <w:tc>
          <w:tcPr>
            <w:tcW w:w="0" w:type="auto"/>
            <w:tcBorders>
              <w:top w:val="nil"/>
              <w:left w:val="nil"/>
              <w:bottom w:val="nil"/>
              <w:right w:val="nil"/>
            </w:tcBorders>
            <w:shd w:val="clear" w:color="auto" w:fill="auto"/>
            <w:noWrap/>
            <w:vAlign w:val="center"/>
            <w:hideMark/>
          </w:tcPr>
          <w:p w14:paraId="43039FEF"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22,35</w:t>
            </w:r>
          </w:p>
        </w:tc>
        <w:tc>
          <w:tcPr>
            <w:tcW w:w="0" w:type="auto"/>
            <w:tcBorders>
              <w:top w:val="nil"/>
              <w:left w:val="nil"/>
              <w:bottom w:val="nil"/>
              <w:right w:val="nil"/>
            </w:tcBorders>
            <w:shd w:val="clear" w:color="auto" w:fill="auto"/>
            <w:noWrap/>
            <w:vAlign w:val="center"/>
            <w:hideMark/>
          </w:tcPr>
          <w:p w14:paraId="7D1B75AD"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20,35</w:t>
            </w:r>
          </w:p>
        </w:tc>
        <w:tc>
          <w:tcPr>
            <w:tcW w:w="0" w:type="auto"/>
            <w:tcBorders>
              <w:top w:val="nil"/>
              <w:left w:val="nil"/>
              <w:bottom w:val="nil"/>
              <w:right w:val="nil"/>
            </w:tcBorders>
            <w:shd w:val="clear" w:color="auto" w:fill="auto"/>
            <w:noWrap/>
            <w:vAlign w:val="center"/>
            <w:hideMark/>
          </w:tcPr>
          <w:p w14:paraId="217E7698"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20,29</w:t>
            </w:r>
          </w:p>
        </w:tc>
        <w:tc>
          <w:tcPr>
            <w:tcW w:w="0" w:type="auto"/>
            <w:tcBorders>
              <w:top w:val="nil"/>
              <w:left w:val="nil"/>
              <w:bottom w:val="nil"/>
              <w:right w:val="nil"/>
            </w:tcBorders>
            <w:shd w:val="clear" w:color="auto" w:fill="auto"/>
            <w:noWrap/>
            <w:vAlign w:val="center"/>
            <w:hideMark/>
          </w:tcPr>
          <w:p w14:paraId="0B986BBB"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20,47</w:t>
            </w:r>
          </w:p>
        </w:tc>
        <w:tc>
          <w:tcPr>
            <w:tcW w:w="0" w:type="auto"/>
            <w:tcBorders>
              <w:top w:val="nil"/>
              <w:left w:val="nil"/>
              <w:bottom w:val="nil"/>
              <w:right w:val="single" w:sz="8" w:space="0" w:color="95B3D7"/>
            </w:tcBorders>
            <w:shd w:val="clear" w:color="auto" w:fill="auto"/>
            <w:noWrap/>
            <w:vAlign w:val="center"/>
            <w:hideMark/>
          </w:tcPr>
          <w:p w14:paraId="7169957C"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20,72</w:t>
            </w:r>
          </w:p>
        </w:tc>
      </w:tr>
      <w:tr w:rsidR="00123EA5" w:rsidRPr="00123EA5" w14:paraId="1AE13768" w14:textId="77777777" w:rsidTr="00445180">
        <w:trPr>
          <w:trHeight w:val="300"/>
        </w:trPr>
        <w:tc>
          <w:tcPr>
            <w:tcW w:w="0" w:type="auto"/>
            <w:gridSpan w:val="2"/>
            <w:tcBorders>
              <w:top w:val="nil"/>
              <w:left w:val="single" w:sz="8" w:space="0" w:color="95B3D7"/>
              <w:bottom w:val="nil"/>
              <w:right w:val="nil"/>
            </w:tcBorders>
            <w:shd w:val="clear" w:color="auto" w:fill="auto"/>
            <w:noWrap/>
            <w:vAlign w:val="center"/>
            <w:hideMark/>
          </w:tcPr>
          <w:p w14:paraId="4DDF9AA7" w14:textId="77777777" w:rsidR="00123EA5" w:rsidRPr="00123EA5" w:rsidRDefault="00123EA5" w:rsidP="00123EA5">
            <w:pPr>
              <w:spacing w:after="0" w:line="240" w:lineRule="auto"/>
              <w:rPr>
                <w:rFonts w:ascii="Arial" w:eastAsia="Times New Roman" w:hAnsi="Arial" w:cs="Arial"/>
                <w:color w:val="000000"/>
                <w:sz w:val="18"/>
                <w:szCs w:val="18"/>
                <w:lang w:val="en-US"/>
              </w:rPr>
            </w:pPr>
            <w:r w:rsidRPr="00123EA5">
              <w:rPr>
                <w:rFonts w:ascii="Arial" w:eastAsia="Times New Roman" w:hAnsi="Arial" w:cs="Arial"/>
                <w:color w:val="000000"/>
                <w:sz w:val="18"/>
                <w:szCs w:val="18"/>
              </w:rPr>
              <w:t>Troškovi kamata u % BDP</w:t>
            </w:r>
          </w:p>
        </w:tc>
        <w:tc>
          <w:tcPr>
            <w:tcW w:w="0" w:type="auto"/>
            <w:tcBorders>
              <w:top w:val="nil"/>
              <w:left w:val="nil"/>
              <w:bottom w:val="nil"/>
              <w:right w:val="nil"/>
            </w:tcBorders>
            <w:shd w:val="clear" w:color="auto" w:fill="auto"/>
            <w:noWrap/>
            <w:vAlign w:val="center"/>
            <w:hideMark/>
          </w:tcPr>
          <w:p w14:paraId="163CE5B1"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0,33</w:t>
            </w:r>
          </w:p>
        </w:tc>
        <w:tc>
          <w:tcPr>
            <w:tcW w:w="0" w:type="auto"/>
            <w:tcBorders>
              <w:top w:val="nil"/>
              <w:left w:val="nil"/>
              <w:bottom w:val="nil"/>
              <w:right w:val="nil"/>
            </w:tcBorders>
            <w:shd w:val="clear" w:color="auto" w:fill="auto"/>
            <w:noWrap/>
            <w:vAlign w:val="center"/>
            <w:hideMark/>
          </w:tcPr>
          <w:p w14:paraId="394475CB"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0,31</w:t>
            </w:r>
          </w:p>
        </w:tc>
        <w:tc>
          <w:tcPr>
            <w:tcW w:w="0" w:type="auto"/>
            <w:tcBorders>
              <w:top w:val="nil"/>
              <w:left w:val="nil"/>
              <w:bottom w:val="nil"/>
              <w:right w:val="nil"/>
            </w:tcBorders>
            <w:shd w:val="clear" w:color="auto" w:fill="auto"/>
            <w:noWrap/>
            <w:vAlign w:val="center"/>
            <w:hideMark/>
          </w:tcPr>
          <w:p w14:paraId="1267B2F5"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0,30</w:t>
            </w:r>
          </w:p>
        </w:tc>
        <w:tc>
          <w:tcPr>
            <w:tcW w:w="0" w:type="auto"/>
            <w:tcBorders>
              <w:top w:val="nil"/>
              <w:left w:val="nil"/>
              <w:bottom w:val="nil"/>
              <w:right w:val="nil"/>
            </w:tcBorders>
            <w:shd w:val="clear" w:color="auto" w:fill="auto"/>
            <w:noWrap/>
            <w:vAlign w:val="center"/>
            <w:hideMark/>
          </w:tcPr>
          <w:p w14:paraId="2F491C0C"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0,32</w:t>
            </w:r>
          </w:p>
        </w:tc>
        <w:tc>
          <w:tcPr>
            <w:tcW w:w="0" w:type="auto"/>
            <w:tcBorders>
              <w:top w:val="nil"/>
              <w:left w:val="nil"/>
              <w:bottom w:val="nil"/>
              <w:right w:val="single" w:sz="8" w:space="0" w:color="95B3D7"/>
            </w:tcBorders>
            <w:shd w:val="clear" w:color="auto" w:fill="auto"/>
            <w:noWrap/>
            <w:vAlign w:val="center"/>
            <w:hideMark/>
          </w:tcPr>
          <w:p w14:paraId="22C5D74C"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0,42</w:t>
            </w:r>
          </w:p>
        </w:tc>
      </w:tr>
      <w:tr w:rsidR="00123EA5" w:rsidRPr="00123EA5" w14:paraId="6F3708C0" w14:textId="77777777" w:rsidTr="00445180">
        <w:trPr>
          <w:trHeight w:val="315"/>
        </w:trPr>
        <w:tc>
          <w:tcPr>
            <w:tcW w:w="0" w:type="auto"/>
            <w:gridSpan w:val="2"/>
            <w:tcBorders>
              <w:top w:val="nil"/>
              <w:left w:val="single" w:sz="8" w:space="0" w:color="95B3D7"/>
              <w:bottom w:val="single" w:sz="8" w:space="0" w:color="95B3D7"/>
              <w:right w:val="nil"/>
            </w:tcBorders>
            <w:shd w:val="clear" w:color="auto" w:fill="auto"/>
            <w:noWrap/>
            <w:vAlign w:val="center"/>
            <w:hideMark/>
          </w:tcPr>
          <w:p w14:paraId="4D175E7B" w14:textId="77777777" w:rsidR="00123EA5" w:rsidRPr="00123EA5" w:rsidRDefault="00123EA5" w:rsidP="00123EA5">
            <w:pPr>
              <w:spacing w:after="0" w:line="240" w:lineRule="auto"/>
              <w:rPr>
                <w:rFonts w:ascii="Arial" w:eastAsia="Times New Roman" w:hAnsi="Arial" w:cs="Arial"/>
                <w:color w:val="000000"/>
                <w:sz w:val="18"/>
                <w:szCs w:val="18"/>
                <w:lang w:val="en-US"/>
              </w:rPr>
            </w:pPr>
            <w:r w:rsidRPr="00123EA5">
              <w:rPr>
                <w:rFonts w:ascii="Arial" w:eastAsia="Times New Roman" w:hAnsi="Arial" w:cs="Arial"/>
                <w:color w:val="000000"/>
                <w:sz w:val="18"/>
                <w:szCs w:val="18"/>
              </w:rPr>
              <w:t>Implicitna kamatna stopa (%)</w:t>
            </w:r>
          </w:p>
        </w:tc>
        <w:tc>
          <w:tcPr>
            <w:tcW w:w="0" w:type="auto"/>
            <w:tcBorders>
              <w:top w:val="nil"/>
              <w:left w:val="nil"/>
              <w:bottom w:val="single" w:sz="8" w:space="0" w:color="95B3D7"/>
              <w:right w:val="nil"/>
            </w:tcBorders>
            <w:shd w:val="clear" w:color="auto" w:fill="auto"/>
            <w:noWrap/>
            <w:vAlign w:val="center"/>
            <w:hideMark/>
          </w:tcPr>
          <w:p w14:paraId="14907C63"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1,25</w:t>
            </w:r>
          </w:p>
        </w:tc>
        <w:tc>
          <w:tcPr>
            <w:tcW w:w="0" w:type="auto"/>
            <w:tcBorders>
              <w:top w:val="nil"/>
              <w:left w:val="nil"/>
              <w:bottom w:val="single" w:sz="8" w:space="0" w:color="95B3D7"/>
              <w:right w:val="nil"/>
            </w:tcBorders>
            <w:shd w:val="clear" w:color="auto" w:fill="auto"/>
            <w:noWrap/>
            <w:vAlign w:val="center"/>
            <w:hideMark/>
          </w:tcPr>
          <w:p w14:paraId="0600A46E"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1,47</w:t>
            </w:r>
          </w:p>
        </w:tc>
        <w:tc>
          <w:tcPr>
            <w:tcW w:w="0" w:type="auto"/>
            <w:tcBorders>
              <w:top w:val="nil"/>
              <w:left w:val="nil"/>
              <w:bottom w:val="single" w:sz="8" w:space="0" w:color="95B3D7"/>
              <w:right w:val="nil"/>
            </w:tcBorders>
            <w:shd w:val="clear" w:color="auto" w:fill="auto"/>
            <w:noWrap/>
            <w:vAlign w:val="center"/>
            <w:hideMark/>
          </w:tcPr>
          <w:p w14:paraId="61B0C7DB"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1,40</w:t>
            </w:r>
          </w:p>
        </w:tc>
        <w:tc>
          <w:tcPr>
            <w:tcW w:w="0" w:type="auto"/>
            <w:tcBorders>
              <w:top w:val="nil"/>
              <w:left w:val="nil"/>
              <w:bottom w:val="single" w:sz="8" w:space="0" w:color="95B3D7"/>
              <w:right w:val="nil"/>
            </w:tcBorders>
            <w:shd w:val="clear" w:color="auto" w:fill="auto"/>
            <w:noWrap/>
            <w:vAlign w:val="center"/>
            <w:hideMark/>
          </w:tcPr>
          <w:p w14:paraId="55F009BA"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1,57</w:t>
            </w:r>
          </w:p>
        </w:tc>
        <w:tc>
          <w:tcPr>
            <w:tcW w:w="0" w:type="auto"/>
            <w:tcBorders>
              <w:top w:val="nil"/>
              <w:left w:val="nil"/>
              <w:bottom w:val="single" w:sz="8" w:space="0" w:color="95B3D7"/>
              <w:right w:val="single" w:sz="8" w:space="0" w:color="95B3D7"/>
            </w:tcBorders>
            <w:shd w:val="clear" w:color="auto" w:fill="auto"/>
            <w:noWrap/>
            <w:vAlign w:val="center"/>
            <w:hideMark/>
          </w:tcPr>
          <w:p w14:paraId="74B2175C"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2,07</w:t>
            </w:r>
          </w:p>
        </w:tc>
      </w:tr>
      <w:tr w:rsidR="00123EA5" w:rsidRPr="00123EA5" w14:paraId="61664D55" w14:textId="77777777" w:rsidTr="00445180">
        <w:trPr>
          <w:trHeight w:val="315"/>
        </w:trPr>
        <w:tc>
          <w:tcPr>
            <w:tcW w:w="0" w:type="auto"/>
            <w:vMerge w:val="restart"/>
            <w:tcBorders>
              <w:top w:val="nil"/>
              <w:left w:val="single" w:sz="8" w:space="0" w:color="95B3D7"/>
              <w:bottom w:val="single" w:sz="8" w:space="0" w:color="95B3D7"/>
              <w:right w:val="nil"/>
            </w:tcBorders>
            <w:shd w:val="clear" w:color="auto" w:fill="auto"/>
            <w:noWrap/>
            <w:vAlign w:val="center"/>
            <w:hideMark/>
          </w:tcPr>
          <w:p w14:paraId="2D578FFC" w14:textId="5BA552C1" w:rsidR="00123EA5" w:rsidRPr="00123EA5" w:rsidRDefault="00123EA5" w:rsidP="00123EA5">
            <w:pPr>
              <w:spacing w:after="0" w:line="240" w:lineRule="auto"/>
              <w:jc w:val="center"/>
              <w:rPr>
                <w:rFonts w:ascii="Arial" w:eastAsia="Times New Roman" w:hAnsi="Arial" w:cs="Arial"/>
                <w:color w:val="000000"/>
                <w:sz w:val="18"/>
                <w:szCs w:val="18"/>
                <w:lang w:val="en-US"/>
              </w:rPr>
            </w:pPr>
            <w:r w:rsidRPr="00123EA5">
              <w:rPr>
                <w:rFonts w:ascii="Arial" w:eastAsia="Times New Roman" w:hAnsi="Arial" w:cs="Arial"/>
                <w:color w:val="000000"/>
                <w:sz w:val="18"/>
                <w:szCs w:val="18"/>
              </w:rPr>
              <w:t>Rizik re</w:t>
            </w:r>
            <w:r w:rsidR="009A78EF">
              <w:rPr>
                <w:rFonts w:ascii="Arial" w:eastAsia="Times New Roman" w:hAnsi="Arial" w:cs="Arial"/>
                <w:color w:val="000000"/>
                <w:sz w:val="18"/>
                <w:szCs w:val="18"/>
              </w:rPr>
              <w:t>financ</w:t>
            </w:r>
            <w:r w:rsidRPr="00123EA5">
              <w:rPr>
                <w:rFonts w:ascii="Arial" w:eastAsia="Times New Roman" w:hAnsi="Arial" w:cs="Arial"/>
                <w:color w:val="000000"/>
                <w:sz w:val="18"/>
                <w:szCs w:val="18"/>
              </w:rPr>
              <w:t>iranja</w:t>
            </w:r>
          </w:p>
        </w:tc>
        <w:tc>
          <w:tcPr>
            <w:tcW w:w="0" w:type="auto"/>
            <w:tcBorders>
              <w:top w:val="nil"/>
              <w:left w:val="nil"/>
              <w:bottom w:val="nil"/>
              <w:right w:val="nil"/>
            </w:tcBorders>
            <w:shd w:val="clear" w:color="auto" w:fill="auto"/>
            <w:noWrap/>
            <w:vAlign w:val="center"/>
            <w:hideMark/>
          </w:tcPr>
          <w:p w14:paraId="133B6F1F" w14:textId="77777777" w:rsidR="00123EA5" w:rsidRPr="00123EA5" w:rsidRDefault="00123EA5" w:rsidP="00123EA5">
            <w:pPr>
              <w:spacing w:after="0" w:line="240" w:lineRule="auto"/>
              <w:rPr>
                <w:rFonts w:ascii="Arial" w:eastAsia="Times New Roman" w:hAnsi="Arial" w:cs="Arial"/>
                <w:color w:val="000000"/>
                <w:sz w:val="18"/>
                <w:szCs w:val="18"/>
                <w:lang w:val="en-US"/>
              </w:rPr>
            </w:pPr>
            <w:r w:rsidRPr="00123EA5">
              <w:rPr>
                <w:rFonts w:ascii="Arial" w:eastAsia="Times New Roman" w:hAnsi="Arial" w:cs="Arial"/>
                <w:color w:val="000000"/>
                <w:sz w:val="18"/>
                <w:szCs w:val="18"/>
              </w:rPr>
              <w:t>Dug koji dospijeva u 1. godini (% ukupnog)</w:t>
            </w:r>
          </w:p>
        </w:tc>
        <w:tc>
          <w:tcPr>
            <w:tcW w:w="0" w:type="auto"/>
            <w:tcBorders>
              <w:top w:val="nil"/>
              <w:left w:val="nil"/>
              <w:bottom w:val="nil"/>
              <w:right w:val="nil"/>
            </w:tcBorders>
            <w:shd w:val="clear" w:color="auto" w:fill="auto"/>
            <w:noWrap/>
            <w:vAlign w:val="center"/>
            <w:hideMark/>
          </w:tcPr>
          <w:p w14:paraId="6A22B10E"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11,46</w:t>
            </w:r>
          </w:p>
        </w:tc>
        <w:tc>
          <w:tcPr>
            <w:tcW w:w="0" w:type="auto"/>
            <w:tcBorders>
              <w:top w:val="nil"/>
              <w:left w:val="nil"/>
              <w:bottom w:val="nil"/>
              <w:right w:val="nil"/>
            </w:tcBorders>
            <w:shd w:val="clear" w:color="auto" w:fill="auto"/>
            <w:noWrap/>
            <w:vAlign w:val="center"/>
            <w:hideMark/>
          </w:tcPr>
          <w:p w14:paraId="4FEF5A26"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13,63</w:t>
            </w:r>
          </w:p>
        </w:tc>
        <w:tc>
          <w:tcPr>
            <w:tcW w:w="0" w:type="auto"/>
            <w:tcBorders>
              <w:top w:val="nil"/>
              <w:left w:val="nil"/>
              <w:bottom w:val="nil"/>
              <w:right w:val="nil"/>
            </w:tcBorders>
            <w:shd w:val="clear" w:color="auto" w:fill="auto"/>
            <w:noWrap/>
            <w:vAlign w:val="center"/>
            <w:hideMark/>
          </w:tcPr>
          <w:p w14:paraId="2C624B82"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12,58</w:t>
            </w:r>
          </w:p>
        </w:tc>
        <w:tc>
          <w:tcPr>
            <w:tcW w:w="0" w:type="auto"/>
            <w:tcBorders>
              <w:top w:val="nil"/>
              <w:left w:val="nil"/>
              <w:bottom w:val="nil"/>
              <w:right w:val="nil"/>
            </w:tcBorders>
            <w:shd w:val="clear" w:color="auto" w:fill="auto"/>
            <w:noWrap/>
            <w:vAlign w:val="center"/>
            <w:hideMark/>
          </w:tcPr>
          <w:p w14:paraId="51F77CB0"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12,91</w:t>
            </w:r>
          </w:p>
        </w:tc>
        <w:tc>
          <w:tcPr>
            <w:tcW w:w="0" w:type="auto"/>
            <w:tcBorders>
              <w:top w:val="nil"/>
              <w:left w:val="nil"/>
              <w:bottom w:val="nil"/>
              <w:right w:val="single" w:sz="8" w:space="0" w:color="95B3D7"/>
            </w:tcBorders>
            <w:shd w:val="clear" w:color="auto" w:fill="auto"/>
            <w:noWrap/>
            <w:vAlign w:val="center"/>
            <w:hideMark/>
          </w:tcPr>
          <w:p w14:paraId="1E774A33"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8,84</w:t>
            </w:r>
          </w:p>
        </w:tc>
      </w:tr>
      <w:tr w:rsidR="00123EA5" w:rsidRPr="00123EA5" w14:paraId="473EAEE5" w14:textId="77777777" w:rsidTr="00445180">
        <w:trPr>
          <w:trHeight w:val="300"/>
        </w:trPr>
        <w:tc>
          <w:tcPr>
            <w:tcW w:w="0" w:type="auto"/>
            <w:vMerge/>
            <w:tcBorders>
              <w:top w:val="nil"/>
              <w:left w:val="single" w:sz="8" w:space="0" w:color="95B3D7"/>
              <w:bottom w:val="single" w:sz="8" w:space="0" w:color="95B3D7"/>
              <w:right w:val="nil"/>
            </w:tcBorders>
            <w:vAlign w:val="center"/>
            <w:hideMark/>
          </w:tcPr>
          <w:p w14:paraId="2CB1A8AC" w14:textId="77777777" w:rsidR="00123EA5" w:rsidRPr="00123EA5" w:rsidRDefault="00123EA5" w:rsidP="00123EA5">
            <w:pPr>
              <w:spacing w:after="0" w:line="240" w:lineRule="auto"/>
              <w:rPr>
                <w:rFonts w:ascii="Arial" w:eastAsia="Times New Roman" w:hAnsi="Arial" w:cs="Arial"/>
                <w:color w:val="000000"/>
                <w:sz w:val="18"/>
                <w:szCs w:val="18"/>
                <w:lang w:val="en-US"/>
              </w:rPr>
            </w:pPr>
          </w:p>
        </w:tc>
        <w:tc>
          <w:tcPr>
            <w:tcW w:w="0" w:type="auto"/>
            <w:tcBorders>
              <w:top w:val="nil"/>
              <w:left w:val="nil"/>
              <w:bottom w:val="nil"/>
              <w:right w:val="nil"/>
            </w:tcBorders>
            <w:shd w:val="clear" w:color="auto" w:fill="auto"/>
            <w:noWrap/>
            <w:vAlign w:val="center"/>
            <w:hideMark/>
          </w:tcPr>
          <w:p w14:paraId="36A08C73" w14:textId="77777777" w:rsidR="00123EA5" w:rsidRPr="00123EA5" w:rsidRDefault="00123EA5" w:rsidP="00123EA5">
            <w:pPr>
              <w:spacing w:after="0" w:line="240" w:lineRule="auto"/>
              <w:rPr>
                <w:rFonts w:ascii="Arial" w:eastAsia="Times New Roman" w:hAnsi="Arial" w:cs="Arial"/>
                <w:color w:val="000000"/>
                <w:sz w:val="18"/>
                <w:szCs w:val="18"/>
                <w:lang w:val="en-US"/>
              </w:rPr>
            </w:pPr>
            <w:r w:rsidRPr="00123EA5">
              <w:rPr>
                <w:rFonts w:ascii="Arial" w:eastAsia="Times New Roman" w:hAnsi="Arial" w:cs="Arial"/>
                <w:color w:val="000000"/>
                <w:sz w:val="18"/>
                <w:szCs w:val="18"/>
              </w:rPr>
              <w:t>Dug koji dospijeva u 1. godini (% BDP)</w:t>
            </w:r>
          </w:p>
        </w:tc>
        <w:tc>
          <w:tcPr>
            <w:tcW w:w="0" w:type="auto"/>
            <w:tcBorders>
              <w:top w:val="nil"/>
              <w:left w:val="nil"/>
              <w:bottom w:val="nil"/>
              <w:right w:val="nil"/>
            </w:tcBorders>
            <w:shd w:val="clear" w:color="auto" w:fill="auto"/>
            <w:noWrap/>
            <w:vAlign w:val="center"/>
            <w:hideMark/>
          </w:tcPr>
          <w:p w14:paraId="4838F9EF"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2,99</w:t>
            </w:r>
          </w:p>
        </w:tc>
        <w:tc>
          <w:tcPr>
            <w:tcW w:w="0" w:type="auto"/>
            <w:tcBorders>
              <w:top w:val="nil"/>
              <w:left w:val="nil"/>
              <w:bottom w:val="nil"/>
              <w:right w:val="nil"/>
            </w:tcBorders>
            <w:shd w:val="clear" w:color="auto" w:fill="auto"/>
            <w:noWrap/>
            <w:vAlign w:val="center"/>
            <w:hideMark/>
          </w:tcPr>
          <w:p w14:paraId="4CD91DB7"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3,33</w:t>
            </w:r>
          </w:p>
        </w:tc>
        <w:tc>
          <w:tcPr>
            <w:tcW w:w="0" w:type="auto"/>
            <w:tcBorders>
              <w:top w:val="nil"/>
              <w:left w:val="nil"/>
              <w:bottom w:val="nil"/>
              <w:right w:val="nil"/>
            </w:tcBorders>
            <w:shd w:val="clear" w:color="auto" w:fill="auto"/>
            <w:noWrap/>
            <w:vAlign w:val="center"/>
            <w:hideMark/>
          </w:tcPr>
          <w:p w14:paraId="4055D1CB"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3,07</w:t>
            </w:r>
          </w:p>
        </w:tc>
        <w:tc>
          <w:tcPr>
            <w:tcW w:w="0" w:type="auto"/>
            <w:tcBorders>
              <w:top w:val="nil"/>
              <w:left w:val="nil"/>
              <w:bottom w:val="nil"/>
              <w:right w:val="nil"/>
            </w:tcBorders>
            <w:shd w:val="clear" w:color="auto" w:fill="auto"/>
            <w:noWrap/>
            <w:vAlign w:val="center"/>
            <w:hideMark/>
          </w:tcPr>
          <w:p w14:paraId="375E2A32"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3,16</w:t>
            </w:r>
          </w:p>
        </w:tc>
        <w:tc>
          <w:tcPr>
            <w:tcW w:w="0" w:type="auto"/>
            <w:tcBorders>
              <w:top w:val="nil"/>
              <w:left w:val="nil"/>
              <w:bottom w:val="nil"/>
              <w:right w:val="single" w:sz="8" w:space="0" w:color="95B3D7"/>
            </w:tcBorders>
            <w:shd w:val="clear" w:color="auto" w:fill="auto"/>
            <w:noWrap/>
            <w:vAlign w:val="center"/>
            <w:hideMark/>
          </w:tcPr>
          <w:p w14:paraId="328584A6"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2,18</w:t>
            </w:r>
          </w:p>
        </w:tc>
      </w:tr>
      <w:tr w:rsidR="00123EA5" w:rsidRPr="00123EA5" w14:paraId="0D6D69AB" w14:textId="77777777" w:rsidTr="00445180">
        <w:trPr>
          <w:trHeight w:val="300"/>
        </w:trPr>
        <w:tc>
          <w:tcPr>
            <w:tcW w:w="0" w:type="auto"/>
            <w:vMerge/>
            <w:tcBorders>
              <w:top w:val="nil"/>
              <w:left w:val="single" w:sz="8" w:space="0" w:color="95B3D7"/>
              <w:bottom w:val="single" w:sz="8" w:space="0" w:color="95B3D7"/>
              <w:right w:val="nil"/>
            </w:tcBorders>
            <w:vAlign w:val="center"/>
            <w:hideMark/>
          </w:tcPr>
          <w:p w14:paraId="4AC851D2" w14:textId="77777777" w:rsidR="00123EA5" w:rsidRPr="00123EA5" w:rsidRDefault="00123EA5" w:rsidP="00123EA5">
            <w:pPr>
              <w:spacing w:after="0" w:line="240" w:lineRule="auto"/>
              <w:rPr>
                <w:rFonts w:ascii="Arial" w:eastAsia="Times New Roman" w:hAnsi="Arial" w:cs="Arial"/>
                <w:color w:val="000000"/>
                <w:sz w:val="18"/>
                <w:szCs w:val="18"/>
                <w:lang w:val="en-US"/>
              </w:rPr>
            </w:pPr>
          </w:p>
        </w:tc>
        <w:tc>
          <w:tcPr>
            <w:tcW w:w="0" w:type="auto"/>
            <w:tcBorders>
              <w:top w:val="nil"/>
              <w:left w:val="nil"/>
              <w:bottom w:val="nil"/>
              <w:right w:val="nil"/>
            </w:tcBorders>
            <w:shd w:val="clear" w:color="auto" w:fill="auto"/>
            <w:noWrap/>
            <w:vAlign w:val="center"/>
            <w:hideMark/>
          </w:tcPr>
          <w:p w14:paraId="01F7BBD6" w14:textId="04796EDD" w:rsidR="00123EA5" w:rsidRPr="00123EA5" w:rsidRDefault="00123EA5" w:rsidP="00123EA5">
            <w:pPr>
              <w:spacing w:after="0" w:line="240" w:lineRule="auto"/>
              <w:rPr>
                <w:rFonts w:ascii="Arial" w:eastAsia="Times New Roman" w:hAnsi="Arial" w:cs="Arial"/>
                <w:color w:val="000000"/>
                <w:sz w:val="18"/>
                <w:szCs w:val="18"/>
                <w:lang w:val="en-US"/>
              </w:rPr>
            </w:pPr>
            <w:r w:rsidRPr="00123EA5">
              <w:rPr>
                <w:rFonts w:ascii="Arial" w:eastAsia="Times New Roman" w:hAnsi="Arial" w:cs="Arial"/>
                <w:color w:val="000000"/>
                <w:sz w:val="18"/>
                <w:szCs w:val="18"/>
              </w:rPr>
              <w:t xml:space="preserve">Prosječno dospijeće </w:t>
            </w:r>
            <w:r w:rsidR="009A78EF">
              <w:rPr>
                <w:rFonts w:ascii="Arial" w:eastAsia="Times New Roman" w:hAnsi="Arial" w:cs="Arial"/>
                <w:color w:val="000000"/>
                <w:sz w:val="18"/>
                <w:szCs w:val="18"/>
              </w:rPr>
              <w:t>portfelja</w:t>
            </w:r>
            <w:r w:rsidRPr="00123EA5">
              <w:rPr>
                <w:rFonts w:ascii="Arial" w:eastAsia="Times New Roman" w:hAnsi="Arial" w:cs="Arial"/>
                <w:color w:val="000000"/>
                <w:sz w:val="18"/>
                <w:szCs w:val="18"/>
              </w:rPr>
              <w:t xml:space="preserve"> (godine)</w:t>
            </w:r>
          </w:p>
        </w:tc>
        <w:tc>
          <w:tcPr>
            <w:tcW w:w="0" w:type="auto"/>
            <w:tcBorders>
              <w:top w:val="nil"/>
              <w:left w:val="nil"/>
              <w:bottom w:val="nil"/>
              <w:right w:val="nil"/>
            </w:tcBorders>
            <w:shd w:val="clear" w:color="auto" w:fill="auto"/>
            <w:noWrap/>
            <w:vAlign w:val="center"/>
            <w:hideMark/>
          </w:tcPr>
          <w:p w14:paraId="17EDAC5A"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6,21</w:t>
            </w:r>
          </w:p>
        </w:tc>
        <w:tc>
          <w:tcPr>
            <w:tcW w:w="0" w:type="auto"/>
            <w:tcBorders>
              <w:top w:val="nil"/>
              <w:left w:val="nil"/>
              <w:bottom w:val="nil"/>
              <w:right w:val="nil"/>
            </w:tcBorders>
            <w:shd w:val="clear" w:color="auto" w:fill="auto"/>
            <w:noWrap/>
            <w:vAlign w:val="center"/>
            <w:hideMark/>
          </w:tcPr>
          <w:p w14:paraId="13F9C79A"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6,69</w:t>
            </w:r>
          </w:p>
        </w:tc>
        <w:tc>
          <w:tcPr>
            <w:tcW w:w="0" w:type="auto"/>
            <w:tcBorders>
              <w:top w:val="nil"/>
              <w:left w:val="nil"/>
              <w:bottom w:val="nil"/>
              <w:right w:val="nil"/>
            </w:tcBorders>
            <w:shd w:val="clear" w:color="auto" w:fill="auto"/>
            <w:noWrap/>
            <w:vAlign w:val="center"/>
            <w:hideMark/>
          </w:tcPr>
          <w:p w14:paraId="706B0D53"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6,65</w:t>
            </w:r>
          </w:p>
        </w:tc>
        <w:tc>
          <w:tcPr>
            <w:tcW w:w="0" w:type="auto"/>
            <w:tcBorders>
              <w:top w:val="nil"/>
              <w:left w:val="nil"/>
              <w:bottom w:val="nil"/>
              <w:right w:val="nil"/>
            </w:tcBorders>
            <w:shd w:val="clear" w:color="auto" w:fill="auto"/>
            <w:noWrap/>
            <w:vAlign w:val="center"/>
            <w:hideMark/>
          </w:tcPr>
          <w:p w14:paraId="55EB13B3"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6,72</w:t>
            </w:r>
          </w:p>
        </w:tc>
        <w:tc>
          <w:tcPr>
            <w:tcW w:w="0" w:type="auto"/>
            <w:tcBorders>
              <w:top w:val="nil"/>
              <w:left w:val="nil"/>
              <w:bottom w:val="nil"/>
              <w:right w:val="single" w:sz="8" w:space="0" w:color="95B3D7"/>
            </w:tcBorders>
            <w:shd w:val="clear" w:color="auto" w:fill="auto"/>
            <w:noWrap/>
            <w:vAlign w:val="center"/>
            <w:hideMark/>
          </w:tcPr>
          <w:p w14:paraId="365F9F42"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7,79</w:t>
            </w:r>
          </w:p>
        </w:tc>
      </w:tr>
      <w:tr w:rsidR="00123EA5" w:rsidRPr="00123EA5" w14:paraId="7420C055" w14:textId="77777777" w:rsidTr="00445180">
        <w:trPr>
          <w:trHeight w:val="300"/>
        </w:trPr>
        <w:tc>
          <w:tcPr>
            <w:tcW w:w="0" w:type="auto"/>
            <w:vMerge/>
            <w:tcBorders>
              <w:top w:val="nil"/>
              <w:left w:val="single" w:sz="8" w:space="0" w:color="95B3D7"/>
              <w:bottom w:val="single" w:sz="8" w:space="0" w:color="95B3D7"/>
              <w:right w:val="nil"/>
            </w:tcBorders>
            <w:vAlign w:val="center"/>
            <w:hideMark/>
          </w:tcPr>
          <w:p w14:paraId="397B6B8F" w14:textId="77777777" w:rsidR="00123EA5" w:rsidRPr="00123EA5" w:rsidRDefault="00123EA5" w:rsidP="00123EA5">
            <w:pPr>
              <w:spacing w:after="0" w:line="240" w:lineRule="auto"/>
              <w:rPr>
                <w:rFonts w:ascii="Arial" w:eastAsia="Times New Roman" w:hAnsi="Arial" w:cs="Arial"/>
                <w:color w:val="000000"/>
                <w:sz w:val="18"/>
                <w:szCs w:val="18"/>
                <w:lang w:val="en-US"/>
              </w:rPr>
            </w:pPr>
          </w:p>
        </w:tc>
        <w:tc>
          <w:tcPr>
            <w:tcW w:w="0" w:type="auto"/>
            <w:tcBorders>
              <w:top w:val="nil"/>
              <w:left w:val="nil"/>
              <w:bottom w:val="nil"/>
              <w:right w:val="nil"/>
            </w:tcBorders>
            <w:shd w:val="clear" w:color="auto" w:fill="auto"/>
            <w:noWrap/>
            <w:vAlign w:val="center"/>
            <w:hideMark/>
          </w:tcPr>
          <w:p w14:paraId="4EDA2DC2" w14:textId="77777777" w:rsidR="00123EA5" w:rsidRPr="00123EA5" w:rsidRDefault="00123EA5" w:rsidP="00123EA5">
            <w:pPr>
              <w:spacing w:after="0" w:line="240" w:lineRule="auto"/>
              <w:rPr>
                <w:rFonts w:ascii="Arial" w:eastAsia="Times New Roman" w:hAnsi="Arial" w:cs="Arial"/>
                <w:color w:val="000000"/>
                <w:sz w:val="18"/>
                <w:szCs w:val="18"/>
                <w:lang w:val="en-US"/>
              </w:rPr>
            </w:pPr>
            <w:r w:rsidRPr="00123EA5">
              <w:rPr>
                <w:rFonts w:ascii="Arial" w:eastAsia="Times New Roman" w:hAnsi="Arial" w:cs="Arial"/>
                <w:color w:val="000000"/>
                <w:sz w:val="18"/>
                <w:szCs w:val="18"/>
              </w:rPr>
              <w:t>Prosječno dospijeće domaći dug (godine)</w:t>
            </w:r>
          </w:p>
        </w:tc>
        <w:tc>
          <w:tcPr>
            <w:tcW w:w="0" w:type="auto"/>
            <w:tcBorders>
              <w:top w:val="nil"/>
              <w:left w:val="nil"/>
              <w:bottom w:val="nil"/>
              <w:right w:val="nil"/>
            </w:tcBorders>
            <w:shd w:val="clear" w:color="auto" w:fill="auto"/>
            <w:noWrap/>
            <w:vAlign w:val="center"/>
            <w:hideMark/>
          </w:tcPr>
          <w:p w14:paraId="231A3908"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3,64</w:t>
            </w:r>
          </w:p>
        </w:tc>
        <w:tc>
          <w:tcPr>
            <w:tcW w:w="0" w:type="auto"/>
            <w:tcBorders>
              <w:top w:val="nil"/>
              <w:left w:val="nil"/>
              <w:bottom w:val="nil"/>
              <w:right w:val="nil"/>
            </w:tcBorders>
            <w:shd w:val="clear" w:color="auto" w:fill="auto"/>
            <w:noWrap/>
            <w:vAlign w:val="center"/>
            <w:hideMark/>
          </w:tcPr>
          <w:p w14:paraId="400A9B4F"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2,73</w:t>
            </w:r>
          </w:p>
        </w:tc>
        <w:tc>
          <w:tcPr>
            <w:tcW w:w="0" w:type="auto"/>
            <w:tcBorders>
              <w:top w:val="nil"/>
              <w:left w:val="nil"/>
              <w:bottom w:val="nil"/>
              <w:right w:val="nil"/>
            </w:tcBorders>
            <w:shd w:val="clear" w:color="auto" w:fill="auto"/>
            <w:noWrap/>
            <w:vAlign w:val="center"/>
            <w:hideMark/>
          </w:tcPr>
          <w:p w14:paraId="71F4F066"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2,94</w:t>
            </w:r>
          </w:p>
        </w:tc>
        <w:tc>
          <w:tcPr>
            <w:tcW w:w="0" w:type="auto"/>
            <w:tcBorders>
              <w:top w:val="nil"/>
              <w:left w:val="nil"/>
              <w:bottom w:val="nil"/>
              <w:right w:val="nil"/>
            </w:tcBorders>
            <w:shd w:val="clear" w:color="auto" w:fill="auto"/>
            <w:noWrap/>
            <w:vAlign w:val="center"/>
            <w:hideMark/>
          </w:tcPr>
          <w:p w14:paraId="5CB77CED"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2,97</w:t>
            </w:r>
          </w:p>
        </w:tc>
        <w:tc>
          <w:tcPr>
            <w:tcW w:w="0" w:type="auto"/>
            <w:tcBorders>
              <w:top w:val="nil"/>
              <w:left w:val="nil"/>
              <w:bottom w:val="nil"/>
              <w:right w:val="single" w:sz="8" w:space="0" w:color="95B3D7"/>
            </w:tcBorders>
            <w:shd w:val="clear" w:color="auto" w:fill="auto"/>
            <w:noWrap/>
            <w:vAlign w:val="center"/>
            <w:hideMark/>
          </w:tcPr>
          <w:p w14:paraId="06408451"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2,95</w:t>
            </w:r>
          </w:p>
        </w:tc>
      </w:tr>
      <w:tr w:rsidR="00123EA5" w:rsidRPr="00123EA5" w14:paraId="3862C691" w14:textId="77777777" w:rsidTr="00445180">
        <w:trPr>
          <w:trHeight w:val="315"/>
        </w:trPr>
        <w:tc>
          <w:tcPr>
            <w:tcW w:w="0" w:type="auto"/>
            <w:vMerge/>
            <w:tcBorders>
              <w:top w:val="nil"/>
              <w:left w:val="single" w:sz="8" w:space="0" w:color="95B3D7"/>
              <w:bottom w:val="single" w:sz="8" w:space="0" w:color="95B3D7"/>
              <w:right w:val="nil"/>
            </w:tcBorders>
            <w:vAlign w:val="center"/>
            <w:hideMark/>
          </w:tcPr>
          <w:p w14:paraId="277F83D4" w14:textId="77777777" w:rsidR="00123EA5" w:rsidRPr="00123EA5" w:rsidRDefault="00123EA5" w:rsidP="00123EA5">
            <w:pPr>
              <w:spacing w:after="0" w:line="240" w:lineRule="auto"/>
              <w:rPr>
                <w:rFonts w:ascii="Arial" w:eastAsia="Times New Roman" w:hAnsi="Arial" w:cs="Arial"/>
                <w:color w:val="000000"/>
                <w:sz w:val="18"/>
                <w:szCs w:val="18"/>
                <w:lang w:val="en-US"/>
              </w:rPr>
            </w:pPr>
          </w:p>
        </w:tc>
        <w:tc>
          <w:tcPr>
            <w:tcW w:w="0" w:type="auto"/>
            <w:tcBorders>
              <w:top w:val="nil"/>
              <w:left w:val="nil"/>
              <w:bottom w:val="single" w:sz="8" w:space="0" w:color="95B3D7"/>
              <w:right w:val="nil"/>
            </w:tcBorders>
            <w:shd w:val="clear" w:color="auto" w:fill="auto"/>
            <w:noWrap/>
            <w:vAlign w:val="center"/>
            <w:hideMark/>
          </w:tcPr>
          <w:p w14:paraId="61F114BC" w14:textId="77777777" w:rsidR="00123EA5" w:rsidRPr="00123EA5" w:rsidRDefault="00123EA5" w:rsidP="00123EA5">
            <w:pPr>
              <w:spacing w:after="0" w:line="240" w:lineRule="auto"/>
              <w:rPr>
                <w:rFonts w:ascii="Arial" w:eastAsia="Times New Roman" w:hAnsi="Arial" w:cs="Arial"/>
                <w:color w:val="000000"/>
                <w:sz w:val="18"/>
                <w:szCs w:val="18"/>
                <w:lang w:val="en-US"/>
              </w:rPr>
            </w:pPr>
            <w:r w:rsidRPr="00123EA5">
              <w:rPr>
                <w:rFonts w:ascii="Arial" w:eastAsia="Times New Roman" w:hAnsi="Arial" w:cs="Arial"/>
                <w:color w:val="000000"/>
                <w:sz w:val="18"/>
                <w:szCs w:val="18"/>
              </w:rPr>
              <w:t>Prosječno dospijeće vanjski dug (godine)</w:t>
            </w:r>
          </w:p>
        </w:tc>
        <w:tc>
          <w:tcPr>
            <w:tcW w:w="0" w:type="auto"/>
            <w:tcBorders>
              <w:top w:val="nil"/>
              <w:left w:val="nil"/>
              <w:bottom w:val="single" w:sz="8" w:space="0" w:color="95B3D7"/>
              <w:right w:val="nil"/>
            </w:tcBorders>
            <w:shd w:val="clear" w:color="auto" w:fill="auto"/>
            <w:noWrap/>
            <w:vAlign w:val="center"/>
            <w:hideMark/>
          </w:tcPr>
          <w:p w14:paraId="78B55D64"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6,59</w:t>
            </w:r>
          </w:p>
        </w:tc>
        <w:tc>
          <w:tcPr>
            <w:tcW w:w="0" w:type="auto"/>
            <w:tcBorders>
              <w:top w:val="nil"/>
              <w:left w:val="nil"/>
              <w:bottom w:val="single" w:sz="8" w:space="0" w:color="95B3D7"/>
              <w:right w:val="nil"/>
            </w:tcBorders>
            <w:shd w:val="clear" w:color="auto" w:fill="auto"/>
            <w:noWrap/>
            <w:vAlign w:val="center"/>
            <w:hideMark/>
          </w:tcPr>
          <w:p w14:paraId="60CCB126"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7,60</w:t>
            </w:r>
          </w:p>
        </w:tc>
        <w:tc>
          <w:tcPr>
            <w:tcW w:w="0" w:type="auto"/>
            <w:tcBorders>
              <w:top w:val="nil"/>
              <w:left w:val="nil"/>
              <w:bottom w:val="single" w:sz="8" w:space="0" w:color="95B3D7"/>
              <w:right w:val="nil"/>
            </w:tcBorders>
            <w:shd w:val="clear" w:color="auto" w:fill="auto"/>
            <w:noWrap/>
            <w:vAlign w:val="center"/>
            <w:hideMark/>
          </w:tcPr>
          <w:p w14:paraId="27B4E755"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7,50</w:t>
            </w:r>
          </w:p>
        </w:tc>
        <w:tc>
          <w:tcPr>
            <w:tcW w:w="0" w:type="auto"/>
            <w:tcBorders>
              <w:top w:val="nil"/>
              <w:left w:val="nil"/>
              <w:bottom w:val="single" w:sz="8" w:space="0" w:color="95B3D7"/>
              <w:right w:val="nil"/>
            </w:tcBorders>
            <w:shd w:val="clear" w:color="auto" w:fill="auto"/>
            <w:noWrap/>
            <w:vAlign w:val="center"/>
            <w:hideMark/>
          </w:tcPr>
          <w:p w14:paraId="621B6A43"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7,67</w:t>
            </w:r>
          </w:p>
        </w:tc>
        <w:tc>
          <w:tcPr>
            <w:tcW w:w="0" w:type="auto"/>
            <w:tcBorders>
              <w:top w:val="nil"/>
              <w:left w:val="nil"/>
              <w:bottom w:val="single" w:sz="8" w:space="0" w:color="95B3D7"/>
              <w:right w:val="single" w:sz="8" w:space="0" w:color="95B3D7"/>
            </w:tcBorders>
            <w:shd w:val="clear" w:color="auto" w:fill="auto"/>
            <w:noWrap/>
            <w:vAlign w:val="center"/>
            <w:hideMark/>
          </w:tcPr>
          <w:p w14:paraId="50C889FE"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8,11</w:t>
            </w:r>
          </w:p>
        </w:tc>
      </w:tr>
      <w:tr w:rsidR="00123EA5" w:rsidRPr="00123EA5" w14:paraId="4A0C6294" w14:textId="77777777" w:rsidTr="00445180">
        <w:trPr>
          <w:trHeight w:val="315"/>
        </w:trPr>
        <w:tc>
          <w:tcPr>
            <w:tcW w:w="0" w:type="auto"/>
            <w:vMerge w:val="restart"/>
            <w:tcBorders>
              <w:top w:val="nil"/>
              <w:left w:val="single" w:sz="8" w:space="0" w:color="95B3D7"/>
              <w:bottom w:val="nil"/>
              <w:right w:val="nil"/>
            </w:tcBorders>
            <w:shd w:val="clear" w:color="auto" w:fill="auto"/>
            <w:noWrap/>
            <w:vAlign w:val="center"/>
            <w:hideMark/>
          </w:tcPr>
          <w:p w14:paraId="406874BA" w14:textId="77777777" w:rsidR="00123EA5" w:rsidRPr="00123EA5" w:rsidRDefault="00123EA5" w:rsidP="00123EA5">
            <w:pPr>
              <w:spacing w:after="0" w:line="240" w:lineRule="auto"/>
              <w:rPr>
                <w:rFonts w:ascii="Arial" w:eastAsia="Times New Roman" w:hAnsi="Arial" w:cs="Arial"/>
                <w:color w:val="000000"/>
                <w:sz w:val="18"/>
                <w:szCs w:val="18"/>
                <w:lang w:val="en-US"/>
              </w:rPr>
            </w:pPr>
            <w:r w:rsidRPr="00123EA5">
              <w:rPr>
                <w:rFonts w:ascii="Arial" w:eastAsia="Times New Roman" w:hAnsi="Arial" w:cs="Arial"/>
                <w:color w:val="000000"/>
                <w:sz w:val="18"/>
                <w:szCs w:val="18"/>
              </w:rPr>
              <w:t>Kamatni rizik</w:t>
            </w:r>
          </w:p>
        </w:tc>
        <w:tc>
          <w:tcPr>
            <w:tcW w:w="0" w:type="auto"/>
            <w:tcBorders>
              <w:top w:val="nil"/>
              <w:left w:val="nil"/>
              <w:bottom w:val="nil"/>
              <w:right w:val="nil"/>
            </w:tcBorders>
            <w:shd w:val="clear" w:color="auto" w:fill="auto"/>
            <w:noWrap/>
            <w:vAlign w:val="center"/>
            <w:hideMark/>
          </w:tcPr>
          <w:p w14:paraId="0252EB6D" w14:textId="77777777" w:rsidR="00123EA5" w:rsidRPr="00123EA5" w:rsidRDefault="00123EA5" w:rsidP="00123EA5">
            <w:pPr>
              <w:spacing w:after="0" w:line="240" w:lineRule="auto"/>
              <w:rPr>
                <w:rFonts w:ascii="Arial" w:eastAsia="Times New Roman" w:hAnsi="Arial" w:cs="Arial"/>
                <w:color w:val="000000"/>
                <w:sz w:val="18"/>
                <w:szCs w:val="18"/>
                <w:lang w:val="en-US"/>
              </w:rPr>
            </w:pPr>
            <w:r w:rsidRPr="00123EA5">
              <w:rPr>
                <w:rFonts w:ascii="Arial" w:eastAsia="Times New Roman" w:hAnsi="Arial" w:cs="Arial"/>
                <w:color w:val="000000"/>
                <w:sz w:val="18"/>
                <w:szCs w:val="18"/>
              </w:rPr>
              <w:t>Prosječno vrijeme refiksiranja  (godine)</w:t>
            </w:r>
          </w:p>
        </w:tc>
        <w:tc>
          <w:tcPr>
            <w:tcW w:w="0" w:type="auto"/>
            <w:tcBorders>
              <w:top w:val="nil"/>
              <w:left w:val="nil"/>
              <w:bottom w:val="nil"/>
              <w:right w:val="nil"/>
            </w:tcBorders>
            <w:shd w:val="clear" w:color="auto" w:fill="auto"/>
            <w:noWrap/>
            <w:vAlign w:val="center"/>
            <w:hideMark/>
          </w:tcPr>
          <w:p w14:paraId="421E5EA2"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4,15</w:t>
            </w:r>
          </w:p>
        </w:tc>
        <w:tc>
          <w:tcPr>
            <w:tcW w:w="0" w:type="auto"/>
            <w:tcBorders>
              <w:top w:val="nil"/>
              <w:left w:val="nil"/>
              <w:bottom w:val="nil"/>
              <w:right w:val="nil"/>
            </w:tcBorders>
            <w:shd w:val="clear" w:color="auto" w:fill="auto"/>
            <w:noWrap/>
            <w:vAlign w:val="center"/>
            <w:hideMark/>
          </w:tcPr>
          <w:p w14:paraId="222142E0"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4,28</w:t>
            </w:r>
          </w:p>
        </w:tc>
        <w:tc>
          <w:tcPr>
            <w:tcW w:w="0" w:type="auto"/>
            <w:tcBorders>
              <w:top w:val="nil"/>
              <w:left w:val="nil"/>
              <w:bottom w:val="nil"/>
              <w:right w:val="nil"/>
            </w:tcBorders>
            <w:shd w:val="clear" w:color="auto" w:fill="auto"/>
            <w:noWrap/>
            <w:vAlign w:val="center"/>
            <w:hideMark/>
          </w:tcPr>
          <w:p w14:paraId="710F4392"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3,69</w:t>
            </w:r>
          </w:p>
        </w:tc>
        <w:tc>
          <w:tcPr>
            <w:tcW w:w="0" w:type="auto"/>
            <w:tcBorders>
              <w:top w:val="nil"/>
              <w:left w:val="nil"/>
              <w:bottom w:val="nil"/>
              <w:right w:val="nil"/>
            </w:tcBorders>
            <w:shd w:val="clear" w:color="auto" w:fill="auto"/>
            <w:noWrap/>
            <w:vAlign w:val="center"/>
            <w:hideMark/>
          </w:tcPr>
          <w:p w14:paraId="71A01AB8"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5,10</w:t>
            </w:r>
          </w:p>
        </w:tc>
        <w:tc>
          <w:tcPr>
            <w:tcW w:w="0" w:type="auto"/>
            <w:tcBorders>
              <w:top w:val="nil"/>
              <w:left w:val="nil"/>
              <w:bottom w:val="nil"/>
              <w:right w:val="single" w:sz="8" w:space="0" w:color="95B3D7"/>
            </w:tcBorders>
            <w:shd w:val="clear" w:color="auto" w:fill="auto"/>
            <w:noWrap/>
            <w:vAlign w:val="center"/>
            <w:hideMark/>
          </w:tcPr>
          <w:p w14:paraId="262DE73A"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5,99</w:t>
            </w:r>
          </w:p>
        </w:tc>
      </w:tr>
      <w:tr w:rsidR="00123EA5" w:rsidRPr="00123EA5" w14:paraId="2ABEEC1F" w14:textId="77777777" w:rsidTr="00445180">
        <w:trPr>
          <w:trHeight w:val="300"/>
        </w:trPr>
        <w:tc>
          <w:tcPr>
            <w:tcW w:w="0" w:type="auto"/>
            <w:vMerge/>
            <w:tcBorders>
              <w:top w:val="nil"/>
              <w:left w:val="single" w:sz="8" w:space="0" w:color="95B3D7"/>
              <w:bottom w:val="nil"/>
              <w:right w:val="nil"/>
            </w:tcBorders>
            <w:vAlign w:val="center"/>
            <w:hideMark/>
          </w:tcPr>
          <w:p w14:paraId="582E9EAE" w14:textId="77777777" w:rsidR="00123EA5" w:rsidRPr="00123EA5" w:rsidRDefault="00123EA5" w:rsidP="00123EA5">
            <w:pPr>
              <w:spacing w:after="0" w:line="240" w:lineRule="auto"/>
              <w:rPr>
                <w:rFonts w:ascii="Arial" w:eastAsia="Times New Roman" w:hAnsi="Arial" w:cs="Arial"/>
                <w:color w:val="000000"/>
                <w:sz w:val="18"/>
                <w:szCs w:val="18"/>
                <w:lang w:val="en-US"/>
              </w:rPr>
            </w:pPr>
          </w:p>
        </w:tc>
        <w:tc>
          <w:tcPr>
            <w:tcW w:w="0" w:type="auto"/>
            <w:tcBorders>
              <w:top w:val="nil"/>
              <w:left w:val="nil"/>
              <w:bottom w:val="nil"/>
              <w:right w:val="nil"/>
            </w:tcBorders>
            <w:shd w:val="clear" w:color="auto" w:fill="auto"/>
            <w:noWrap/>
            <w:vAlign w:val="center"/>
            <w:hideMark/>
          </w:tcPr>
          <w:p w14:paraId="0F8A6E07" w14:textId="77777777" w:rsidR="00123EA5" w:rsidRPr="00123EA5" w:rsidRDefault="00123EA5" w:rsidP="00123EA5">
            <w:pPr>
              <w:spacing w:after="0" w:line="240" w:lineRule="auto"/>
              <w:rPr>
                <w:rFonts w:ascii="Arial" w:eastAsia="Times New Roman" w:hAnsi="Arial" w:cs="Arial"/>
                <w:color w:val="000000"/>
                <w:sz w:val="18"/>
                <w:szCs w:val="18"/>
                <w:lang w:val="en-US"/>
              </w:rPr>
            </w:pPr>
            <w:r w:rsidRPr="00123EA5">
              <w:rPr>
                <w:rFonts w:ascii="Arial" w:eastAsia="Times New Roman" w:hAnsi="Arial" w:cs="Arial"/>
                <w:color w:val="000000"/>
                <w:sz w:val="18"/>
                <w:szCs w:val="18"/>
              </w:rPr>
              <w:t>Refiksiranje duga u 1. godini  (godine)</w:t>
            </w:r>
          </w:p>
        </w:tc>
        <w:tc>
          <w:tcPr>
            <w:tcW w:w="0" w:type="auto"/>
            <w:tcBorders>
              <w:top w:val="nil"/>
              <w:left w:val="nil"/>
              <w:bottom w:val="nil"/>
              <w:right w:val="nil"/>
            </w:tcBorders>
            <w:shd w:val="clear" w:color="auto" w:fill="auto"/>
            <w:noWrap/>
            <w:vAlign w:val="center"/>
            <w:hideMark/>
          </w:tcPr>
          <w:p w14:paraId="4CABBCD6"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45,79</w:t>
            </w:r>
          </w:p>
        </w:tc>
        <w:tc>
          <w:tcPr>
            <w:tcW w:w="0" w:type="auto"/>
            <w:tcBorders>
              <w:top w:val="nil"/>
              <w:left w:val="nil"/>
              <w:bottom w:val="nil"/>
              <w:right w:val="nil"/>
            </w:tcBorders>
            <w:shd w:val="clear" w:color="auto" w:fill="auto"/>
            <w:noWrap/>
            <w:vAlign w:val="center"/>
            <w:hideMark/>
          </w:tcPr>
          <w:p w14:paraId="737843B7"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44,20</w:t>
            </w:r>
          </w:p>
        </w:tc>
        <w:tc>
          <w:tcPr>
            <w:tcW w:w="0" w:type="auto"/>
            <w:tcBorders>
              <w:top w:val="nil"/>
              <w:left w:val="nil"/>
              <w:bottom w:val="nil"/>
              <w:right w:val="nil"/>
            </w:tcBorders>
            <w:shd w:val="clear" w:color="auto" w:fill="auto"/>
            <w:noWrap/>
            <w:vAlign w:val="center"/>
            <w:hideMark/>
          </w:tcPr>
          <w:p w14:paraId="67CACBD9"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48,65</w:t>
            </w:r>
          </w:p>
        </w:tc>
        <w:tc>
          <w:tcPr>
            <w:tcW w:w="0" w:type="auto"/>
            <w:tcBorders>
              <w:top w:val="nil"/>
              <w:left w:val="nil"/>
              <w:bottom w:val="nil"/>
              <w:right w:val="nil"/>
            </w:tcBorders>
            <w:shd w:val="clear" w:color="auto" w:fill="auto"/>
            <w:noWrap/>
            <w:vAlign w:val="center"/>
            <w:hideMark/>
          </w:tcPr>
          <w:p w14:paraId="69FB3426"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35,37</w:t>
            </w:r>
          </w:p>
        </w:tc>
        <w:tc>
          <w:tcPr>
            <w:tcW w:w="0" w:type="auto"/>
            <w:tcBorders>
              <w:top w:val="nil"/>
              <w:left w:val="nil"/>
              <w:bottom w:val="nil"/>
              <w:right w:val="single" w:sz="8" w:space="0" w:color="95B3D7"/>
            </w:tcBorders>
            <w:shd w:val="clear" w:color="auto" w:fill="auto"/>
            <w:noWrap/>
            <w:vAlign w:val="center"/>
            <w:hideMark/>
          </w:tcPr>
          <w:p w14:paraId="650C7A5B"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33,20</w:t>
            </w:r>
          </w:p>
        </w:tc>
      </w:tr>
      <w:tr w:rsidR="00123EA5" w:rsidRPr="00123EA5" w14:paraId="7C7F4B21" w14:textId="77777777" w:rsidTr="00445180">
        <w:trPr>
          <w:trHeight w:val="300"/>
        </w:trPr>
        <w:tc>
          <w:tcPr>
            <w:tcW w:w="0" w:type="auto"/>
            <w:vMerge/>
            <w:tcBorders>
              <w:top w:val="nil"/>
              <w:left w:val="single" w:sz="8" w:space="0" w:color="95B3D7"/>
              <w:bottom w:val="nil"/>
              <w:right w:val="nil"/>
            </w:tcBorders>
            <w:vAlign w:val="center"/>
            <w:hideMark/>
          </w:tcPr>
          <w:p w14:paraId="79752CC9" w14:textId="77777777" w:rsidR="00123EA5" w:rsidRPr="00123EA5" w:rsidRDefault="00123EA5" w:rsidP="00123EA5">
            <w:pPr>
              <w:spacing w:after="0" w:line="240" w:lineRule="auto"/>
              <w:rPr>
                <w:rFonts w:ascii="Arial" w:eastAsia="Times New Roman" w:hAnsi="Arial" w:cs="Arial"/>
                <w:color w:val="000000"/>
                <w:sz w:val="18"/>
                <w:szCs w:val="18"/>
                <w:lang w:val="en-US"/>
              </w:rPr>
            </w:pPr>
          </w:p>
        </w:tc>
        <w:tc>
          <w:tcPr>
            <w:tcW w:w="0" w:type="auto"/>
            <w:tcBorders>
              <w:top w:val="nil"/>
              <w:left w:val="nil"/>
              <w:bottom w:val="nil"/>
              <w:right w:val="nil"/>
            </w:tcBorders>
            <w:shd w:val="clear" w:color="auto" w:fill="auto"/>
            <w:noWrap/>
            <w:vAlign w:val="center"/>
            <w:hideMark/>
          </w:tcPr>
          <w:p w14:paraId="1F441ED2" w14:textId="7951E297" w:rsidR="00123EA5" w:rsidRPr="00123EA5" w:rsidRDefault="00D41C1F" w:rsidP="00123EA5">
            <w:pPr>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rPr>
              <w:t>Dug s</w:t>
            </w:r>
            <w:r w:rsidR="00123EA5" w:rsidRPr="00123EA5">
              <w:rPr>
                <w:rFonts w:ascii="Arial" w:eastAsia="Times New Roman" w:hAnsi="Arial" w:cs="Arial"/>
                <w:color w:val="000000"/>
                <w:sz w:val="18"/>
                <w:szCs w:val="18"/>
              </w:rPr>
              <w:t xml:space="preserve"> fiksnom kamatom (% ukupnog duga)</w:t>
            </w:r>
          </w:p>
        </w:tc>
        <w:tc>
          <w:tcPr>
            <w:tcW w:w="0" w:type="auto"/>
            <w:tcBorders>
              <w:top w:val="nil"/>
              <w:left w:val="nil"/>
              <w:bottom w:val="nil"/>
              <w:right w:val="nil"/>
            </w:tcBorders>
            <w:shd w:val="clear" w:color="auto" w:fill="auto"/>
            <w:noWrap/>
            <w:vAlign w:val="center"/>
            <w:hideMark/>
          </w:tcPr>
          <w:p w14:paraId="135F2540"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62,47</w:t>
            </w:r>
          </w:p>
        </w:tc>
        <w:tc>
          <w:tcPr>
            <w:tcW w:w="0" w:type="auto"/>
            <w:tcBorders>
              <w:top w:val="nil"/>
              <w:left w:val="nil"/>
              <w:bottom w:val="nil"/>
              <w:right w:val="nil"/>
            </w:tcBorders>
            <w:shd w:val="clear" w:color="auto" w:fill="auto"/>
            <w:noWrap/>
            <w:vAlign w:val="center"/>
            <w:hideMark/>
          </w:tcPr>
          <w:p w14:paraId="4424BC40"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65,42</w:t>
            </w:r>
          </w:p>
        </w:tc>
        <w:tc>
          <w:tcPr>
            <w:tcW w:w="0" w:type="auto"/>
            <w:tcBorders>
              <w:top w:val="nil"/>
              <w:left w:val="nil"/>
              <w:bottom w:val="nil"/>
              <w:right w:val="nil"/>
            </w:tcBorders>
            <w:shd w:val="clear" w:color="auto" w:fill="auto"/>
            <w:noWrap/>
            <w:vAlign w:val="center"/>
            <w:hideMark/>
          </w:tcPr>
          <w:p w14:paraId="5056BF56"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59,92</w:t>
            </w:r>
          </w:p>
        </w:tc>
        <w:tc>
          <w:tcPr>
            <w:tcW w:w="0" w:type="auto"/>
            <w:tcBorders>
              <w:top w:val="nil"/>
              <w:left w:val="nil"/>
              <w:bottom w:val="nil"/>
              <w:right w:val="nil"/>
            </w:tcBorders>
            <w:shd w:val="clear" w:color="auto" w:fill="auto"/>
            <w:noWrap/>
            <w:vAlign w:val="center"/>
            <w:hideMark/>
          </w:tcPr>
          <w:p w14:paraId="2AF72926"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73,54</w:t>
            </w:r>
          </w:p>
        </w:tc>
        <w:tc>
          <w:tcPr>
            <w:tcW w:w="0" w:type="auto"/>
            <w:tcBorders>
              <w:top w:val="nil"/>
              <w:left w:val="nil"/>
              <w:bottom w:val="nil"/>
              <w:right w:val="single" w:sz="8" w:space="0" w:color="95B3D7"/>
            </w:tcBorders>
            <w:shd w:val="clear" w:color="auto" w:fill="auto"/>
            <w:noWrap/>
            <w:vAlign w:val="center"/>
            <w:hideMark/>
          </w:tcPr>
          <w:p w14:paraId="66F267A6"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71,67</w:t>
            </w:r>
          </w:p>
        </w:tc>
      </w:tr>
      <w:tr w:rsidR="00123EA5" w:rsidRPr="00123EA5" w14:paraId="2491848D" w14:textId="77777777" w:rsidTr="00445180">
        <w:trPr>
          <w:trHeight w:val="315"/>
        </w:trPr>
        <w:tc>
          <w:tcPr>
            <w:tcW w:w="0" w:type="auto"/>
            <w:tcBorders>
              <w:top w:val="nil"/>
              <w:left w:val="single" w:sz="8" w:space="0" w:color="95B3D7"/>
              <w:bottom w:val="single" w:sz="8" w:space="0" w:color="95B3D7"/>
              <w:right w:val="nil"/>
            </w:tcBorders>
            <w:shd w:val="clear" w:color="auto" w:fill="auto"/>
            <w:noWrap/>
            <w:vAlign w:val="center"/>
            <w:hideMark/>
          </w:tcPr>
          <w:p w14:paraId="3A722C8C" w14:textId="77777777" w:rsidR="00123EA5" w:rsidRPr="00123EA5" w:rsidRDefault="00123EA5" w:rsidP="00123EA5">
            <w:pPr>
              <w:spacing w:after="0" w:line="240" w:lineRule="auto"/>
              <w:rPr>
                <w:rFonts w:ascii="Arial" w:eastAsia="Times New Roman" w:hAnsi="Arial" w:cs="Arial"/>
                <w:color w:val="000000"/>
                <w:sz w:val="18"/>
                <w:szCs w:val="18"/>
                <w:lang w:val="en-US"/>
              </w:rPr>
            </w:pPr>
            <w:r w:rsidRPr="00123EA5">
              <w:rPr>
                <w:rFonts w:ascii="Arial" w:eastAsia="Times New Roman" w:hAnsi="Arial" w:cs="Arial"/>
                <w:color w:val="000000"/>
                <w:sz w:val="18"/>
                <w:szCs w:val="18"/>
              </w:rPr>
              <w:t> </w:t>
            </w:r>
          </w:p>
        </w:tc>
        <w:tc>
          <w:tcPr>
            <w:tcW w:w="0" w:type="auto"/>
            <w:tcBorders>
              <w:top w:val="nil"/>
              <w:left w:val="nil"/>
              <w:bottom w:val="single" w:sz="8" w:space="0" w:color="95B3D7"/>
              <w:right w:val="nil"/>
            </w:tcBorders>
            <w:shd w:val="clear" w:color="auto" w:fill="auto"/>
            <w:noWrap/>
            <w:vAlign w:val="center"/>
            <w:hideMark/>
          </w:tcPr>
          <w:p w14:paraId="4923BE91" w14:textId="77777777" w:rsidR="00123EA5" w:rsidRPr="00123EA5" w:rsidRDefault="00123EA5" w:rsidP="00123EA5">
            <w:pPr>
              <w:spacing w:after="0" w:line="240" w:lineRule="auto"/>
              <w:rPr>
                <w:rFonts w:ascii="Arial" w:eastAsia="Times New Roman" w:hAnsi="Arial" w:cs="Arial"/>
                <w:color w:val="000000"/>
                <w:sz w:val="18"/>
                <w:szCs w:val="18"/>
                <w:lang w:val="en-US"/>
              </w:rPr>
            </w:pPr>
            <w:r w:rsidRPr="00123EA5">
              <w:rPr>
                <w:rFonts w:ascii="Arial" w:eastAsia="Times New Roman" w:hAnsi="Arial" w:cs="Arial"/>
                <w:color w:val="000000"/>
                <w:sz w:val="18"/>
                <w:szCs w:val="18"/>
              </w:rPr>
              <w:t>Trezorski zapisi (% ukupnog duga)</w:t>
            </w:r>
          </w:p>
        </w:tc>
        <w:tc>
          <w:tcPr>
            <w:tcW w:w="0" w:type="auto"/>
            <w:tcBorders>
              <w:top w:val="nil"/>
              <w:left w:val="nil"/>
              <w:bottom w:val="single" w:sz="8" w:space="0" w:color="95B3D7"/>
              <w:right w:val="nil"/>
            </w:tcBorders>
            <w:shd w:val="clear" w:color="auto" w:fill="auto"/>
            <w:noWrap/>
            <w:vAlign w:val="center"/>
            <w:hideMark/>
          </w:tcPr>
          <w:p w14:paraId="7B5293FE"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0,83</w:t>
            </w:r>
          </w:p>
        </w:tc>
        <w:tc>
          <w:tcPr>
            <w:tcW w:w="0" w:type="auto"/>
            <w:tcBorders>
              <w:top w:val="nil"/>
              <w:left w:val="nil"/>
              <w:bottom w:val="single" w:sz="8" w:space="0" w:color="95B3D7"/>
              <w:right w:val="nil"/>
            </w:tcBorders>
            <w:shd w:val="clear" w:color="auto" w:fill="auto"/>
            <w:noWrap/>
            <w:vAlign w:val="center"/>
            <w:hideMark/>
          </w:tcPr>
          <w:p w14:paraId="2A0476E1"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2,64</w:t>
            </w:r>
          </w:p>
        </w:tc>
        <w:tc>
          <w:tcPr>
            <w:tcW w:w="0" w:type="auto"/>
            <w:tcBorders>
              <w:top w:val="nil"/>
              <w:left w:val="nil"/>
              <w:bottom w:val="single" w:sz="8" w:space="0" w:color="95B3D7"/>
              <w:right w:val="nil"/>
            </w:tcBorders>
            <w:shd w:val="clear" w:color="auto" w:fill="auto"/>
            <w:noWrap/>
            <w:vAlign w:val="center"/>
            <w:hideMark/>
          </w:tcPr>
          <w:p w14:paraId="0851561B"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1,59</w:t>
            </w:r>
          </w:p>
        </w:tc>
        <w:tc>
          <w:tcPr>
            <w:tcW w:w="0" w:type="auto"/>
            <w:tcBorders>
              <w:top w:val="nil"/>
              <w:left w:val="nil"/>
              <w:bottom w:val="single" w:sz="8" w:space="0" w:color="95B3D7"/>
              <w:right w:val="nil"/>
            </w:tcBorders>
            <w:shd w:val="clear" w:color="auto" w:fill="auto"/>
            <w:noWrap/>
            <w:vAlign w:val="center"/>
            <w:hideMark/>
          </w:tcPr>
          <w:p w14:paraId="3360FE69"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1,94</w:t>
            </w:r>
          </w:p>
        </w:tc>
        <w:tc>
          <w:tcPr>
            <w:tcW w:w="0" w:type="auto"/>
            <w:tcBorders>
              <w:top w:val="nil"/>
              <w:left w:val="nil"/>
              <w:bottom w:val="single" w:sz="8" w:space="0" w:color="95B3D7"/>
              <w:right w:val="single" w:sz="8" w:space="0" w:color="95B3D7"/>
            </w:tcBorders>
            <w:shd w:val="clear" w:color="auto" w:fill="auto"/>
            <w:noWrap/>
            <w:vAlign w:val="center"/>
            <w:hideMark/>
          </w:tcPr>
          <w:p w14:paraId="2B0CC941"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0,00</w:t>
            </w:r>
          </w:p>
        </w:tc>
      </w:tr>
      <w:tr w:rsidR="00123EA5" w:rsidRPr="00123EA5" w14:paraId="5D449F92" w14:textId="77777777" w:rsidTr="00445180">
        <w:trPr>
          <w:trHeight w:val="315"/>
        </w:trPr>
        <w:tc>
          <w:tcPr>
            <w:tcW w:w="0" w:type="auto"/>
            <w:vMerge w:val="restart"/>
            <w:tcBorders>
              <w:top w:val="nil"/>
              <w:left w:val="single" w:sz="8" w:space="0" w:color="95B3D7"/>
              <w:bottom w:val="single" w:sz="8" w:space="0" w:color="95B3D7"/>
              <w:right w:val="nil"/>
            </w:tcBorders>
            <w:shd w:val="clear" w:color="auto" w:fill="auto"/>
            <w:noWrap/>
            <w:vAlign w:val="center"/>
            <w:hideMark/>
          </w:tcPr>
          <w:p w14:paraId="7D96E910" w14:textId="77777777" w:rsidR="00123EA5" w:rsidRPr="00123EA5" w:rsidRDefault="00123EA5" w:rsidP="00123EA5">
            <w:pPr>
              <w:spacing w:after="0" w:line="240" w:lineRule="auto"/>
              <w:rPr>
                <w:rFonts w:ascii="Arial" w:eastAsia="Times New Roman" w:hAnsi="Arial" w:cs="Arial"/>
                <w:color w:val="000000"/>
                <w:sz w:val="18"/>
                <w:szCs w:val="18"/>
                <w:lang w:val="en-US"/>
              </w:rPr>
            </w:pPr>
            <w:r w:rsidRPr="00123EA5">
              <w:rPr>
                <w:rFonts w:ascii="Arial" w:eastAsia="Times New Roman" w:hAnsi="Arial" w:cs="Arial"/>
                <w:color w:val="000000"/>
                <w:sz w:val="18"/>
                <w:szCs w:val="18"/>
              </w:rPr>
              <w:t>Devizni rizik</w:t>
            </w:r>
          </w:p>
        </w:tc>
        <w:tc>
          <w:tcPr>
            <w:tcW w:w="0" w:type="auto"/>
            <w:tcBorders>
              <w:top w:val="nil"/>
              <w:left w:val="nil"/>
              <w:bottom w:val="nil"/>
              <w:right w:val="nil"/>
            </w:tcBorders>
            <w:shd w:val="clear" w:color="auto" w:fill="auto"/>
            <w:noWrap/>
            <w:vAlign w:val="center"/>
            <w:hideMark/>
          </w:tcPr>
          <w:p w14:paraId="217814D5" w14:textId="77777777" w:rsidR="00123EA5" w:rsidRPr="00123EA5" w:rsidRDefault="00123EA5" w:rsidP="00123EA5">
            <w:pPr>
              <w:spacing w:after="0" w:line="240" w:lineRule="auto"/>
              <w:rPr>
                <w:rFonts w:ascii="Arial" w:eastAsia="Times New Roman" w:hAnsi="Arial" w:cs="Arial"/>
                <w:color w:val="000000"/>
                <w:sz w:val="18"/>
                <w:szCs w:val="18"/>
                <w:lang w:val="en-US"/>
              </w:rPr>
            </w:pPr>
            <w:r w:rsidRPr="00123EA5">
              <w:rPr>
                <w:rFonts w:ascii="Arial" w:eastAsia="Times New Roman" w:hAnsi="Arial" w:cs="Arial"/>
                <w:color w:val="000000"/>
                <w:sz w:val="18"/>
                <w:szCs w:val="18"/>
              </w:rPr>
              <w:t>Devizni dug u % ukupnog duga</w:t>
            </w:r>
          </w:p>
        </w:tc>
        <w:tc>
          <w:tcPr>
            <w:tcW w:w="0" w:type="auto"/>
            <w:tcBorders>
              <w:top w:val="nil"/>
              <w:left w:val="nil"/>
              <w:bottom w:val="nil"/>
              <w:right w:val="nil"/>
            </w:tcBorders>
            <w:shd w:val="clear" w:color="auto" w:fill="auto"/>
            <w:noWrap/>
            <w:vAlign w:val="center"/>
            <w:hideMark/>
          </w:tcPr>
          <w:p w14:paraId="16C3F956"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87,76</w:t>
            </w:r>
          </w:p>
        </w:tc>
        <w:tc>
          <w:tcPr>
            <w:tcW w:w="0" w:type="auto"/>
            <w:tcBorders>
              <w:top w:val="nil"/>
              <w:left w:val="nil"/>
              <w:bottom w:val="nil"/>
              <w:right w:val="nil"/>
            </w:tcBorders>
            <w:shd w:val="clear" w:color="auto" w:fill="auto"/>
            <w:noWrap/>
            <w:vAlign w:val="center"/>
            <w:hideMark/>
          </w:tcPr>
          <w:p w14:paraId="7741166E"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81,28</w:t>
            </w:r>
          </w:p>
        </w:tc>
        <w:tc>
          <w:tcPr>
            <w:tcW w:w="0" w:type="auto"/>
            <w:tcBorders>
              <w:top w:val="nil"/>
              <w:left w:val="nil"/>
              <w:bottom w:val="nil"/>
              <w:right w:val="nil"/>
            </w:tcBorders>
            <w:shd w:val="clear" w:color="auto" w:fill="auto"/>
            <w:noWrap/>
            <w:vAlign w:val="center"/>
            <w:hideMark/>
          </w:tcPr>
          <w:p w14:paraId="17067106"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81,32</w:t>
            </w:r>
          </w:p>
        </w:tc>
        <w:tc>
          <w:tcPr>
            <w:tcW w:w="0" w:type="auto"/>
            <w:tcBorders>
              <w:top w:val="nil"/>
              <w:left w:val="nil"/>
              <w:bottom w:val="nil"/>
              <w:right w:val="nil"/>
            </w:tcBorders>
            <w:shd w:val="clear" w:color="auto" w:fill="auto"/>
            <w:noWrap/>
            <w:vAlign w:val="center"/>
            <w:hideMark/>
          </w:tcPr>
          <w:p w14:paraId="6D2ABEC8"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79,77</w:t>
            </w:r>
          </w:p>
        </w:tc>
        <w:tc>
          <w:tcPr>
            <w:tcW w:w="0" w:type="auto"/>
            <w:tcBorders>
              <w:top w:val="nil"/>
              <w:left w:val="nil"/>
              <w:bottom w:val="nil"/>
              <w:right w:val="single" w:sz="8" w:space="0" w:color="95B3D7"/>
            </w:tcBorders>
            <w:shd w:val="clear" w:color="auto" w:fill="auto"/>
            <w:noWrap/>
            <w:vAlign w:val="center"/>
            <w:hideMark/>
          </w:tcPr>
          <w:p w14:paraId="1BE5E310"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93,71</w:t>
            </w:r>
          </w:p>
        </w:tc>
      </w:tr>
      <w:tr w:rsidR="00123EA5" w:rsidRPr="00123EA5" w14:paraId="79A911B8" w14:textId="77777777" w:rsidTr="00445180">
        <w:trPr>
          <w:trHeight w:val="315"/>
        </w:trPr>
        <w:tc>
          <w:tcPr>
            <w:tcW w:w="0" w:type="auto"/>
            <w:vMerge/>
            <w:tcBorders>
              <w:top w:val="nil"/>
              <w:left w:val="single" w:sz="8" w:space="0" w:color="95B3D7"/>
              <w:bottom w:val="single" w:sz="8" w:space="0" w:color="95B3D7"/>
              <w:right w:val="nil"/>
            </w:tcBorders>
            <w:vAlign w:val="center"/>
            <w:hideMark/>
          </w:tcPr>
          <w:p w14:paraId="2CAA9E2C" w14:textId="77777777" w:rsidR="00123EA5" w:rsidRPr="00123EA5" w:rsidRDefault="00123EA5" w:rsidP="00123EA5">
            <w:pPr>
              <w:spacing w:after="0" w:line="240" w:lineRule="auto"/>
              <w:rPr>
                <w:rFonts w:ascii="Arial" w:eastAsia="Times New Roman" w:hAnsi="Arial" w:cs="Arial"/>
                <w:color w:val="000000"/>
                <w:sz w:val="18"/>
                <w:szCs w:val="18"/>
                <w:lang w:val="en-US"/>
              </w:rPr>
            </w:pPr>
          </w:p>
        </w:tc>
        <w:tc>
          <w:tcPr>
            <w:tcW w:w="0" w:type="auto"/>
            <w:tcBorders>
              <w:top w:val="nil"/>
              <w:left w:val="nil"/>
              <w:bottom w:val="single" w:sz="8" w:space="0" w:color="95B3D7"/>
              <w:right w:val="nil"/>
            </w:tcBorders>
            <w:shd w:val="clear" w:color="auto" w:fill="auto"/>
            <w:noWrap/>
            <w:vAlign w:val="center"/>
            <w:hideMark/>
          </w:tcPr>
          <w:p w14:paraId="2882DAAC" w14:textId="77777777" w:rsidR="00123EA5" w:rsidRPr="00123EA5" w:rsidRDefault="00123EA5" w:rsidP="00123EA5">
            <w:pPr>
              <w:spacing w:after="0" w:line="240" w:lineRule="auto"/>
              <w:rPr>
                <w:rFonts w:ascii="Arial" w:eastAsia="Times New Roman" w:hAnsi="Arial" w:cs="Arial"/>
                <w:color w:val="000000"/>
                <w:sz w:val="18"/>
                <w:szCs w:val="18"/>
                <w:lang w:val="en-US"/>
              </w:rPr>
            </w:pPr>
            <w:r w:rsidRPr="00123EA5">
              <w:rPr>
                <w:rFonts w:ascii="Arial" w:eastAsia="Times New Roman" w:hAnsi="Arial" w:cs="Arial"/>
                <w:color w:val="000000"/>
                <w:sz w:val="18"/>
                <w:szCs w:val="18"/>
              </w:rPr>
              <w:t>Kratkoročni devizni dug u % rezervi</w:t>
            </w:r>
          </w:p>
        </w:tc>
        <w:tc>
          <w:tcPr>
            <w:tcW w:w="0" w:type="auto"/>
            <w:tcBorders>
              <w:top w:val="nil"/>
              <w:left w:val="nil"/>
              <w:bottom w:val="single" w:sz="8" w:space="0" w:color="95B3D7"/>
              <w:right w:val="nil"/>
            </w:tcBorders>
            <w:shd w:val="clear" w:color="auto" w:fill="auto"/>
            <w:noWrap/>
            <w:vAlign w:val="center"/>
            <w:hideMark/>
          </w:tcPr>
          <w:p w14:paraId="3F0BC669"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3,03</w:t>
            </w:r>
          </w:p>
        </w:tc>
        <w:tc>
          <w:tcPr>
            <w:tcW w:w="0" w:type="auto"/>
            <w:tcBorders>
              <w:top w:val="nil"/>
              <w:left w:val="nil"/>
              <w:bottom w:val="single" w:sz="8" w:space="0" w:color="95B3D7"/>
              <w:right w:val="nil"/>
            </w:tcBorders>
            <w:shd w:val="clear" w:color="auto" w:fill="auto"/>
            <w:noWrap/>
            <w:vAlign w:val="center"/>
            <w:hideMark/>
          </w:tcPr>
          <w:p w14:paraId="41C78063" w14:textId="77777777" w:rsidR="00123EA5" w:rsidRPr="00123EA5" w:rsidRDefault="00123EA5" w:rsidP="00123EA5">
            <w:pPr>
              <w:spacing w:after="0" w:line="240" w:lineRule="auto"/>
              <w:jc w:val="center"/>
              <w:rPr>
                <w:rFonts w:ascii="Arial Narrow" w:eastAsia="Times New Roman" w:hAnsi="Arial Narrow" w:cs="Calibri"/>
                <w:b/>
                <w:bCs/>
                <w:i/>
                <w:iCs/>
                <w:color w:val="000000"/>
                <w:sz w:val="18"/>
                <w:szCs w:val="18"/>
                <w:lang w:val="en-US"/>
              </w:rPr>
            </w:pPr>
            <w:r w:rsidRPr="00123EA5">
              <w:rPr>
                <w:rFonts w:ascii="Arial Narrow" w:eastAsia="Times New Roman" w:hAnsi="Arial Narrow" w:cs="Calibri"/>
                <w:b/>
                <w:bCs/>
                <w:i/>
                <w:iCs/>
                <w:color w:val="000000"/>
                <w:sz w:val="18"/>
                <w:szCs w:val="18"/>
                <w:lang w:val="en-US"/>
              </w:rPr>
              <w:t>3,26</w:t>
            </w:r>
          </w:p>
        </w:tc>
        <w:tc>
          <w:tcPr>
            <w:tcW w:w="0" w:type="auto"/>
            <w:tcBorders>
              <w:top w:val="nil"/>
              <w:left w:val="nil"/>
              <w:bottom w:val="single" w:sz="8" w:space="0" w:color="95B3D7"/>
              <w:right w:val="nil"/>
            </w:tcBorders>
            <w:shd w:val="clear" w:color="auto" w:fill="auto"/>
            <w:noWrap/>
            <w:vAlign w:val="center"/>
            <w:hideMark/>
          </w:tcPr>
          <w:p w14:paraId="1D95326E"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3,26</w:t>
            </w:r>
          </w:p>
        </w:tc>
        <w:tc>
          <w:tcPr>
            <w:tcW w:w="0" w:type="auto"/>
            <w:tcBorders>
              <w:top w:val="nil"/>
              <w:left w:val="nil"/>
              <w:bottom w:val="single" w:sz="8" w:space="0" w:color="95B3D7"/>
              <w:right w:val="nil"/>
            </w:tcBorders>
            <w:shd w:val="clear" w:color="auto" w:fill="auto"/>
            <w:noWrap/>
            <w:vAlign w:val="center"/>
            <w:hideMark/>
          </w:tcPr>
          <w:p w14:paraId="7FBC5EFA"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3,26</w:t>
            </w:r>
          </w:p>
        </w:tc>
        <w:tc>
          <w:tcPr>
            <w:tcW w:w="0" w:type="auto"/>
            <w:tcBorders>
              <w:top w:val="nil"/>
              <w:left w:val="nil"/>
              <w:bottom w:val="single" w:sz="8" w:space="0" w:color="95B3D7"/>
              <w:right w:val="single" w:sz="8" w:space="0" w:color="95B3D7"/>
            </w:tcBorders>
            <w:shd w:val="clear" w:color="auto" w:fill="auto"/>
            <w:noWrap/>
            <w:vAlign w:val="center"/>
            <w:hideMark/>
          </w:tcPr>
          <w:p w14:paraId="7894A5C9" w14:textId="77777777" w:rsidR="00123EA5" w:rsidRPr="00123EA5" w:rsidRDefault="00123EA5" w:rsidP="00123EA5">
            <w:pPr>
              <w:spacing w:after="0" w:line="240" w:lineRule="auto"/>
              <w:jc w:val="center"/>
              <w:rPr>
                <w:rFonts w:ascii="Arial Narrow" w:eastAsia="Times New Roman" w:hAnsi="Arial Narrow" w:cs="Calibri"/>
                <w:color w:val="000000"/>
                <w:sz w:val="18"/>
                <w:szCs w:val="18"/>
                <w:lang w:val="en-US"/>
              </w:rPr>
            </w:pPr>
            <w:r w:rsidRPr="00123EA5">
              <w:rPr>
                <w:rFonts w:ascii="Arial Narrow" w:eastAsia="Times New Roman" w:hAnsi="Arial Narrow" w:cs="Calibri"/>
                <w:color w:val="000000"/>
                <w:sz w:val="18"/>
                <w:szCs w:val="18"/>
                <w:lang w:val="en-US"/>
              </w:rPr>
              <w:t>3,26</w:t>
            </w:r>
          </w:p>
        </w:tc>
      </w:tr>
    </w:tbl>
    <w:p w14:paraId="38F542AF" w14:textId="77777777" w:rsidR="00123EA5" w:rsidRDefault="00123EA5" w:rsidP="00AF3981">
      <w:pPr>
        <w:spacing w:after="0" w:line="240" w:lineRule="auto"/>
        <w:jc w:val="both"/>
        <w:rPr>
          <w:rFonts w:ascii="Arial" w:hAnsi="Arial" w:cs="Arial"/>
          <w:color w:val="FF0000"/>
        </w:rPr>
      </w:pPr>
    </w:p>
    <w:p w14:paraId="32E767B5" w14:textId="77777777" w:rsidR="00123EA5" w:rsidRDefault="00123EA5" w:rsidP="00AF3981">
      <w:pPr>
        <w:spacing w:after="0" w:line="240" w:lineRule="auto"/>
        <w:jc w:val="both"/>
        <w:rPr>
          <w:rFonts w:ascii="Arial" w:hAnsi="Arial" w:cs="Arial"/>
        </w:rPr>
      </w:pPr>
    </w:p>
    <w:p w14:paraId="55A8E843" w14:textId="77777777" w:rsidR="004B35EC" w:rsidRDefault="004B35EC" w:rsidP="00AF3981">
      <w:pPr>
        <w:spacing w:after="0" w:line="240" w:lineRule="auto"/>
        <w:jc w:val="both"/>
        <w:rPr>
          <w:rFonts w:ascii="Arial" w:hAnsi="Arial" w:cs="Arial"/>
        </w:rPr>
      </w:pPr>
    </w:p>
    <w:p w14:paraId="514AC5BB" w14:textId="77777777" w:rsidR="00CA710D" w:rsidRPr="005269DA" w:rsidRDefault="00CA710D" w:rsidP="00AF3981">
      <w:pPr>
        <w:spacing w:after="0" w:line="240" w:lineRule="auto"/>
        <w:jc w:val="both"/>
        <w:rPr>
          <w:rFonts w:ascii="Arial" w:hAnsi="Arial" w:cs="Arial"/>
          <w:sz w:val="18"/>
          <w:szCs w:val="24"/>
        </w:rPr>
      </w:pPr>
    </w:p>
    <w:p w14:paraId="6116669E" w14:textId="77777777" w:rsidR="00CA710D" w:rsidRDefault="00CA710D" w:rsidP="00773274">
      <w:pPr>
        <w:spacing w:after="0"/>
        <w:ind w:firstLine="426"/>
        <w:jc w:val="both"/>
        <w:rPr>
          <w:rFonts w:ascii="Arial" w:hAnsi="Arial" w:cs="Arial"/>
          <w:szCs w:val="24"/>
        </w:rPr>
      </w:pPr>
    </w:p>
    <w:p w14:paraId="25EFA560" w14:textId="7AB913A3" w:rsidR="00C237B0" w:rsidRDefault="00D41C1F" w:rsidP="00773274">
      <w:pPr>
        <w:spacing w:after="0"/>
        <w:ind w:firstLine="426"/>
        <w:jc w:val="both"/>
        <w:rPr>
          <w:rFonts w:ascii="Arial" w:hAnsi="Arial" w:cs="Arial"/>
          <w:szCs w:val="24"/>
        </w:rPr>
      </w:pPr>
      <w:r>
        <w:rPr>
          <w:rFonts w:ascii="Arial" w:hAnsi="Arial" w:cs="Arial"/>
          <w:szCs w:val="24"/>
        </w:rPr>
        <w:lastRenderedPageBreak/>
        <w:t>Uspoređujući</w:t>
      </w:r>
      <w:r w:rsidR="00ED768D" w:rsidRPr="00CA710D">
        <w:rPr>
          <w:rFonts w:ascii="Arial" w:hAnsi="Arial" w:cs="Arial"/>
          <w:szCs w:val="24"/>
        </w:rPr>
        <w:t xml:space="preserve"> indikatore </w:t>
      </w:r>
      <w:r>
        <w:rPr>
          <w:rFonts w:ascii="Arial" w:hAnsi="Arial" w:cs="Arial"/>
          <w:szCs w:val="24"/>
        </w:rPr>
        <w:t>rizika predloženih strategija s</w:t>
      </w:r>
      <w:r w:rsidR="00ED768D" w:rsidRPr="00CA710D">
        <w:rPr>
          <w:rFonts w:ascii="Arial" w:hAnsi="Arial" w:cs="Arial"/>
          <w:szCs w:val="24"/>
        </w:rPr>
        <w:t xml:space="preserve"> rizicima trenutnog </w:t>
      </w:r>
      <w:r w:rsidR="009A78EF">
        <w:rPr>
          <w:rFonts w:ascii="Arial" w:hAnsi="Arial" w:cs="Arial"/>
          <w:szCs w:val="24"/>
        </w:rPr>
        <w:t>portfelja</w:t>
      </w:r>
      <w:r w:rsidR="00ED768D" w:rsidRPr="00CA710D">
        <w:rPr>
          <w:rFonts w:ascii="Arial" w:hAnsi="Arial" w:cs="Arial"/>
          <w:szCs w:val="24"/>
        </w:rPr>
        <w:t xml:space="preserve"> duga, </w:t>
      </w:r>
      <w:r w:rsidR="009B1246" w:rsidRPr="00CA710D">
        <w:rPr>
          <w:rFonts w:ascii="Arial" w:hAnsi="Arial" w:cs="Arial"/>
          <w:szCs w:val="24"/>
        </w:rPr>
        <w:t>možemo zaključiti sl</w:t>
      </w:r>
      <w:r w:rsidR="00C237B0" w:rsidRPr="00CA710D">
        <w:rPr>
          <w:rFonts w:ascii="Arial" w:hAnsi="Arial" w:cs="Arial"/>
          <w:szCs w:val="24"/>
        </w:rPr>
        <w:t>jedeće:</w:t>
      </w:r>
    </w:p>
    <w:p w14:paraId="2076B0ED" w14:textId="77777777" w:rsidR="004457DE" w:rsidRPr="00AF7CAC" w:rsidRDefault="004457DE" w:rsidP="00773274">
      <w:pPr>
        <w:spacing w:after="0"/>
        <w:ind w:firstLine="426"/>
        <w:jc w:val="both"/>
        <w:rPr>
          <w:rFonts w:ascii="Arial" w:hAnsi="Arial" w:cs="Arial"/>
          <w:sz w:val="24"/>
          <w:szCs w:val="24"/>
        </w:rPr>
      </w:pPr>
    </w:p>
    <w:p w14:paraId="4B00AFED" w14:textId="44F5383B" w:rsidR="00C237B0" w:rsidRPr="004F7F20" w:rsidRDefault="008C05C4" w:rsidP="00773274">
      <w:pPr>
        <w:spacing w:after="0"/>
        <w:ind w:firstLine="426"/>
        <w:jc w:val="both"/>
        <w:rPr>
          <w:rFonts w:ascii="Arial" w:hAnsi="Arial" w:cs="Arial"/>
        </w:rPr>
      </w:pPr>
      <w:r w:rsidRPr="00D912D1">
        <w:rPr>
          <w:rFonts w:ascii="Arial" w:hAnsi="Arial" w:cs="Arial"/>
          <w:b/>
          <w:i/>
        </w:rPr>
        <w:t>Troškovi duga</w:t>
      </w:r>
      <w:r w:rsidRPr="004F7F20">
        <w:rPr>
          <w:rFonts w:ascii="Arial" w:hAnsi="Arial" w:cs="Arial"/>
        </w:rPr>
        <w:t xml:space="preserve"> – </w:t>
      </w:r>
      <w:r w:rsidR="00130799" w:rsidRPr="004F7F20">
        <w:rPr>
          <w:rFonts w:ascii="Arial" w:hAnsi="Arial" w:cs="Arial"/>
        </w:rPr>
        <w:t xml:space="preserve">Prosječna implicitna </w:t>
      </w:r>
      <w:r w:rsidR="009A78EF">
        <w:rPr>
          <w:rFonts w:ascii="Arial" w:hAnsi="Arial" w:cs="Arial"/>
        </w:rPr>
        <w:t>ponderir</w:t>
      </w:r>
      <w:r w:rsidR="00130799" w:rsidRPr="004F7F20">
        <w:rPr>
          <w:rFonts w:ascii="Arial" w:hAnsi="Arial" w:cs="Arial"/>
        </w:rPr>
        <w:t xml:space="preserve">ana kamatna stopa, imajući u vidu visinu </w:t>
      </w:r>
      <w:r w:rsidR="009A78EF">
        <w:rPr>
          <w:rFonts w:ascii="Arial" w:hAnsi="Arial" w:cs="Arial"/>
        </w:rPr>
        <w:t>financ</w:t>
      </w:r>
      <w:r w:rsidR="00130799" w:rsidRPr="004F7F20">
        <w:rPr>
          <w:rFonts w:ascii="Arial" w:hAnsi="Arial" w:cs="Arial"/>
        </w:rPr>
        <w:t xml:space="preserve">ijskih potreba i dostupne izvore </w:t>
      </w:r>
      <w:r w:rsidR="009A78EF">
        <w:rPr>
          <w:rFonts w:ascii="Arial" w:hAnsi="Arial" w:cs="Arial"/>
        </w:rPr>
        <w:t>financ</w:t>
      </w:r>
      <w:r w:rsidR="00130799" w:rsidRPr="004F7F20">
        <w:rPr>
          <w:rFonts w:ascii="Arial" w:hAnsi="Arial" w:cs="Arial"/>
        </w:rPr>
        <w:t>iranja u svim analiziranim strategijama se povećava i kreće se u rasponu od 1,</w:t>
      </w:r>
      <w:r w:rsidR="00130799" w:rsidRPr="00445180">
        <w:rPr>
          <w:rFonts w:ascii="Arial" w:hAnsi="Arial" w:cs="Arial"/>
        </w:rPr>
        <w:t>25</w:t>
      </w:r>
      <w:r w:rsidR="00130799" w:rsidRPr="00D912D1">
        <w:rPr>
          <w:rFonts w:ascii="Arial" w:hAnsi="Arial" w:cs="Arial"/>
        </w:rPr>
        <w:t>% - 2,</w:t>
      </w:r>
      <w:r w:rsidR="00130799" w:rsidRPr="00445180">
        <w:rPr>
          <w:rFonts w:ascii="Arial" w:hAnsi="Arial" w:cs="Arial"/>
        </w:rPr>
        <w:t>07</w:t>
      </w:r>
      <w:r w:rsidR="00130799" w:rsidRPr="00D912D1">
        <w:rPr>
          <w:rFonts w:ascii="Arial" w:hAnsi="Arial" w:cs="Arial"/>
        </w:rPr>
        <w:t>%, s tim da kod preferirane strategije S1 na kraju 202</w:t>
      </w:r>
      <w:r w:rsidR="00130799" w:rsidRPr="00445180">
        <w:rPr>
          <w:rFonts w:ascii="Arial" w:hAnsi="Arial" w:cs="Arial"/>
        </w:rPr>
        <w:t>4</w:t>
      </w:r>
      <w:r w:rsidR="00130799" w:rsidRPr="00D912D1">
        <w:rPr>
          <w:rFonts w:ascii="Arial" w:hAnsi="Arial" w:cs="Arial"/>
        </w:rPr>
        <w:t>. godine iznosi 1,</w:t>
      </w:r>
      <w:r w:rsidR="00130799" w:rsidRPr="00445180">
        <w:rPr>
          <w:rFonts w:ascii="Arial" w:hAnsi="Arial" w:cs="Arial"/>
        </w:rPr>
        <w:t>47</w:t>
      </w:r>
      <w:r w:rsidR="00130799" w:rsidRPr="00D912D1">
        <w:rPr>
          <w:rFonts w:ascii="Arial" w:hAnsi="Arial" w:cs="Arial"/>
        </w:rPr>
        <w:t>%.</w:t>
      </w:r>
      <w:r w:rsidR="00130799" w:rsidRPr="004F7F20">
        <w:rPr>
          <w:rFonts w:ascii="Arial" w:hAnsi="Arial" w:cs="Arial"/>
        </w:rPr>
        <w:t xml:space="preserve"> </w:t>
      </w:r>
    </w:p>
    <w:p w14:paraId="56134480" w14:textId="77777777" w:rsidR="002A2B25" w:rsidRPr="00445180" w:rsidRDefault="002A2B25" w:rsidP="00773274">
      <w:pPr>
        <w:spacing w:after="0"/>
        <w:ind w:firstLine="426"/>
        <w:jc w:val="both"/>
        <w:rPr>
          <w:rFonts w:ascii="Arial" w:hAnsi="Arial" w:cs="Arial"/>
          <w:highlight w:val="yellow"/>
        </w:rPr>
      </w:pPr>
    </w:p>
    <w:p w14:paraId="7899E85E" w14:textId="68087EE9" w:rsidR="00130799" w:rsidRPr="004F7F20" w:rsidRDefault="008C05C4" w:rsidP="00D912D1">
      <w:pPr>
        <w:spacing w:after="0"/>
        <w:ind w:firstLine="426"/>
        <w:jc w:val="both"/>
        <w:rPr>
          <w:rFonts w:ascii="Arial" w:hAnsi="Arial" w:cs="Arial"/>
        </w:rPr>
      </w:pPr>
      <w:r w:rsidRPr="00D912D1">
        <w:rPr>
          <w:rFonts w:ascii="Arial" w:hAnsi="Arial" w:cs="Arial"/>
          <w:b/>
          <w:i/>
        </w:rPr>
        <w:t>Rizik re</w:t>
      </w:r>
      <w:r w:rsidR="009A78EF">
        <w:rPr>
          <w:rFonts w:ascii="Arial" w:hAnsi="Arial" w:cs="Arial"/>
          <w:b/>
          <w:i/>
        </w:rPr>
        <w:t>financ</w:t>
      </w:r>
      <w:r w:rsidRPr="00D912D1">
        <w:rPr>
          <w:rFonts w:ascii="Arial" w:hAnsi="Arial" w:cs="Arial"/>
          <w:b/>
          <w:i/>
        </w:rPr>
        <w:t>iranja</w:t>
      </w:r>
      <w:r w:rsidRPr="004F7F20">
        <w:rPr>
          <w:rFonts w:ascii="Arial" w:hAnsi="Arial" w:cs="Arial"/>
        </w:rPr>
        <w:t xml:space="preserve"> – </w:t>
      </w:r>
      <w:r w:rsidR="00130799" w:rsidRPr="004F7F20">
        <w:rPr>
          <w:rFonts w:ascii="Arial" w:hAnsi="Arial" w:cs="Arial"/>
        </w:rPr>
        <w:t>Iznos  duga koji dospijeva u 2024. godini (1</w:t>
      </w:r>
      <w:r w:rsidR="00130799" w:rsidRPr="00445180">
        <w:rPr>
          <w:rFonts w:ascii="Arial" w:hAnsi="Arial" w:cs="Arial"/>
        </w:rPr>
        <w:t>3,63</w:t>
      </w:r>
      <w:r w:rsidR="00130799" w:rsidRPr="00D912D1">
        <w:rPr>
          <w:rFonts w:ascii="Arial" w:hAnsi="Arial" w:cs="Arial"/>
        </w:rPr>
        <w:t xml:space="preserve">%) je </w:t>
      </w:r>
      <w:r w:rsidR="00130799" w:rsidRPr="00445180">
        <w:rPr>
          <w:rFonts w:ascii="Arial" w:hAnsi="Arial" w:cs="Arial"/>
        </w:rPr>
        <w:t>veći</w:t>
      </w:r>
      <w:r w:rsidR="00130799" w:rsidRPr="00D912D1">
        <w:rPr>
          <w:rFonts w:ascii="Arial" w:hAnsi="Arial" w:cs="Arial"/>
        </w:rPr>
        <w:t xml:space="preserve"> u relativnom iznosu, u odnosu početni </w:t>
      </w:r>
      <w:r w:rsidR="009A78EF">
        <w:rPr>
          <w:rFonts w:ascii="Arial" w:hAnsi="Arial" w:cs="Arial"/>
        </w:rPr>
        <w:t>portfelj</w:t>
      </w:r>
      <w:r w:rsidR="00130799" w:rsidRPr="00D912D1">
        <w:rPr>
          <w:rFonts w:ascii="Arial" w:hAnsi="Arial" w:cs="Arial"/>
        </w:rPr>
        <w:t xml:space="preserve"> duga iz 202</w:t>
      </w:r>
      <w:r w:rsidR="00F677D2" w:rsidRPr="00445180">
        <w:rPr>
          <w:rFonts w:ascii="Arial" w:hAnsi="Arial" w:cs="Arial"/>
        </w:rPr>
        <w:t>1</w:t>
      </w:r>
      <w:r w:rsidR="00130799" w:rsidRPr="00D912D1">
        <w:rPr>
          <w:rFonts w:ascii="Arial" w:hAnsi="Arial" w:cs="Arial"/>
        </w:rPr>
        <w:t>. godine kada je iznosio 11,</w:t>
      </w:r>
      <w:r w:rsidR="00F677D2" w:rsidRPr="00445180">
        <w:rPr>
          <w:rFonts w:ascii="Arial" w:hAnsi="Arial" w:cs="Arial"/>
        </w:rPr>
        <w:t>46</w:t>
      </w:r>
      <w:r w:rsidR="00130799" w:rsidRPr="00D912D1">
        <w:rPr>
          <w:rFonts w:ascii="Arial" w:hAnsi="Arial" w:cs="Arial"/>
        </w:rPr>
        <w:t>%,</w:t>
      </w:r>
      <w:r w:rsidR="00F677D2" w:rsidRPr="00445180">
        <w:rPr>
          <w:rFonts w:ascii="Arial" w:hAnsi="Arial" w:cs="Arial"/>
        </w:rPr>
        <w:t xml:space="preserve"> s tim da se</w:t>
      </w:r>
      <w:r w:rsidR="00130799" w:rsidRPr="00D912D1">
        <w:rPr>
          <w:rFonts w:ascii="Arial" w:hAnsi="Arial" w:cs="Arial"/>
        </w:rPr>
        <w:t xml:space="preserve"> zadržao </w:t>
      </w:r>
      <w:r w:rsidR="00130799" w:rsidRPr="004F7F20">
        <w:rPr>
          <w:rFonts w:ascii="Arial" w:hAnsi="Arial" w:cs="Arial"/>
        </w:rPr>
        <w:t xml:space="preserve">ispod iznosa koji je u </w:t>
      </w:r>
      <w:r w:rsidR="005C1149" w:rsidRPr="004F7F20">
        <w:rPr>
          <w:rFonts w:ascii="Arial" w:hAnsi="Arial" w:cs="Arial"/>
        </w:rPr>
        <w:t>smjernicama</w:t>
      </w:r>
      <w:r w:rsidR="00130799" w:rsidRPr="004F7F20">
        <w:rPr>
          <w:rFonts w:ascii="Arial" w:hAnsi="Arial" w:cs="Arial"/>
        </w:rPr>
        <w:t xml:space="preserve"> o zaduživanju u cilju dostizanja poželjnog izgleda </w:t>
      </w:r>
      <w:r w:rsidR="009A78EF">
        <w:rPr>
          <w:rFonts w:ascii="Arial" w:hAnsi="Arial" w:cs="Arial"/>
        </w:rPr>
        <w:t>portfelja</w:t>
      </w:r>
      <w:r w:rsidR="00130799" w:rsidRPr="004F7F20">
        <w:rPr>
          <w:rFonts w:ascii="Arial" w:hAnsi="Arial" w:cs="Arial"/>
        </w:rPr>
        <w:t xml:space="preserve"> duga Federacije BiH, naveden kao gornja granica (15% ukupnog </w:t>
      </w:r>
      <w:r w:rsidR="009A78EF">
        <w:rPr>
          <w:rFonts w:ascii="Arial" w:hAnsi="Arial" w:cs="Arial"/>
        </w:rPr>
        <w:t>portfelja</w:t>
      </w:r>
      <w:r w:rsidR="00130799" w:rsidRPr="004F7F20">
        <w:rPr>
          <w:rFonts w:ascii="Arial" w:hAnsi="Arial" w:cs="Arial"/>
        </w:rPr>
        <w:t xml:space="preserve"> duga). </w:t>
      </w:r>
    </w:p>
    <w:p w14:paraId="437452ED" w14:textId="09819CF9" w:rsidR="00130799" w:rsidRPr="004F7F20" w:rsidRDefault="00130799" w:rsidP="00130799">
      <w:pPr>
        <w:spacing w:after="0"/>
        <w:ind w:firstLine="426"/>
        <w:jc w:val="both"/>
        <w:rPr>
          <w:rFonts w:ascii="Arial" w:hAnsi="Arial" w:cs="Arial"/>
        </w:rPr>
      </w:pPr>
      <w:r w:rsidRPr="004F7F20">
        <w:rPr>
          <w:rFonts w:ascii="Arial" w:hAnsi="Arial" w:cs="Arial"/>
        </w:rPr>
        <w:t xml:space="preserve">  Prosječno vrijeme do dospijeća (ATM) bi se povećalo u svim analiziranim strategijama i bilo bi u skladu s definiranim strateškim ciljevima. Najduže prosječno vrijeme do dospijeća bi bilo u strategiji S</w:t>
      </w:r>
      <w:r w:rsidR="00F677D2" w:rsidRPr="00445180">
        <w:rPr>
          <w:rFonts w:ascii="Arial" w:hAnsi="Arial" w:cs="Arial"/>
        </w:rPr>
        <w:t>3</w:t>
      </w:r>
      <w:r w:rsidRPr="00D912D1">
        <w:rPr>
          <w:rFonts w:ascii="Arial" w:hAnsi="Arial" w:cs="Arial"/>
        </w:rPr>
        <w:t xml:space="preserve"> i S</w:t>
      </w:r>
      <w:r w:rsidR="00F677D2" w:rsidRPr="00445180">
        <w:rPr>
          <w:rFonts w:ascii="Arial" w:hAnsi="Arial" w:cs="Arial"/>
        </w:rPr>
        <w:t>4</w:t>
      </w:r>
      <w:r w:rsidRPr="00D912D1">
        <w:rPr>
          <w:rFonts w:ascii="Arial" w:hAnsi="Arial" w:cs="Arial"/>
        </w:rPr>
        <w:t xml:space="preserve"> imajući u vidu strukturu otplate korištenih instrumenata duga. Implementacijom strategije S1 prosječno vrijeme dospijeća po</w:t>
      </w:r>
      <w:r w:rsidRPr="004F7F20">
        <w:rPr>
          <w:rFonts w:ascii="Arial" w:hAnsi="Arial" w:cs="Arial"/>
        </w:rPr>
        <w:t>rtf</w:t>
      </w:r>
      <w:r w:rsidR="005C1149">
        <w:rPr>
          <w:rFonts w:ascii="Arial" w:hAnsi="Arial" w:cs="Arial"/>
        </w:rPr>
        <w:t>elja</w:t>
      </w:r>
      <w:r w:rsidRPr="004F7F20">
        <w:rPr>
          <w:rFonts w:ascii="Arial" w:hAnsi="Arial" w:cs="Arial"/>
        </w:rPr>
        <w:t xml:space="preserve"> duga na kraju 2023. godine bi iznosilo 6,7 godina. </w:t>
      </w:r>
    </w:p>
    <w:p w14:paraId="609E1833" w14:textId="77777777" w:rsidR="00130799" w:rsidRPr="00445180" w:rsidRDefault="00130799" w:rsidP="00130799">
      <w:pPr>
        <w:spacing w:after="0"/>
        <w:ind w:firstLine="426"/>
        <w:jc w:val="both"/>
        <w:rPr>
          <w:rFonts w:ascii="Arial" w:hAnsi="Arial" w:cs="Arial"/>
          <w:highlight w:val="yellow"/>
        </w:rPr>
      </w:pPr>
    </w:p>
    <w:p w14:paraId="3EADB8B5" w14:textId="5974387E" w:rsidR="00130799" w:rsidRPr="00D912D1" w:rsidRDefault="00130799" w:rsidP="00445180">
      <w:pPr>
        <w:spacing w:after="0"/>
        <w:ind w:firstLine="426"/>
        <w:jc w:val="both"/>
        <w:rPr>
          <w:rFonts w:ascii="Arial" w:hAnsi="Arial" w:cs="Arial"/>
        </w:rPr>
      </w:pPr>
      <w:r w:rsidRPr="00D912D1">
        <w:rPr>
          <w:rFonts w:ascii="Arial" w:hAnsi="Arial" w:cs="Arial"/>
          <w:b/>
          <w:i/>
        </w:rPr>
        <w:t>Kamatni rizik</w:t>
      </w:r>
      <w:r w:rsidRPr="004F7F20">
        <w:rPr>
          <w:rFonts w:ascii="Arial" w:hAnsi="Arial" w:cs="Arial"/>
        </w:rPr>
        <w:t xml:space="preserve"> – Prosječno vrijeme refiksiranja se </w:t>
      </w:r>
      <w:r w:rsidR="00622ED7" w:rsidRPr="00445180">
        <w:rPr>
          <w:rFonts w:ascii="Arial" w:hAnsi="Arial" w:cs="Arial"/>
        </w:rPr>
        <w:t>povećava</w:t>
      </w:r>
      <w:r w:rsidRPr="00D912D1">
        <w:rPr>
          <w:rFonts w:ascii="Arial" w:hAnsi="Arial" w:cs="Arial"/>
        </w:rPr>
        <w:t xml:space="preserve"> u preferiranoj strategiji</w:t>
      </w:r>
      <w:r w:rsidR="00622ED7" w:rsidRPr="00445180">
        <w:rPr>
          <w:rFonts w:ascii="Arial" w:hAnsi="Arial" w:cs="Arial"/>
        </w:rPr>
        <w:t xml:space="preserve"> i iznosi 4,28 godina, u odnosu na početno potrebno vrijeme od 4,15 godina.</w:t>
      </w:r>
      <w:r w:rsidR="004457DE">
        <w:rPr>
          <w:rFonts w:ascii="Arial" w:hAnsi="Arial" w:cs="Arial"/>
        </w:rPr>
        <w:t xml:space="preserve"> </w:t>
      </w:r>
      <w:r w:rsidRPr="004F7F20">
        <w:rPr>
          <w:rFonts w:ascii="Arial" w:hAnsi="Arial" w:cs="Arial"/>
        </w:rPr>
        <w:t xml:space="preserve">Udio duga s fiksnim kamatnim stopama uključujući i trezorske zapise, u preferiranoj strategiji bi se </w:t>
      </w:r>
      <w:r w:rsidR="00622ED7" w:rsidRPr="00445180">
        <w:rPr>
          <w:rFonts w:ascii="Arial" w:hAnsi="Arial" w:cs="Arial"/>
        </w:rPr>
        <w:t>povećao</w:t>
      </w:r>
      <w:r w:rsidRPr="00D912D1">
        <w:rPr>
          <w:rFonts w:ascii="Arial" w:hAnsi="Arial" w:cs="Arial"/>
        </w:rPr>
        <w:t xml:space="preserve"> u odnosu na početni </w:t>
      </w:r>
      <w:r w:rsidR="009A78EF">
        <w:rPr>
          <w:rFonts w:ascii="Arial" w:hAnsi="Arial" w:cs="Arial"/>
        </w:rPr>
        <w:t>portfelj</w:t>
      </w:r>
      <w:r w:rsidRPr="00D912D1">
        <w:rPr>
          <w:rFonts w:ascii="Arial" w:hAnsi="Arial" w:cs="Arial"/>
        </w:rPr>
        <w:t xml:space="preserve"> duga i i</w:t>
      </w:r>
      <w:r w:rsidR="001C0FDB">
        <w:rPr>
          <w:rFonts w:ascii="Arial" w:hAnsi="Arial" w:cs="Arial"/>
        </w:rPr>
        <w:t>znosio bi</w:t>
      </w:r>
      <w:r w:rsidRPr="00D912D1">
        <w:rPr>
          <w:rFonts w:ascii="Arial" w:hAnsi="Arial" w:cs="Arial"/>
        </w:rPr>
        <w:t xml:space="preserve"> </w:t>
      </w:r>
      <w:r w:rsidR="00622ED7" w:rsidRPr="00445180">
        <w:rPr>
          <w:rFonts w:ascii="Arial" w:hAnsi="Arial" w:cs="Arial"/>
        </w:rPr>
        <w:t>65,42</w:t>
      </w:r>
      <w:r w:rsidRPr="00D912D1">
        <w:rPr>
          <w:rFonts w:ascii="Arial" w:hAnsi="Arial" w:cs="Arial"/>
        </w:rPr>
        <w:t>%.</w:t>
      </w:r>
      <w:r w:rsidR="00622ED7" w:rsidRPr="00445180">
        <w:rPr>
          <w:rFonts w:ascii="Arial" w:hAnsi="Arial" w:cs="Arial"/>
        </w:rPr>
        <w:t xml:space="preserve"> Strategij</w:t>
      </w:r>
      <w:r w:rsidR="004A5649" w:rsidRPr="00445180">
        <w:rPr>
          <w:rFonts w:ascii="Arial" w:hAnsi="Arial" w:cs="Arial"/>
        </w:rPr>
        <w:t>a</w:t>
      </w:r>
      <w:r w:rsidR="00622ED7" w:rsidRPr="00445180">
        <w:rPr>
          <w:rFonts w:ascii="Arial" w:hAnsi="Arial" w:cs="Arial"/>
        </w:rPr>
        <w:t xml:space="preserve"> </w:t>
      </w:r>
      <w:r w:rsidRPr="00D912D1">
        <w:rPr>
          <w:rFonts w:ascii="Arial" w:hAnsi="Arial" w:cs="Arial"/>
        </w:rPr>
        <w:t>S4 koj</w:t>
      </w:r>
      <w:r w:rsidR="00622ED7" w:rsidRPr="00445180">
        <w:rPr>
          <w:rFonts w:ascii="Arial" w:hAnsi="Arial" w:cs="Arial"/>
        </w:rPr>
        <w:t>a uzima</w:t>
      </w:r>
      <w:r w:rsidRPr="00D912D1">
        <w:rPr>
          <w:rFonts w:ascii="Arial" w:hAnsi="Arial" w:cs="Arial"/>
        </w:rPr>
        <w:t xml:space="preserve"> u obzir zaduživanje emisijama euroobveznica po fiksnim kamatnim stopama imaju znatno povoljniji AT</w:t>
      </w:r>
      <w:r w:rsidRPr="004F7F20">
        <w:rPr>
          <w:rFonts w:ascii="Arial" w:hAnsi="Arial" w:cs="Arial"/>
        </w:rPr>
        <w:t xml:space="preserve">R koji iznosi </w:t>
      </w:r>
      <w:r w:rsidR="004A5649" w:rsidRPr="00445180">
        <w:rPr>
          <w:rFonts w:ascii="Arial" w:hAnsi="Arial" w:cs="Arial"/>
        </w:rPr>
        <w:t>5,99 godina</w:t>
      </w:r>
      <w:r w:rsidRPr="00D912D1">
        <w:rPr>
          <w:rFonts w:ascii="Arial" w:hAnsi="Arial" w:cs="Arial"/>
        </w:rPr>
        <w:t>.</w:t>
      </w:r>
    </w:p>
    <w:p w14:paraId="2993CE4C" w14:textId="77777777" w:rsidR="00130799" w:rsidRPr="00445180" w:rsidRDefault="00130799" w:rsidP="00130799">
      <w:pPr>
        <w:spacing w:after="0"/>
        <w:ind w:firstLine="425"/>
        <w:jc w:val="both"/>
        <w:rPr>
          <w:rFonts w:ascii="Arial" w:hAnsi="Arial" w:cs="Arial"/>
          <w:highlight w:val="yellow"/>
        </w:rPr>
      </w:pPr>
    </w:p>
    <w:p w14:paraId="265E0B95" w14:textId="2C1BB946" w:rsidR="00130799" w:rsidRDefault="00130799" w:rsidP="00130799">
      <w:pPr>
        <w:spacing w:after="0"/>
        <w:ind w:firstLine="425"/>
        <w:jc w:val="both"/>
        <w:rPr>
          <w:rFonts w:ascii="Arial" w:hAnsi="Arial" w:cs="Arial"/>
          <w:i/>
        </w:rPr>
      </w:pPr>
      <w:r w:rsidRPr="00D912D1">
        <w:rPr>
          <w:rFonts w:ascii="Arial" w:hAnsi="Arial" w:cs="Arial"/>
        </w:rPr>
        <w:t xml:space="preserve"> </w:t>
      </w:r>
      <w:r w:rsidRPr="004F7F20">
        <w:rPr>
          <w:rFonts w:ascii="Arial" w:hAnsi="Arial" w:cs="Arial"/>
          <w:i/>
        </w:rPr>
        <w:t>Vlada Federacije BiH je izabrala</w:t>
      </w:r>
      <w:r w:rsidRPr="004F7F20">
        <w:rPr>
          <w:rFonts w:ascii="Arial" w:hAnsi="Arial" w:cs="Arial"/>
          <w:b/>
          <w:i/>
        </w:rPr>
        <w:t xml:space="preserve"> Strategiju S1</w:t>
      </w:r>
      <w:r w:rsidRPr="004F7F20">
        <w:rPr>
          <w:rFonts w:ascii="Arial" w:hAnsi="Arial" w:cs="Arial"/>
          <w:i/>
        </w:rPr>
        <w:t xml:space="preserve"> koju će provoditi u </w:t>
      </w:r>
      <w:r w:rsidR="00A31C4D">
        <w:rPr>
          <w:rFonts w:ascii="Arial" w:hAnsi="Arial" w:cs="Arial"/>
          <w:i/>
        </w:rPr>
        <w:t>razdoblju</w:t>
      </w:r>
      <w:r w:rsidRPr="004F7F20">
        <w:rPr>
          <w:rFonts w:ascii="Arial" w:hAnsi="Arial" w:cs="Arial"/>
          <w:i/>
        </w:rPr>
        <w:t xml:space="preserve"> 202</w:t>
      </w:r>
      <w:r w:rsidR="004A5649" w:rsidRPr="00445180">
        <w:rPr>
          <w:rFonts w:ascii="Arial" w:hAnsi="Arial" w:cs="Arial"/>
          <w:i/>
        </w:rPr>
        <w:t>2</w:t>
      </w:r>
      <w:r w:rsidRPr="00D912D1">
        <w:rPr>
          <w:rFonts w:ascii="Arial" w:hAnsi="Arial" w:cs="Arial"/>
          <w:i/>
        </w:rPr>
        <w:t>-202</w:t>
      </w:r>
      <w:r w:rsidR="004A5649" w:rsidRPr="00445180">
        <w:rPr>
          <w:rFonts w:ascii="Arial" w:hAnsi="Arial" w:cs="Arial"/>
          <w:i/>
        </w:rPr>
        <w:t>4</w:t>
      </w:r>
      <w:r w:rsidRPr="00D912D1">
        <w:rPr>
          <w:rFonts w:ascii="Arial" w:hAnsi="Arial" w:cs="Arial"/>
          <w:i/>
        </w:rPr>
        <w:t>. Izabrana strategija, odnosno indikatori rizika izabrane strategije S1 na kraju 202</w:t>
      </w:r>
      <w:r w:rsidR="004A5649" w:rsidRPr="00445180">
        <w:rPr>
          <w:rFonts w:ascii="Arial" w:hAnsi="Arial" w:cs="Arial"/>
          <w:i/>
        </w:rPr>
        <w:t>4</w:t>
      </w:r>
      <w:r w:rsidRPr="00D912D1">
        <w:rPr>
          <w:rFonts w:ascii="Arial" w:hAnsi="Arial" w:cs="Arial"/>
          <w:i/>
        </w:rPr>
        <w:t>. godine uglavnom su u skladu sa smjernicama za upravljanje dugom. Strategija S1 podrazumijeva implementaciju PJI 202</w:t>
      </w:r>
      <w:r w:rsidR="004A5649" w:rsidRPr="00445180">
        <w:rPr>
          <w:rFonts w:ascii="Arial" w:hAnsi="Arial" w:cs="Arial"/>
          <w:i/>
        </w:rPr>
        <w:t>2</w:t>
      </w:r>
      <w:r w:rsidRPr="00D912D1">
        <w:rPr>
          <w:rFonts w:ascii="Arial" w:hAnsi="Arial" w:cs="Arial"/>
          <w:i/>
        </w:rPr>
        <w:t>-202</w:t>
      </w:r>
      <w:r w:rsidR="004A5649" w:rsidRPr="00445180">
        <w:rPr>
          <w:rFonts w:ascii="Arial" w:hAnsi="Arial" w:cs="Arial"/>
          <w:i/>
        </w:rPr>
        <w:t>4</w:t>
      </w:r>
      <w:r w:rsidR="005C1149">
        <w:rPr>
          <w:rFonts w:ascii="Arial" w:hAnsi="Arial" w:cs="Arial"/>
          <w:i/>
        </w:rPr>
        <w:t xml:space="preserve"> u skladu s preporukama iz Strategije,</w:t>
      </w:r>
      <w:r w:rsidRPr="00D912D1">
        <w:rPr>
          <w:rFonts w:ascii="Arial" w:hAnsi="Arial" w:cs="Arial"/>
          <w:i/>
        </w:rPr>
        <w:t xml:space="preserve"> makro</w:t>
      </w:r>
      <w:r w:rsidR="009A78EF">
        <w:rPr>
          <w:rFonts w:ascii="Arial" w:hAnsi="Arial" w:cs="Arial"/>
          <w:i/>
        </w:rPr>
        <w:t>financ</w:t>
      </w:r>
      <w:r w:rsidRPr="00D912D1">
        <w:rPr>
          <w:rFonts w:ascii="Arial" w:hAnsi="Arial" w:cs="Arial"/>
          <w:i/>
        </w:rPr>
        <w:t xml:space="preserve">ijsku pomoć Europske unije te </w:t>
      </w:r>
      <w:r w:rsidR="005C1149" w:rsidRPr="00D912D1">
        <w:rPr>
          <w:rFonts w:ascii="Arial" w:hAnsi="Arial" w:cs="Arial"/>
          <w:i/>
        </w:rPr>
        <w:t>emitiranje</w:t>
      </w:r>
      <w:r w:rsidRPr="00D912D1">
        <w:rPr>
          <w:rFonts w:ascii="Arial" w:hAnsi="Arial" w:cs="Arial"/>
          <w:i/>
        </w:rPr>
        <w:t xml:space="preserve"> vrijednosnih papira na domaćem tržištu u cilju </w:t>
      </w:r>
      <w:r w:rsidR="009A78EF">
        <w:rPr>
          <w:rFonts w:ascii="Arial" w:hAnsi="Arial" w:cs="Arial"/>
          <w:i/>
        </w:rPr>
        <w:t>proračun</w:t>
      </w:r>
      <w:r w:rsidRPr="00D912D1">
        <w:rPr>
          <w:rFonts w:ascii="Arial" w:hAnsi="Arial" w:cs="Arial"/>
          <w:i/>
        </w:rPr>
        <w:t>ske podrške i re</w:t>
      </w:r>
      <w:r w:rsidR="009A78EF">
        <w:rPr>
          <w:rFonts w:ascii="Arial" w:hAnsi="Arial" w:cs="Arial"/>
          <w:i/>
        </w:rPr>
        <w:t>financ</w:t>
      </w:r>
      <w:r w:rsidRPr="00D912D1">
        <w:rPr>
          <w:rFonts w:ascii="Arial" w:hAnsi="Arial" w:cs="Arial"/>
          <w:i/>
        </w:rPr>
        <w:t>iranja postojećeg duga.</w:t>
      </w:r>
    </w:p>
    <w:p w14:paraId="3D96BE84" w14:textId="77777777" w:rsidR="002A2B25" w:rsidRPr="00CA710D" w:rsidRDefault="002A2B25" w:rsidP="00130799">
      <w:pPr>
        <w:spacing w:after="0"/>
        <w:ind w:firstLine="426"/>
        <w:jc w:val="both"/>
        <w:rPr>
          <w:rFonts w:ascii="Arial" w:hAnsi="Arial" w:cs="Arial"/>
        </w:rPr>
      </w:pPr>
    </w:p>
    <w:p w14:paraId="0D23844F" w14:textId="77777777" w:rsidR="006E7207" w:rsidRPr="00CA710D" w:rsidRDefault="006E7207" w:rsidP="00ED768D">
      <w:pPr>
        <w:spacing w:after="0"/>
        <w:rPr>
          <w:rFonts w:ascii="Arial" w:eastAsia="Times New Roman" w:hAnsi="Arial" w:cs="Arial"/>
          <w:lang w:eastAsia="bs-Latn-BA"/>
        </w:rPr>
      </w:pPr>
    </w:p>
    <w:p w14:paraId="269787D8" w14:textId="77777777" w:rsidR="00ED768D" w:rsidRPr="00D912D1" w:rsidRDefault="00ED768D" w:rsidP="00627D74">
      <w:pPr>
        <w:pStyle w:val="Heading1"/>
        <w:numPr>
          <w:ilvl w:val="0"/>
          <w:numId w:val="5"/>
        </w:numPr>
        <w:spacing w:before="0"/>
        <w:ind w:left="397" w:hanging="397"/>
        <w:rPr>
          <w:rFonts w:ascii="Arial" w:hAnsi="Arial" w:cs="Arial"/>
          <w:b w:val="0"/>
          <w:color w:val="auto"/>
          <w:sz w:val="22"/>
          <w:szCs w:val="22"/>
        </w:rPr>
      </w:pPr>
      <w:bookmarkStart w:id="151" w:name="_Toc100823767"/>
      <w:r w:rsidRPr="00D912D1">
        <w:rPr>
          <w:rFonts w:ascii="Arial" w:hAnsi="Arial" w:cs="Arial"/>
          <w:b w:val="0"/>
          <w:color w:val="auto"/>
          <w:sz w:val="22"/>
          <w:szCs w:val="22"/>
        </w:rPr>
        <w:t>SMJERNICE ZA UPRAVLJANJE DUGOM</w:t>
      </w:r>
      <w:bookmarkEnd w:id="151"/>
    </w:p>
    <w:p w14:paraId="1E432557" w14:textId="77777777" w:rsidR="00C242B6" w:rsidRPr="004F7F20" w:rsidRDefault="00C242B6" w:rsidP="000251A2">
      <w:pPr>
        <w:pStyle w:val="NoSpacing"/>
        <w:spacing w:line="276" w:lineRule="auto"/>
        <w:ind w:firstLine="284"/>
        <w:jc w:val="both"/>
        <w:rPr>
          <w:rFonts w:ascii="Arial" w:hAnsi="Arial" w:cs="Arial"/>
          <w:lang w:val="hr-HR"/>
        </w:rPr>
      </w:pPr>
    </w:p>
    <w:p w14:paraId="10FC331B" w14:textId="37DBE857" w:rsidR="000251A2" w:rsidRPr="004F7F20" w:rsidRDefault="000251A2" w:rsidP="005002B3">
      <w:pPr>
        <w:pStyle w:val="NoSpacing"/>
        <w:spacing w:line="276" w:lineRule="auto"/>
        <w:ind w:firstLine="284"/>
        <w:jc w:val="both"/>
        <w:rPr>
          <w:rFonts w:ascii="Arial" w:hAnsi="Arial" w:cs="Arial"/>
          <w:lang w:val="hr-HR"/>
        </w:rPr>
      </w:pPr>
      <w:r w:rsidRPr="004F7F20">
        <w:rPr>
          <w:rFonts w:ascii="Arial" w:hAnsi="Arial" w:cs="Arial"/>
          <w:lang w:val="hr-HR"/>
        </w:rPr>
        <w:t xml:space="preserve">U namjeri da se osiguraju sredstva za likvidnost </w:t>
      </w:r>
      <w:r w:rsidR="009A78EF">
        <w:rPr>
          <w:rFonts w:ascii="Arial" w:hAnsi="Arial" w:cs="Arial"/>
          <w:lang w:val="hr-HR"/>
        </w:rPr>
        <w:t>proračun</w:t>
      </w:r>
      <w:r w:rsidRPr="004F7F20">
        <w:rPr>
          <w:rFonts w:ascii="Arial" w:hAnsi="Arial" w:cs="Arial"/>
          <w:lang w:val="hr-HR"/>
        </w:rPr>
        <w:t xml:space="preserve">a, zadovolji tražnja i poveća likvidnost vladinih vrijednosnih papira, u narednom </w:t>
      </w:r>
      <w:r w:rsidR="00A31C4D">
        <w:rPr>
          <w:rFonts w:ascii="Arial" w:hAnsi="Arial" w:cs="Arial"/>
          <w:lang w:val="hr-HR"/>
        </w:rPr>
        <w:t>razdoblju</w:t>
      </w:r>
      <w:r w:rsidRPr="004F7F20">
        <w:rPr>
          <w:rFonts w:ascii="Arial" w:hAnsi="Arial" w:cs="Arial"/>
          <w:lang w:val="hr-HR"/>
        </w:rPr>
        <w:t xml:space="preserve"> Vlada F</w:t>
      </w:r>
      <w:r w:rsidR="006F76BC" w:rsidRPr="004F7F20">
        <w:rPr>
          <w:rFonts w:ascii="Arial" w:hAnsi="Arial" w:cs="Arial"/>
          <w:lang w:val="hr-HR"/>
        </w:rPr>
        <w:t xml:space="preserve">ederacije </w:t>
      </w:r>
      <w:r w:rsidRPr="004F7F20">
        <w:rPr>
          <w:rFonts w:ascii="Arial" w:hAnsi="Arial" w:cs="Arial"/>
          <w:lang w:val="hr-HR"/>
        </w:rPr>
        <w:t>BiH će nastaviti s izdavanjem trezorskih zapisa i obveznica u o</w:t>
      </w:r>
      <w:r w:rsidR="005C1149">
        <w:rPr>
          <w:rFonts w:ascii="Arial" w:hAnsi="Arial" w:cs="Arial"/>
          <w:lang w:val="hr-HR"/>
        </w:rPr>
        <w:t>psegu</w:t>
      </w:r>
      <w:r w:rsidRPr="004F7F20">
        <w:rPr>
          <w:rFonts w:ascii="Arial" w:hAnsi="Arial" w:cs="Arial"/>
          <w:lang w:val="hr-HR"/>
        </w:rPr>
        <w:t xml:space="preserve"> i dinamici koji će biti konzistentni s ovom srednjoročnom Strategijom. </w:t>
      </w:r>
    </w:p>
    <w:p w14:paraId="00F2F30A" w14:textId="375BBB08" w:rsidR="000251A2" w:rsidRPr="00CA710D" w:rsidRDefault="000251A2" w:rsidP="000251A2">
      <w:pPr>
        <w:pStyle w:val="Heading2"/>
        <w:ind w:left="993" w:hanging="709"/>
        <w:rPr>
          <w:rFonts w:ascii="Arial" w:hAnsi="Arial" w:cs="Arial"/>
          <w:b w:val="0"/>
          <w:color w:val="auto"/>
          <w:sz w:val="22"/>
          <w:szCs w:val="22"/>
        </w:rPr>
      </w:pPr>
      <w:bookmarkStart w:id="152" w:name="_Toc475345526"/>
      <w:bookmarkStart w:id="153" w:name="_Toc100823768"/>
      <w:r w:rsidRPr="004F7F20">
        <w:rPr>
          <w:rFonts w:ascii="Arial" w:hAnsi="Arial" w:cs="Arial"/>
          <w:b w:val="0"/>
          <w:color w:val="auto"/>
          <w:sz w:val="22"/>
          <w:szCs w:val="22"/>
        </w:rPr>
        <w:t>8.1</w:t>
      </w:r>
      <w:r w:rsidR="004457DE">
        <w:rPr>
          <w:rFonts w:ascii="Arial" w:hAnsi="Arial" w:cs="Arial"/>
          <w:b w:val="0"/>
          <w:color w:val="auto"/>
          <w:sz w:val="22"/>
          <w:szCs w:val="22"/>
        </w:rPr>
        <w:t>.</w:t>
      </w:r>
      <w:r w:rsidRPr="004F7F20">
        <w:rPr>
          <w:rFonts w:ascii="Arial" w:hAnsi="Arial" w:cs="Arial"/>
          <w:b w:val="0"/>
          <w:color w:val="auto"/>
          <w:sz w:val="22"/>
          <w:szCs w:val="22"/>
        </w:rPr>
        <w:tab/>
        <w:t xml:space="preserve">Sveukupna struktura </w:t>
      </w:r>
      <w:r w:rsidR="009A78EF">
        <w:rPr>
          <w:rFonts w:ascii="Arial" w:hAnsi="Arial" w:cs="Arial"/>
          <w:b w:val="0"/>
          <w:color w:val="auto"/>
          <w:sz w:val="22"/>
          <w:szCs w:val="22"/>
        </w:rPr>
        <w:t>portfelja</w:t>
      </w:r>
      <w:r w:rsidRPr="004F7F20">
        <w:rPr>
          <w:rFonts w:ascii="Arial" w:hAnsi="Arial" w:cs="Arial"/>
          <w:b w:val="0"/>
          <w:color w:val="auto"/>
          <w:sz w:val="22"/>
          <w:szCs w:val="22"/>
        </w:rPr>
        <w:t xml:space="preserve"> duga</w:t>
      </w:r>
      <w:bookmarkEnd w:id="152"/>
      <w:bookmarkEnd w:id="153"/>
    </w:p>
    <w:p w14:paraId="0362879A" w14:textId="77777777" w:rsidR="000251A2" w:rsidRPr="00CA710D" w:rsidRDefault="000251A2" w:rsidP="000251A2">
      <w:pPr>
        <w:pStyle w:val="NoSpacing"/>
        <w:rPr>
          <w:rFonts w:ascii="Arial" w:hAnsi="Arial" w:cs="Arial"/>
          <w:lang w:val="hr-HR"/>
        </w:rPr>
      </w:pPr>
    </w:p>
    <w:p w14:paraId="75F8BE90" w14:textId="017B3D60" w:rsidR="000251A2" w:rsidRPr="00CA710D" w:rsidRDefault="000251A2" w:rsidP="00894C30">
      <w:pPr>
        <w:pStyle w:val="NoSpacing"/>
        <w:spacing w:line="276" w:lineRule="auto"/>
        <w:ind w:firstLine="284"/>
        <w:jc w:val="both"/>
        <w:rPr>
          <w:rFonts w:ascii="Arial" w:hAnsi="Arial" w:cs="Arial"/>
          <w:lang w:val="hr-HR"/>
        </w:rPr>
      </w:pPr>
      <w:r w:rsidRPr="00CA710D">
        <w:rPr>
          <w:rFonts w:ascii="Arial" w:hAnsi="Arial" w:cs="Arial"/>
          <w:lang w:val="hr-HR"/>
        </w:rPr>
        <w:t xml:space="preserve">Strukturom </w:t>
      </w:r>
      <w:r w:rsidR="009A78EF">
        <w:rPr>
          <w:rFonts w:ascii="Arial" w:hAnsi="Arial" w:cs="Arial"/>
          <w:lang w:val="hr-HR"/>
        </w:rPr>
        <w:t>portfelja</w:t>
      </w:r>
      <w:r w:rsidRPr="00CA710D">
        <w:rPr>
          <w:rFonts w:ascii="Arial" w:hAnsi="Arial" w:cs="Arial"/>
          <w:lang w:val="hr-HR"/>
        </w:rPr>
        <w:t xml:space="preserve"> duga nastojat će se </w:t>
      </w:r>
      <w:r w:rsidR="00D945EA" w:rsidRPr="00CA710D">
        <w:rPr>
          <w:rFonts w:ascii="Arial" w:hAnsi="Arial" w:cs="Arial"/>
          <w:lang w:val="hr-HR"/>
        </w:rPr>
        <w:t>minimizirati</w:t>
      </w:r>
      <w:r w:rsidR="005C1149">
        <w:rPr>
          <w:rFonts w:ascii="Arial" w:hAnsi="Arial" w:cs="Arial"/>
          <w:lang w:val="hr-HR"/>
        </w:rPr>
        <w:t xml:space="preserve"> sveukupni rizici i nastaviti s</w:t>
      </w:r>
      <w:r w:rsidRPr="00CA710D">
        <w:rPr>
          <w:rFonts w:ascii="Arial" w:hAnsi="Arial" w:cs="Arial"/>
          <w:lang w:val="hr-HR"/>
        </w:rPr>
        <w:t xml:space="preserve"> razvojem domaćeg tržišta </w:t>
      </w:r>
      <w:r w:rsidR="00DA1E1E" w:rsidRPr="00CA710D">
        <w:rPr>
          <w:rFonts w:ascii="Arial" w:hAnsi="Arial" w:cs="Arial"/>
          <w:lang w:val="hr-HR"/>
        </w:rPr>
        <w:t>vrijednosnih papira</w:t>
      </w:r>
      <w:r w:rsidRPr="00CA710D">
        <w:rPr>
          <w:rFonts w:ascii="Arial" w:hAnsi="Arial" w:cs="Arial"/>
          <w:lang w:val="hr-HR"/>
        </w:rPr>
        <w:t xml:space="preserve">. </w:t>
      </w:r>
    </w:p>
    <w:p w14:paraId="62B398AC" w14:textId="1227A557" w:rsidR="000251A2" w:rsidRPr="00CA710D" w:rsidRDefault="000251A2" w:rsidP="00894C30">
      <w:pPr>
        <w:pStyle w:val="NoSpacing"/>
        <w:spacing w:line="276" w:lineRule="auto"/>
        <w:jc w:val="both"/>
        <w:rPr>
          <w:rFonts w:ascii="Arial" w:hAnsi="Arial" w:cs="Arial"/>
          <w:lang w:val="hr-HR"/>
        </w:rPr>
      </w:pPr>
      <w:r w:rsidRPr="00CA710D">
        <w:rPr>
          <w:rFonts w:ascii="Arial" w:hAnsi="Arial" w:cs="Arial"/>
          <w:lang w:val="hr-HR"/>
        </w:rPr>
        <w:t xml:space="preserve">Smjernice za </w:t>
      </w:r>
      <w:r w:rsidR="00DA1E1E" w:rsidRPr="00CA710D">
        <w:rPr>
          <w:rFonts w:ascii="Arial" w:hAnsi="Arial" w:cs="Arial"/>
          <w:lang w:val="hr-HR"/>
        </w:rPr>
        <w:t xml:space="preserve">poželjnu </w:t>
      </w:r>
      <w:r w:rsidRPr="00CA710D">
        <w:rPr>
          <w:rFonts w:ascii="Arial" w:hAnsi="Arial" w:cs="Arial"/>
          <w:lang w:val="hr-HR"/>
        </w:rPr>
        <w:t xml:space="preserve">strukturu </w:t>
      </w:r>
      <w:r w:rsidR="009A78EF">
        <w:rPr>
          <w:rFonts w:ascii="Arial" w:hAnsi="Arial" w:cs="Arial"/>
          <w:lang w:val="hr-HR"/>
        </w:rPr>
        <w:t>portfelja</w:t>
      </w:r>
      <w:r w:rsidRPr="00CA710D">
        <w:rPr>
          <w:rFonts w:ascii="Arial" w:hAnsi="Arial" w:cs="Arial"/>
          <w:lang w:val="hr-HR"/>
        </w:rPr>
        <w:t xml:space="preserve"> duga su sljedeće:</w:t>
      </w:r>
    </w:p>
    <w:p w14:paraId="1EF4F0E7" w14:textId="6835189B" w:rsidR="000251A2" w:rsidRPr="00CA710D" w:rsidRDefault="000251A2" w:rsidP="00894C30">
      <w:pPr>
        <w:pStyle w:val="NoSpacing"/>
        <w:numPr>
          <w:ilvl w:val="0"/>
          <w:numId w:val="4"/>
        </w:numPr>
        <w:spacing w:line="276" w:lineRule="auto"/>
        <w:jc w:val="both"/>
        <w:rPr>
          <w:rFonts w:ascii="Arial" w:hAnsi="Arial" w:cs="Arial"/>
          <w:lang w:val="hr-HR"/>
        </w:rPr>
      </w:pPr>
      <w:r w:rsidRPr="00CA710D">
        <w:rPr>
          <w:rFonts w:ascii="Arial" w:hAnsi="Arial" w:cs="Arial"/>
          <w:lang w:val="hr-HR"/>
        </w:rPr>
        <w:t xml:space="preserve">Održavanje </w:t>
      </w:r>
      <w:r w:rsidR="00AF7CAC" w:rsidRPr="00CA710D">
        <w:rPr>
          <w:rFonts w:ascii="Arial" w:hAnsi="Arial" w:cs="Arial"/>
          <w:lang w:val="hr-HR"/>
        </w:rPr>
        <w:t>ud</w:t>
      </w:r>
      <w:r w:rsidR="00DA1E1E" w:rsidRPr="00CA710D">
        <w:rPr>
          <w:rFonts w:ascii="Arial" w:hAnsi="Arial" w:cs="Arial"/>
          <w:lang w:val="hr-HR"/>
        </w:rPr>
        <w:t xml:space="preserve">jela </w:t>
      </w:r>
      <w:r w:rsidRPr="00CA710D">
        <w:rPr>
          <w:rFonts w:ascii="Arial" w:hAnsi="Arial" w:cs="Arial"/>
          <w:lang w:val="hr-HR"/>
        </w:rPr>
        <w:t xml:space="preserve">duga u </w:t>
      </w:r>
      <w:r w:rsidR="00E672EB" w:rsidRPr="00CA710D">
        <w:rPr>
          <w:rFonts w:ascii="Arial" w:hAnsi="Arial" w:cs="Arial"/>
          <w:lang w:val="hr-HR"/>
        </w:rPr>
        <w:t>KM</w:t>
      </w:r>
      <w:r w:rsidRPr="00CA710D">
        <w:rPr>
          <w:rFonts w:ascii="Arial" w:hAnsi="Arial" w:cs="Arial"/>
          <w:lang w:val="hr-HR"/>
        </w:rPr>
        <w:t xml:space="preserve"> i EUR valuti iznad 60% ukupnog </w:t>
      </w:r>
      <w:r w:rsidR="009A78EF">
        <w:rPr>
          <w:rFonts w:ascii="Arial" w:hAnsi="Arial" w:cs="Arial"/>
          <w:lang w:val="hr-HR"/>
        </w:rPr>
        <w:t>portfelja</w:t>
      </w:r>
      <w:r w:rsidRPr="00CA710D">
        <w:rPr>
          <w:rFonts w:ascii="Arial" w:hAnsi="Arial" w:cs="Arial"/>
          <w:lang w:val="hr-HR"/>
        </w:rPr>
        <w:t xml:space="preserve"> duga</w:t>
      </w:r>
      <w:r w:rsidR="001446EC" w:rsidRPr="00CA710D">
        <w:rPr>
          <w:rFonts w:ascii="Arial" w:hAnsi="Arial" w:cs="Arial"/>
          <w:lang w:val="hr-HR"/>
        </w:rPr>
        <w:t>;</w:t>
      </w:r>
    </w:p>
    <w:p w14:paraId="35CA8F68" w14:textId="6F008EB6" w:rsidR="000251A2" w:rsidRPr="00CA710D" w:rsidRDefault="000251A2" w:rsidP="00894C30">
      <w:pPr>
        <w:pStyle w:val="NoSpacing"/>
        <w:numPr>
          <w:ilvl w:val="0"/>
          <w:numId w:val="4"/>
        </w:numPr>
        <w:spacing w:line="276" w:lineRule="auto"/>
        <w:jc w:val="both"/>
        <w:rPr>
          <w:rFonts w:ascii="Arial" w:hAnsi="Arial" w:cs="Arial"/>
          <w:lang w:val="hr-HR"/>
        </w:rPr>
      </w:pPr>
      <w:r w:rsidRPr="00CA710D">
        <w:rPr>
          <w:rFonts w:ascii="Arial" w:hAnsi="Arial" w:cs="Arial"/>
          <w:lang w:val="hr-HR"/>
        </w:rPr>
        <w:t>Održanje udjela duga s fiksnom kamatnom stopom preko 50% ukupnog por</w:t>
      </w:r>
      <w:r w:rsidR="005C1149">
        <w:rPr>
          <w:rFonts w:ascii="Arial" w:hAnsi="Arial" w:cs="Arial"/>
          <w:lang w:val="hr-HR"/>
        </w:rPr>
        <w:t>t</w:t>
      </w:r>
      <w:r w:rsidRPr="00CA710D">
        <w:rPr>
          <w:rFonts w:ascii="Arial" w:hAnsi="Arial" w:cs="Arial"/>
          <w:lang w:val="hr-HR"/>
        </w:rPr>
        <w:t>f</w:t>
      </w:r>
      <w:r w:rsidR="005C1149">
        <w:rPr>
          <w:rFonts w:ascii="Arial" w:hAnsi="Arial" w:cs="Arial"/>
          <w:lang w:val="hr-HR"/>
        </w:rPr>
        <w:t>elja</w:t>
      </w:r>
      <w:r w:rsidRPr="00CA710D">
        <w:rPr>
          <w:rFonts w:ascii="Arial" w:hAnsi="Arial" w:cs="Arial"/>
          <w:lang w:val="hr-HR"/>
        </w:rPr>
        <w:t xml:space="preserve"> duga</w:t>
      </w:r>
      <w:r w:rsidR="001446EC" w:rsidRPr="00CA710D">
        <w:rPr>
          <w:rFonts w:ascii="Arial" w:hAnsi="Arial" w:cs="Arial"/>
          <w:lang w:val="hr-HR"/>
        </w:rPr>
        <w:t>;</w:t>
      </w:r>
    </w:p>
    <w:p w14:paraId="36EC592E" w14:textId="43282A74" w:rsidR="00DA1E1E" w:rsidRPr="00CA710D" w:rsidRDefault="000251A2" w:rsidP="00DA1E1E">
      <w:pPr>
        <w:pStyle w:val="NoSpacing"/>
        <w:numPr>
          <w:ilvl w:val="0"/>
          <w:numId w:val="4"/>
        </w:numPr>
        <w:spacing w:line="276" w:lineRule="auto"/>
        <w:jc w:val="both"/>
        <w:rPr>
          <w:rFonts w:ascii="Arial" w:hAnsi="Arial" w:cs="Arial"/>
          <w:lang w:val="hr-HR"/>
        </w:rPr>
      </w:pPr>
      <w:r w:rsidRPr="00CA710D">
        <w:rPr>
          <w:rFonts w:ascii="Arial" w:hAnsi="Arial" w:cs="Arial"/>
          <w:lang w:val="hr-HR"/>
        </w:rPr>
        <w:t xml:space="preserve">Vrijeme prosječnog dospijeća ukupnog </w:t>
      </w:r>
      <w:r w:rsidR="009A78EF">
        <w:rPr>
          <w:rFonts w:ascii="Arial" w:hAnsi="Arial" w:cs="Arial"/>
          <w:lang w:val="hr-HR"/>
        </w:rPr>
        <w:t>portfelja</w:t>
      </w:r>
      <w:r w:rsidR="00DA1E1E" w:rsidRPr="00CA710D">
        <w:rPr>
          <w:rFonts w:ascii="Arial" w:hAnsi="Arial" w:cs="Arial"/>
          <w:lang w:val="hr-HR"/>
        </w:rPr>
        <w:t xml:space="preserve"> </w:t>
      </w:r>
      <w:r w:rsidRPr="00CA710D">
        <w:rPr>
          <w:rFonts w:ascii="Arial" w:hAnsi="Arial" w:cs="Arial"/>
          <w:lang w:val="hr-HR"/>
        </w:rPr>
        <w:t>duga produžiti na 6,5 godina</w:t>
      </w:r>
      <w:r w:rsidR="001446EC" w:rsidRPr="00CA710D">
        <w:rPr>
          <w:rFonts w:ascii="Arial" w:hAnsi="Arial" w:cs="Arial"/>
          <w:lang w:val="hr-HR"/>
        </w:rPr>
        <w:t>.</w:t>
      </w:r>
    </w:p>
    <w:p w14:paraId="6336407D" w14:textId="4861B542" w:rsidR="00ED768D" w:rsidRPr="004F7F20" w:rsidRDefault="00ED768D" w:rsidP="00D41896">
      <w:pPr>
        <w:pStyle w:val="Heading2"/>
        <w:ind w:left="993" w:hanging="709"/>
        <w:rPr>
          <w:rFonts w:ascii="Arial" w:hAnsi="Arial" w:cs="Arial"/>
          <w:b w:val="0"/>
          <w:sz w:val="22"/>
          <w:szCs w:val="22"/>
        </w:rPr>
      </w:pPr>
      <w:bookmarkStart w:id="154" w:name="_Toc424728955"/>
      <w:bookmarkStart w:id="155" w:name="_Toc100823769"/>
      <w:r w:rsidRPr="00D912D1">
        <w:rPr>
          <w:rFonts w:ascii="Arial" w:hAnsi="Arial" w:cs="Arial"/>
          <w:b w:val="0"/>
          <w:color w:val="auto"/>
          <w:sz w:val="22"/>
          <w:szCs w:val="22"/>
        </w:rPr>
        <w:lastRenderedPageBreak/>
        <w:t>8.2</w:t>
      </w:r>
      <w:r w:rsidR="004457DE">
        <w:rPr>
          <w:rFonts w:ascii="Arial" w:hAnsi="Arial" w:cs="Arial"/>
          <w:b w:val="0"/>
          <w:color w:val="auto"/>
          <w:sz w:val="22"/>
          <w:szCs w:val="22"/>
        </w:rPr>
        <w:t>.</w:t>
      </w:r>
      <w:r w:rsidRPr="00D912D1">
        <w:rPr>
          <w:rFonts w:ascii="Arial" w:hAnsi="Arial" w:cs="Arial"/>
          <w:b w:val="0"/>
          <w:color w:val="auto"/>
          <w:sz w:val="22"/>
          <w:szCs w:val="22"/>
        </w:rPr>
        <w:tab/>
        <w:t>Smjernice za zaduživanje</w:t>
      </w:r>
      <w:bookmarkEnd w:id="154"/>
      <w:bookmarkEnd w:id="155"/>
    </w:p>
    <w:p w14:paraId="3354E728" w14:textId="77777777" w:rsidR="00ED768D" w:rsidRPr="004F7F20" w:rsidRDefault="00ED768D" w:rsidP="00894C30">
      <w:pPr>
        <w:pStyle w:val="NoSpacing"/>
        <w:spacing w:line="276" w:lineRule="auto"/>
        <w:rPr>
          <w:rFonts w:ascii="Arial" w:hAnsi="Arial" w:cs="Arial"/>
          <w:lang w:val="hr-HR"/>
        </w:rPr>
      </w:pPr>
    </w:p>
    <w:p w14:paraId="5B34CB03" w14:textId="77777777" w:rsidR="00ED768D" w:rsidRPr="004F7F20" w:rsidRDefault="00ED768D" w:rsidP="00445180">
      <w:pPr>
        <w:pStyle w:val="NoSpacing"/>
        <w:spacing w:line="276" w:lineRule="auto"/>
        <w:ind w:firstLine="284"/>
        <w:rPr>
          <w:rFonts w:ascii="Arial" w:hAnsi="Arial" w:cs="Arial"/>
          <w:lang w:val="hr-HR"/>
        </w:rPr>
      </w:pPr>
      <w:r w:rsidRPr="004F7F20">
        <w:rPr>
          <w:rFonts w:ascii="Arial" w:hAnsi="Arial" w:cs="Arial"/>
          <w:lang w:val="hr-HR"/>
        </w:rPr>
        <w:t xml:space="preserve">Glavne smjernice za </w:t>
      </w:r>
      <w:r w:rsidR="00F81DB7" w:rsidRPr="004F7F20">
        <w:rPr>
          <w:rFonts w:ascii="Arial" w:hAnsi="Arial" w:cs="Arial"/>
          <w:lang w:val="hr-HR"/>
        </w:rPr>
        <w:t>zaduživanje Federacije BiH</w:t>
      </w:r>
      <w:r w:rsidRPr="004F7F20">
        <w:rPr>
          <w:rFonts w:ascii="Arial" w:hAnsi="Arial" w:cs="Arial"/>
          <w:lang w:val="hr-HR"/>
        </w:rPr>
        <w:t xml:space="preserve"> su sljedeće:</w:t>
      </w:r>
    </w:p>
    <w:p w14:paraId="135D17FF" w14:textId="5D6BEFD1" w:rsidR="00ED768D" w:rsidRPr="004F7F20" w:rsidRDefault="00ED768D" w:rsidP="00894C30">
      <w:pPr>
        <w:pStyle w:val="NoSpacing"/>
        <w:numPr>
          <w:ilvl w:val="0"/>
          <w:numId w:val="4"/>
        </w:numPr>
        <w:spacing w:line="276" w:lineRule="auto"/>
        <w:jc w:val="both"/>
        <w:rPr>
          <w:rFonts w:ascii="Arial" w:hAnsi="Arial" w:cs="Arial"/>
          <w:lang w:val="hr-HR"/>
        </w:rPr>
      </w:pPr>
      <w:r w:rsidRPr="004F7F20">
        <w:rPr>
          <w:rFonts w:ascii="Arial" w:hAnsi="Arial" w:cs="Arial"/>
          <w:lang w:val="hr-HR"/>
        </w:rPr>
        <w:t>Prilikom planiranja zaduživanja voditi računa da se održi ravnomjerna struktura otplate po godinama u cilju minimiziranja rizika re</w:t>
      </w:r>
      <w:r w:rsidR="009A78EF">
        <w:rPr>
          <w:rFonts w:ascii="Arial" w:hAnsi="Arial" w:cs="Arial"/>
          <w:lang w:val="hr-HR"/>
        </w:rPr>
        <w:t>financ</w:t>
      </w:r>
      <w:r w:rsidRPr="004F7F20">
        <w:rPr>
          <w:rFonts w:ascii="Arial" w:hAnsi="Arial" w:cs="Arial"/>
          <w:lang w:val="hr-HR"/>
        </w:rPr>
        <w:t>iranja;</w:t>
      </w:r>
    </w:p>
    <w:p w14:paraId="756E464F" w14:textId="77777777" w:rsidR="00ED768D" w:rsidRPr="00CA710D" w:rsidRDefault="00ED768D" w:rsidP="00894C30">
      <w:pPr>
        <w:pStyle w:val="NoSpacing"/>
        <w:numPr>
          <w:ilvl w:val="0"/>
          <w:numId w:val="4"/>
        </w:numPr>
        <w:spacing w:line="276" w:lineRule="auto"/>
        <w:jc w:val="both"/>
        <w:rPr>
          <w:rFonts w:ascii="Arial" w:hAnsi="Arial" w:cs="Arial"/>
          <w:lang w:val="hr-HR"/>
        </w:rPr>
      </w:pPr>
      <w:r w:rsidRPr="00CA710D">
        <w:rPr>
          <w:rFonts w:ascii="Arial" w:hAnsi="Arial" w:cs="Arial"/>
          <w:lang w:val="hr-HR"/>
        </w:rPr>
        <w:t xml:space="preserve">Radi smanjenja valutnog rizika maksimalno koristiti zaduživanje u EUR i </w:t>
      </w:r>
      <w:r w:rsidR="00E672EB" w:rsidRPr="00CA710D">
        <w:rPr>
          <w:rFonts w:ascii="Arial" w:hAnsi="Arial" w:cs="Arial"/>
          <w:lang w:val="hr-HR"/>
        </w:rPr>
        <w:t>KM</w:t>
      </w:r>
      <w:r w:rsidRPr="00CA710D">
        <w:rPr>
          <w:rFonts w:ascii="Arial" w:hAnsi="Arial" w:cs="Arial"/>
          <w:lang w:val="hr-HR"/>
        </w:rPr>
        <w:t>;</w:t>
      </w:r>
    </w:p>
    <w:p w14:paraId="228C3924" w14:textId="292A5B7A" w:rsidR="00ED768D" w:rsidRPr="00CA710D" w:rsidRDefault="00DA1E1E" w:rsidP="00894C30">
      <w:pPr>
        <w:pStyle w:val="NoSpacing"/>
        <w:numPr>
          <w:ilvl w:val="0"/>
          <w:numId w:val="4"/>
        </w:numPr>
        <w:spacing w:line="276" w:lineRule="auto"/>
        <w:jc w:val="both"/>
        <w:rPr>
          <w:rFonts w:ascii="Arial" w:hAnsi="Arial" w:cs="Arial"/>
          <w:lang w:val="hr-HR"/>
        </w:rPr>
      </w:pPr>
      <w:r w:rsidRPr="00CA710D">
        <w:rPr>
          <w:rFonts w:ascii="Arial" w:hAnsi="Arial" w:cs="Arial"/>
          <w:lang w:val="hr-HR"/>
        </w:rPr>
        <w:t>U cilju smanjenja rizika r</w:t>
      </w:r>
      <w:r w:rsidR="00ED768D" w:rsidRPr="00CA710D">
        <w:rPr>
          <w:rFonts w:ascii="Arial" w:hAnsi="Arial" w:cs="Arial"/>
          <w:lang w:val="hr-HR"/>
        </w:rPr>
        <w:t>e</w:t>
      </w:r>
      <w:r w:rsidR="009A78EF">
        <w:rPr>
          <w:rFonts w:ascii="Arial" w:hAnsi="Arial" w:cs="Arial"/>
          <w:lang w:val="hr-HR"/>
        </w:rPr>
        <w:t>financ</w:t>
      </w:r>
      <w:r w:rsidR="00ED768D" w:rsidRPr="00CA710D">
        <w:rPr>
          <w:rFonts w:ascii="Arial" w:hAnsi="Arial" w:cs="Arial"/>
          <w:lang w:val="hr-HR"/>
        </w:rPr>
        <w:t xml:space="preserve">iranja duga: </w:t>
      </w:r>
      <w:r w:rsidRPr="00CA710D">
        <w:rPr>
          <w:rFonts w:ascii="Arial" w:hAnsi="Arial" w:cs="Arial"/>
          <w:lang w:val="hr-HR"/>
        </w:rPr>
        <w:t xml:space="preserve">udio </w:t>
      </w:r>
      <w:r w:rsidR="009A78EF">
        <w:rPr>
          <w:rFonts w:ascii="Arial" w:hAnsi="Arial" w:cs="Arial"/>
          <w:lang w:val="hr-HR"/>
        </w:rPr>
        <w:t>portfelja</w:t>
      </w:r>
      <w:r w:rsidRPr="00CA710D">
        <w:rPr>
          <w:rFonts w:ascii="Arial" w:hAnsi="Arial" w:cs="Arial"/>
          <w:lang w:val="hr-HR"/>
        </w:rPr>
        <w:t xml:space="preserve"> </w:t>
      </w:r>
      <w:r w:rsidR="00ED768D" w:rsidRPr="00CA710D">
        <w:rPr>
          <w:rFonts w:ascii="Arial" w:hAnsi="Arial" w:cs="Arial"/>
          <w:lang w:val="hr-HR"/>
        </w:rPr>
        <w:t>dug</w:t>
      </w:r>
      <w:r w:rsidRPr="00CA710D">
        <w:rPr>
          <w:rFonts w:ascii="Arial" w:hAnsi="Arial" w:cs="Arial"/>
          <w:lang w:val="hr-HR"/>
        </w:rPr>
        <w:t>a</w:t>
      </w:r>
      <w:r w:rsidR="00ED768D" w:rsidRPr="00CA710D">
        <w:rPr>
          <w:rFonts w:ascii="Arial" w:hAnsi="Arial" w:cs="Arial"/>
          <w:lang w:val="hr-HR"/>
        </w:rPr>
        <w:t xml:space="preserve"> koji dospijeva unutar 12 mjeseci/jedne godine će iznositi ma</w:t>
      </w:r>
      <w:r w:rsidR="00D945EA" w:rsidRPr="00CA710D">
        <w:rPr>
          <w:rFonts w:ascii="Arial" w:hAnsi="Arial" w:cs="Arial"/>
          <w:lang w:val="hr-HR"/>
        </w:rPr>
        <w:t>ks</w:t>
      </w:r>
      <w:r w:rsidR="00ED768D" w:rsidRPr="00CA710D">
        <w:rPr>
          <w:rFonts w:ascii="Arial" w:hAnsi="Arial" w:cs="Arial"/>
          <w:lang w:val="hr-HR"/>
        </w:rPr>
        <w:t>imalno 15% ukupnog neotplaćenog duga;</w:t>
      </w:r>
    </w:p>
    <w:p w14:paraId="7878D80A" w14:textId="48B88FA6" w:rsidR="00ED768D" w:rsidRPr="00CA710D" w:rsidRDefault="00DA1E1E" w:rsidP="00894C30">
      <w:pPr>
        <w:pStyle w:val="NoSpacing"/>
        <w:numPr>
          <w:ilvl w:val="0"/>
          <w:numId w:val="4"/>
        </w:numPr>
        <w:spacing w:line="276" w:lineRule="auto"/>
        <w:jc w:val="both"/>
        <w:rPr>
          <w:rFonts w:ascii="Arial" w:hAnsi="Arial" w:cs="Arial"/>
          <w:lang w:val="hr-HR"/>
        </w:rPr>
      </w:pPr>
      <w:r w:rsidRPr="00CA710D">
        <w:rPr>
          <w:rFonts w:ascii="Arial" w:hAnsi="Arial" w:cs="Arial"/>
          <w:lang w:val="hr-HR"/>
        </w:rPr>
        <w:t>Kako bi produžili prosje</w:t>
      </w:r>
      <w:r w:rsidR="00E560F4" w:rsidRPr="00CA710D">
        <w:rPr>
          <w:rFonts w:ascii="Arial" w:hAnsi="Arial" w:cs="Arial"/>
          <w:lang w:val="hr-HR"/>
        </w:rPr>
        <w:t>č</w:t>
      </w:r>
      <w:r w:rsidRPr="00CA710D">
        <w:rPr>
          <w:rFonts w:ascii="Arial" w:hAnsi="Arial" w:cs="Arial"/>
          <w:lang w:val="hr-HR"/>
        </w:rPr>
        <w:t xml:space="preserve">no dospijeće </w:t>
      </w:r>
      <w:r w:rsidR="009A78EF">
        <w:rPr>
          <w:rFonts w:ascii="Arial" w:hAnsi="Arial" w:cs="Arial"/>
          <w:lang w:val="hr-HR"/>
        </w:rPr>
        <w:t>portfelja</w:t>
      </w:r>
      <w:r w:rsidRPr="00CA710D">
        <w:rPr>
          <w:rFonts w:ascii="Arial" w:hAnsi="Arial" w:cs="Arial"/>
          <w:lang w:val="hr-HR"/>
        </w:rPr>
        <w:t xml:space="preserve"> duga iznad 6,5 godin</w:t>
      </w:r>
      <w:r w:rsidR="005C1149">
        <w:rPr>
          <w:rFonts w:ascii="Arial" w:hAnsi="Arial" w:cs="Arial"/>
          <w:lang w:val="hr-HR"/>
        </w:rPr>
        <w:t>a, buduća zaduženja ugovarati s</w:t>
      </w:r>
      <w:r w:rsidRPr="00CA710D">
        <w:rPr>
          <w:rFonts w:ascii="Arial" w:hAnsi="Arial" w:cs="Arial"/>
          <w:lang w:val="hr-HR"/>
        </w:rPr>
        <w:t xml:space="preserve"> dužim grace periodom i </w:t>
      </w:r>
      <w:r w:rsidR="00E560F4" w:rsidRPr="00CA710D">
        <w:rPr>
          <w:rFonts w:ascii="Arial" w:hAnsi="Arial" w:cs="Arial"/>
          <w:lang w:val="hr-HR"/>
        </w:rPr>
        <w:t xml:space="preserve">dužim </w:t>
      </w:r>
      <w:r w:rsidRPr="00CA710D">
        <w:rPr>
          <w:rFonts w:ascii="Arial" w:hAnsi="Arial" w:cs="Arial"/>
          <w:lang w:val="hr-HR"/>
        </w:rPr>
        <w:t>rokom otplate.</w:t>
      </w:r>
      <w:r w:rsidR="00E560F4" w:rsidRPr="00CA710D">
        <w:rPr>
          <w:rFonts w:ascii="Arial" w:hAnsi="Arial" w:cs="Arial"/>
          <w:lang w:val="hr-HR"/>
        </w:rPr>
        <w:t xml:space="preserve"> </w:t>
      </w:r>
      <w:r w:rsidR="00ED768D" w:rsidRPr="00CA710D">
        <w:rPr>
          <w:rFonts w:ascii="Arial" w:hAnsi="Arial" w:cs="Arial"/>
          <w:lang w:val="hr-HR"/>
        </w:rPr>
        <w:t xml:space="preserve">Prosječno </w:t>
      </w:r>
      <w:r w:rsidR="009A78EF">
        <w:rPr>
          <w:rFonts w:ascii="Arial" w:hAnsi="Arial" w:cs="Arial"/>
          <w:lang w:val="hr-HR"/>
        </w:rPr>
        <w:t>ponderir</w:t>
      </w:r>
      <w:r w:rsidR="00ED768D" w:rsidRPr="00CA710D">
        <w:rPr>
          <w:rFonts w:ascii="Arial" w:hAnsi="Arial" w:cs="Arial"/>
          <w:lang w:val="hr-HR"/>
        </w:rPr>
        <w:t>ano dosp</w:t>
      </w:r>
      <w:r w:rsidR="00D945EA" w:rsidRPr="00CA710D">
        <w:rPr>
          <w:rFonts w:ascii="Arial" w:hAnsi="Arial" w:cs="Arial"/>
          <w:lang w:val="hr-HR"/>
        </w:rPr>
        <w:t>i</w:t>
      </w:r>
      <w:r w:rsidR="00ED768D" w:rsidRPr="00CA710D">
        <w:rPr>
          <w:rFonts w:ascii="Arial" w:hAnsi="Arial" w:cs="Arial"/>
          <w:lang w:val="hr-HR"/>
        </w:rPr>
        <w:t xml:space="preserve">jeće </w:t>
      </w:r>
      <w:r w:rsidR="009A78EF">
        <w:rPr>
          <w:rFonts w:ascii="Arial" w:hAnsi="Arial" w:cs="Arial"/>
          <w:lang w:val="hr-HR"/>
        </w:rPr>
        <w:t>portfelja</w:t>
      </w:r>
      <w:r w:rsidR="00ED768D" w:rsidRPr="00CA710D">
        <w:rPr>
          <w:rFonts w:ascii="Arial" w:hAnsi="Arial" w:cs="Arial"/>
          <w:lang w:val="hr-HR"/>
        </w:rPr>
        <w:t xml:space="preserve"> duga produžiti na najmanje 6,5 godina</w:t>
      </w:r>
      <w:r w:rsidR="001446EC" w:rsidRPr="00CA710D">
        <w:rPr>
          <w:rFonts w:ascii="Arial" w:hAnsi="Arial" w:cs="Arial"/>
          <w:lang w:val="hr-HR"/>
        </w:rPr>
        <w:t>.</w:t>
      </w:r>
    </w:p>
    <w:p w14:paraId="4F050027" w14:textId="77777777" w:rsidR="00936B3D" w:rsidRPr="00CA710D" w:rsidRDefault="00936B3D" w:rsidP="00936B3D">
      <w:pPr>
        <w:pStyle w:val="NoSpacing"/>
        <w:spacing w:line="276" w:lineRule="auto"/>
        <w:ind w:left="720"/>
        <w:jc w:val="both"/>
        <w:rPr>
          <w:rFonts w:ascii="Arial" w:hAnsi="Arial" w:cs="Arial"/>
          <w:lang w:val="hr-HR"/>
        </w:rPr>
      </w:pPr>
    </w:p>
    <w:p w14:paraId="0DE3B036" w14:textId="677375BF" w:rsidR="00ED768D" w:rsidRPr="004F7F20" w:rsidRDefault="00ED768D" w:rsidP="00894C30">
      <w:pPr>
        <w:pStyle w:val="Heading2"/>
        <w:ind w:left="993" w:hanging="709"/>
        <w:rPr>
          <w:rFonts w:ascii="Arial" w:hAnsi="Arial" w:cs="Arial"/>
          <w:b w:val="0"/>
          <w:color w:val="auto"/>
          <w:sz w:val="22"/>
          <w:szCs w:val="22"/>
        </w:rPr>
      </w:pPr>
      <w:bookmarkStart w:id="156" w:name="_Toc100823770"/>
      <w:r w:rsidRPr="00D912D1">
        <w:rPr>
          <w:rFonts w:ascii="Arial" w:hAnsi="Arial" w:cs="Arial"/>
          <w:b w:val="0"/>
          <w:color w:val="auto"/>
          <w:sz w:val="22"/>
          <w:szCs w:val="22"/>
        </w:rPr>
        <w:t>8.3</w:t>
      </w:r>
      <w:r w:rsidR="004457DE">
        <w:rPr>
          <w:rFonts w:ascii="Arial" w:hAnsi="Arial" w:cs="Arial"/>
          <w:b w:val="0"/>
          <w:color w:val="auto"/>
          <w:sz w:val="22"/>
          <w:szCs w:val="22"/>
        </w:rPr>
        <w:t>.</w:t>
      </w:r>
      <w:r w:rsidRPr="00D912D1">
        <w:rPr>
          <w:rFonts w:ascii="Arial" w:hAnsi="Arial" w:cs="Arial"/>
          <w:b w:val="0"/>
          <w:color w:val="auto"/>
          <w:sz w:val="22"/>
          <w:szCs w:val="22"/>
        </w:rPr>
        <w:tab/>
        <w:t>Kvantitativne strateške mete</w:t>
      </w:r>
      <w:bookmarkEnd w:id="156"/>
    </w:p>
    <w:p w14:paraId="72EBCB80" w14:textId="77777777" w:rsidR="00ED768D" w:rsidRPr="004F7F20" w:rsidRDefault="00ED768D" w:rsidP="00894C30">
      <w:pPr>
        <w:pStyle w:val="NoSpacing"/>
        <w:spacing w:line="276" w:lineRule="auto"/>
        <w:jc w:val="both"/>
        <w:rPr>
          <w:rFonts w:ascii="Arial" w:hAnsi="Arial" w:cs="Arial"/>
          <w:lang w:val="hr-HR"/>
        </w:rPr>
      </w:pPr>
    </w:p>
    <w:p w14:paraId="5AEADD11" w14:textId="0E9CEF57" w:rsidR="00ED768D" w:rsidRPr="00CA710D" w:rsidRDefault="00ED768D" w:rsidP="00894C30">
      <w:pPr>
        <w:pStyle w:val="NoSpacing"/>
        <w:spacing w:line="276" w:lineRule="auto"/>
        <w:ind w:firstLine="284"/>
        <w:jc w:val="both"/>
        <w:rPr>
          <w:rFonts w:ascii="Arial" w:hAnsi="Arial" w:cs="Arial"/>
          <w:lang w:val="hr-HR"/>
        </w:rPr>
      </w:pPr>
      <w:r w:rsidRPr="004F7F20">
        <w:rPr>
          <w:rFonts w:ascii="Arial" w:hAnsi="Arial" w:cs="Arial"/>
          <w:lang w:val="hr-HR"/>
        </w:rPr>
        <w:t xml:space="preserve">Na </w:t>
      </w:r>
      <w:r w:rsidR="005C1149">
        <w:rPr>
          <w:rFonts w:ascii="Arial" w:hAnsi="Arial" w:cs="Arial"/>
          <w:lang w:val="hr-HR"/>
        </w:rPr>
        <w:t>temelju</w:t>
      </w:r>
      <w:r w:rsidRPr="004F7F20">
        <w:rPr>
          <w:rFonts w:ascii="Arial" w:hAnsi="Arial" w:cs="Arial"/>
          <w:lang w:val="hr-HR"/>
        </w:rPr>
        <w:t xml:space="preserve"> </w:t>
      </w:r>
      <w:r w:rsidR="00F81DB7" w:rsidRPr="004F7F20">
        <w:rPr>
          <w:rFonts w:ascii="Arial" w:hAnsi="Arial" w:cs="Arial"/>
          <w:lang w:val="hr-HR"/>
        </w:rPr>
        <w:t>trenutnog</w:t>
      </w:r>
      <w:r w:rsidRPr="004F7F20">
        <w:rPr>
          <w:rFonts w:ascii="Arial" w:hAnsi="Arial" w:cs="Arial"/>
          <w:lang w:val="hr-HR"/>
        </w:rPr>
        <w:t xml:space="preserve"> makroekonomskog okvira (</w:t>
      </w:r>
      <w:r w:rsidR="00D41896" w:rsidRPr="004F7F20">
        <w:rPr>
          <w:rFonts w:ascii="Arial" w:hAnsi="Arial" w:cs="Arial"/>
          <w:lang w:val="hr-HR"/>
        </w:rPr>
        <w:t xml:space="preserve">Dokument okvirnog </w:t>
      </w:r>
      <w:r w:rsidR="009A78EF">
        <w:rPr>
          <w:rFonts w:ascii="Arial" w:hAnsi="Arial" w:cs="Arial"/>
          <w:lang w:val="hr-HR"/>
        </w:rPr>
        <w:t>proračun</w:t>
      </w:r>
      <w:r w:rsidR="00D41896" w:rsidRPr="004F7F20">
        <w:rPr>
          <w:rFonts w:ascii="Arial" w:hAnsi="Arial" w:cs="Arial"/>
          <w:lang w:val="hr-HR"/>
        </w:rPr>
        <w:t>a</w:t>
      </w:r>
      <w:r w:rsidR="00B754E6" w:rsidRPr="004F7F20">
        <w:rPr>
          <w:rFonts w:ascii="Arial" w:hAnsi="Arial" w:cs="Arial"/>
          <w:lang w:val="hr-HR"/>
        </w:rPr>
        <w:t xml:space="preserve"> Federacije BiH </w:t>
      </w:r>
      <w:r w:rsidR="006835D7" w:rsidRPr="004F7F20">
        <w:rPr>
          <w:rFonts w:ascii="Arial" w:hAnsi="Arial" w:cs="Arial"/>
          <w:lang w:val="hr-HR"/>
        </w:rPr>
        <w:t>2022</w:t>
      </w:r>
      <w:r w:rsidR="00B754E6" w:rsidRPr="004F7F20">
        <w:rPr>
          <w:rFonts w:ascii="Arial" w:hAnsi="Arial" w:cs="Arial"/>
          <w:lang w:val="hr-HR"/>
        </w:rPr>
        <w:t>-</w:t>
      </w:r>
      <w:r w:rsidR="006835D7" w:rsidRPr="004F7F20">
        <w:rPr>
          <w:rFonts w:ascii="Arial" w:hAnsi="Arial" w:cs="Arial"/>
          <w:lang w:val="hr-HR"/>
        </w:rPr>
        <w:t>2024</w:t>
      </w:r>
      <w:r w:rsidR="00B754E6" w:rsidRPr="004F7F20">
        <w:rPr>
          <w:rFonts w:ascii="Arial" w:hAnsi="Arial" w:cs="Arial"/>
          <w:lang w:val="hr-HR"/>
        </w:rPr>
        <w:t>. godine</w:t>
      </w:r>
      <w:r w:rsidRPr="004F7F20">
        <w:rPr>
          <w:rFonts w:ascii="Arial" w:hAnsi="Arial" w:cs="Arial"/>
          <w:lang w:val="hr-HR"/>
        </w:rPr>
        <w:t xml:space="preserve">) praćenjem </w:t>
      </w:r>
      <w:r w:rsidR="00B754E6" w:rsidRPr="004F7F20">
        <w:rPr>
          <w:rFonts w:ascii="Arial" w:hAnsi="Arial" w:cs="Arial"/>
          <w:lang w:val="hr-HR"/>
        </w:rPr>
        <w:t>preferirane</w:t>
      </w:r>
      <w:r w:rsidRPr="004F7F20">
        <w:rPr>
          <w:rFonts w:ascii="Arial" w:hAnsi="Arial" w:cs="Arial"/>
          <w:lang w:val="hr-HR"/>
        </w:rPr>
        <w:t xml:space="preserve"> strategije zaduživanja na kraju </w:t>
      </w:r>
      <w:r w:rsidR="006835D7" w:rsidRPr="004F7F20">
        <w:rPr>
          <w:rFonts w:ascii="Arial" w:hAnsi="Arial" w:cs="Arial"/>
          <w:lang w:val="hr-HR"/>
        </w:rPr>
        <w:t>2024</w:t>
      </w:r>
      <w:r w:rsidRPr="004F7F20">
        <w:rPr>
          <w:rFonts w:ascii="Arial" w:hAnsi="Arial" w:cs="Arial"/>
          <w:lang w:val="hr-HR"/>
        </w:rPr>
        <w:t xml:space="preserve">. godine </w:t>
      </w:r>
      <w:r w:rsidR="00B754E6" w:rsidRPr="004F7F20">
        <w:rPr>
          <w:rFonts w:ascii="Arial" w:hAnsi="Arial" w:cs="Arial"/>
          <w:lang w:val="hr-HR"/>
        </w:rPr>
        <w:t>očekivani</w:t>
      </w:r>
      <w:r w:rsidR="00382E3D" w:rsidRPr="004F7F20">
        <w:rPr>
          <w:rFonts w:ascii="Arial" w:hAnsi="Arial" w:cs="Arial"/>
          <w:lang w:val="hr-HR"/>
        </w:rPr>
        <w:t xml:space="preserve"> </w:t>
      </w:r>
      <w:r w:rsidRPr="004F7F20">
        <w:rPr>
          <w:rFonts w:ascii="Arial" w:hAnsi="Arial" w:cs="Arial"/>
          <w:lang w:val="hr-HR"/>
        </w:rPr>
        <w:t>indikator</w:t>
      </w:r>
      <w:r w:rsidR="00B754E6" w:rsidRPr="004F7F20">
        <w:rPr>
          <w:rFonts w:ascii="Arial" w:hAnsi="Arial" w:cs="Arial"/>
          <w:lang w:val="hr-HR"/>
        </w:rPr>
        <w:t>i</w:t>
      </w:r>
      <w:r w:rsidRPr="004F7F20">
        <w:rPr>
          <w:rFonts w:ascii="Arial" w:hAnsi="Arial" w:cs="Arial"/>
          <w:lang w:val="hr-HR"/>
        </w:rPr>
        <w:t xml:space="preserve"> rizika</w:t>
      </w:r>
      <w:r w:rsidR="00B754E6" w:rsidRPr="004F7F20">
        <w:rPr>
          <w:rFonts w:ascii="Arial" w:hAnsi="Arial" w:cs="Arial"/>
          <w:lang w:val="hr-HR"/>
        </w:rPr>
        <w:t xml:space="preserve"> </w:t>
      </w:r>
      <w:r w:rsidR="009A78EF">
        <w:rPr>
          <w:rFonts w:ascii="Arial" w:hAnsi="Arial" w:cs="Arial"/>
          <w:lang w:val="hr-HR"/>
        </w:rPr>
        <w:t>portfelja</w:t>
      </w:r>
      <w:r w:rsidR="00B754E6" w:rsidRPr="004F7F20">
        <w:rPr>
          <w:rFonts w:ascii="Arial" w:hAnsi="Arial" w:cs="Arial"/>
          <w:lang w:val="hr-HR"/>
        </w:rPr>
        <w:t xml:space="preserve"> duga bili bi sljedeći</w:t>
      </w:r>
      <w:r w:rsidR="009B1246" w:rsidRPr="004F7F20">
        <w:rPr>
          <w:rFonts w:ascii="Arial" w:hAnsi="Arial" w:cs="Arial"/>
          <w:lang w:val="hr-HR"/>
        </w:rPr>
        <w:t>:</w:t>
      </w:r>
    </w:p>
    <w:p w14:paraId="18451817" w14:textId="77777777" w:rsidR="009B1246" w:rsidRPr="00CA710D" w:rsidRDefault="009B1246" w:rsidP="00894C30">
      <w:pPr>
        <w:pStyle w:val="NoSpacing"/>
        <w:spacing w:line="276" w:lineRule="auto"/>
        <w:ind w:firstLine="284"/>
        <w:jc w:val="both"/>
        <w:rPr>
          <w:rFonts w:ascii="Arial" w:hAnsi="Arial" w:cs="Arial"/>
          <w:lang w:val="hr-HR"/>
        </w:rPr>
      </w:pPr>
    </w:p>
    <w:p w14:paraId="7F2FC0D8" w14:textId="79632C22" w:rsidR="00ED768D" w:rsidRPr="004F7F20" w:rsidRDefault="00ED768D" w:rsidP="00894C30">
      <w:pPr>
        <w:pStyle w:val="NoSpacing"/>
        <w:numPr>
          <w:ilvl w:val="0"/>
          <w:numId w:val="4"/>
        </w:numPr>
        <w:spacing w:line="276" w:lineRule="auto"/>
        <w:jc w:val="both"/>
        <w:rPr>
          <w:rFonts w:ascii="Arial" w:hAnsi="Arial" w:cs="Arial"/>
          <w:lang w:val="hr-HR"/>
        </w:rPr>
      </w:pPr>
      <w:r w:rsidRPr="00D912D1">
        <w:rPr>
          <w:rFonts w:ascii="Arial" w:hAnsi="Arial" w:cs="Arial"/>
          <w:lang w:val="hr-HR"/>
        </w:rPr>
        <w:t xml:space="preserve">prosječno vrijeme dospijeća kredita (ATM) ne bi trebalo biti manje od </w:t>
      </w:r>
      <w:r w:rsidR="008332A9" w:rsidRPr="00445180">
        <w:rPr>
          <w:rFonts w:ascii="Arial" w:hAnsi="Arial" w:cs="Arial"/>
          <w:lang w:val="hr-HR"/>
        </w:rPr>
        <w:t>5</w:t>
      </w:r>
      <w:r w:rsidR="00C66C9A" w:rsidRPr="004F7F20">
        <w:rPr>
          <w:rFonts w:ascii="Arial" w:hAnsi="Arial" w:cs="Arial"/>
          <w:lang w:val="hr-HR"/>
        </w:rPr>
        <w:t>,7</w:t>
      </w:r>
      <w:r w:rsidRPr="004F7F20">
        <w:rPr>
          <w:rFonts w:ascii="Arial" w:hAnsi="Arial" w:cs="Arial"/>
          <w:lang w:val="hr-HR"/>
        </w:rPr>
        <w:t xml:space="preserve"> godina</w:t>
      </w:r>
      <w:r w:rsidR="001446EC" w:rsidRPr="004F7F20">
        <w:rPr>
          <w:rFonts w:ascii="Arial" w:hAnsi="Arial" w:cs="Arial"/>
          <w:lang w:val="hr-HR"/>
        </w:rPr>
        <w:t>;</w:t>
      </w:r>
    </w:p>
    <w:p w14:paraId="66061F58" w14:textId="2C3D2E71" w:rsidR="00ED768D" w:rsidRPr="004F7F20" w:rsidRDefault="00ED768D" w:rsidP="00894C30">
      <w:pPr>
        <w:pStyle w:val="NoSpacing"/>
        <w:numPr>
          <w:ilvl w:val="0"/>
          <w:numId w:val="4"/>
        </w:numPr>
        <w:spacing w:line="276" w:lineRule="auto"/>
        <w:jc w:val="both"/>
        <w:rPr>
          <w:rFonts w:ascii="Arial" w:hAnsi="Arial" w:cs="Arial"/>
          <w:lang w:val="hr-HR"/>
        </w:rPr>
      </w:pPr>
      <w:r w:rsidRPr="004F7F20">
        <w:rPr>
          <w:rFonts w:ascii="Arial" w:hAnsi="Arial" w:cs="Arial"/>
          <w:lang w:val="hr-HR"/>
        </w:rPr>
        <w:t xml:space="preserve">prosječno vrijeme refiksiranja kredita (ATR) </w:t>
      </w:r>
      <w:r w:rsidR="001D035E" w:rsidRPr="004F7F20">
        <w:rPr>
          <w:rFonts w:ascii="Arial" w:hAnsi="Arial" w:cs="Arial"/>
          <w:lang w:val="hr-HR"/>
        </w:rPr>
        <w:t xml:space="preserve">će iznositi </w:t>
      </w:r>
      <w:r w:rsidR="001B6D08" w:rsidRPr="00445180">
        <w:rPr>
          <w:rFonts w:ascii="Arial" w:hAnsi="Arial" w:cs="Arial"/>
          <w:lang w:val="hr-HR"/>
        </w:rPr>
        <w:t>4,28</w:t>
      </w:r>
      <w:r w:rsidR="001D035E" w:rsidRPr="00D912D1">
        <w:rPr>
          <w:rFonts w:ascii="Arial" w:hAnsi="Arial" w:cs="Arial"/>
          <w:lang w:val="hr-HR"/>
        </w:rPr>
        <w:t xml:space="preserve"> godinu</w:t>
      </w:r>
      <w:r w:rsidR="001446EC" w:rsidRPr="004F7F20">
        <w:rPr>
          <w:rFonts w:ascii="Arial" w:hAnsi="Arial" w:cs="Arial"/>
          <w:lang w:val="hr-HR"/>
        </w:rPr>
        <w:t>;</w:t>
      </w:r>
    </w:p>
    <w:p w14:paraId="13ED5CFF" w14:textId="38871097" w:rsidR="00ED768D" w:rsidRPr="004F7F20" w:rsidRDefault="00ED768D" w:rsidP="00894C30">
      <w:pPr>
        <w:pStyle w:val="NoSpacing"/>
        <w:numPr>
          <w:ilvl w:val="0"/>
          <w:numId w:val="4"/>
        </w:numPr>
        <w:spacing w:line="276" w:lineRule="auto"/>
        <w:jc w:val="both"/>
        <w:rPr>
          <w:rFonts w:ascii="Arial" w:hAnsi="Arial" w:cs="Arial"/>
          <w:lang w:val="hr-HR"/>
        </w:rPr>
      </w:pPr>
      <w:r w:rsidRPr="004F7F20">
        <w:rPr>
          <w:rFonts w:ascii="Arial" w:hAnsi="Arial" w:cs="Arial"/>
          <w:lang w:val="hr-HR"/>
        </w:rPr>
        <w:t>u</w:t>
      </w:r>
      <w:r w:rsidR="005C1149">
        <w:rPr>
          <w:rFonts w:ascii="Arial" w:hAnsi="Arial" w:cs="Arial"/>
          <w:lang w:val="hr-HR"/>
        </w:rPr>
        <w:t>djel</w:t>
      </w:r>
      <w:r w:rsidRPr="004F7F20">
        <w:rPr>
          <w:rFonts w:ascii="Arial" w:hAnsi="Arial" w:cs="Arial"/>
          <w:lang w:val="hr-HR"/>
        </w:rPr>
        <w:t xml:space="preserve"> servisiranja kamata po osnov</w:t>
      </w:r>
      <w:r w:rsidR="005C1149">
        <w:rPr>
          <w:rFonts w:ascii="Arial" w:hAnsi="Arial" w:cs="Arial"/>
          <w:lang w:val="hr-HR"/>
        </w:rPr>
        <w:t>i</w:t>
      </w:r>
      <w:r w:rsidRPr="004F7F20">
        <w:rPr>
          <w:rFonts w:ascii="Arial" w:hAnsi="Arial" w:cs="Arial"/>
          <w:lang w:val="hr-HR"/>
        </w:rPr>
        <w:t xml:space="preserve"> duga u prihodima će iznositi manje od </w:t>
      </w:r>
      <w:r w:rsidR="00D95F48" w:rsidRPr="004F7F20">
        <w:rPr>
          <w:rFonts w:ascii="Arial" w:hAnsi="Arial" w:cs="Arial"/>
          <w:lang w:val="hr-HR"/>
        </w:rPr>
        <w:t>1</w:t>
      </w:r>
      <w:r w:rsidR="002D4F94" w:rsidRPr="004F7F20">
        <w:rPr>
          <w:rFonts w:ascii="Arial" w:hAnsi="Arial" w:cs="Arial"/>
          <w:lang w:val="hr-HR"/>
        </w:rPr>
        <w:t>5</w:t>
      </w:r>
      <w:r w:rsidRPr="004F7F20">
        <w:rPr>
          <w:rFonts w:ascii="Arial" w:hAnsi="Arial" w:cs="Arial"/>
          <w:lang w:val="hr-HR"/>
        </w:rPr>
        <w:t>%.</w:t>
      </w:r>
    </w:p>
    <w:p w14:paraId="25A50388" w14:textId="77777777" w:rsidR="00C66C9A" w:rsidRPr="004F7F20" w:rsidRDefault="00C66C9A" w:rsidP="00894C30">
      <w:pPr>
        <w:pStyle w:val="NoSpacing"/>
        <w:spacing w:line="276" w:lineRule="auto"/>
        <w:ind w:firstLine="360"/>
        <w:jc w:val="both"/>
        <w:rPr>
          <w:rFonts w:ascii="Arial" w:hAnsi="Arial" w:cs="Arial"/>
          <w:lang w:val="hr-HR"/>
        </w:rPr>
      </w:pPr>
    </w:p>
    <w:p w14:paraId="11B506CA" w14:textId="6DC28F1B" w:rsidR="00ED768D" w:rsidRPr="004F7F20" w:rsidRDefault="00ED768D" w:rsidP="00894C30">
      <w:pPr>
        <w:pStyle w:val="NoSpacing"/>
        <w:spacing w:line="276" w:lineRule="auto"/>
        <w:ind w:firstLine="360"/>
        <w:jc w:val="both"/>
        <w:rPr>
          <w:rFonts w:ascii="Arial" w:hAnsi="Arial" w:cs="Arial"/>
          <w:lang w:val="hr-HR"/>
        </w:rPr>
      </w:pPr>
      <w:r w:rsidRPr="004F7F20">
        <w:rPr>
          <w:rFonts w:ascii="Arial" w:hAnsi="Arial" w:cs="Arial"/>
          <w:lang w:val="hr-HR"/>
        </w:rPr>
        <w:t xml:space="preserve">Mete </w:t>
      </w:r>
      <w:r w:rsidR="00D945EA" w:rsidRPr="004F7F20">
        <w:rPr>
          <w:rFonts w:ascii="Arial" w:hAnsi="Arial" w:cs="Arial"/>
          <w:lang w:val="hr-HR"/>
        </w:rPr>
        <w:t>definirane</w:t>
      </w:r>
      <w:r w:rsidRPr="004F7F20">
        <w:rPr>
          <w:rFonts w:ascii="Arial" w:hAnsi="Arial" w:cs="Arial"/>
          <w:lang w:val="hr-HR"/>
        </w:rPr>
        <w:t xml:space="preserve"> ovom Strategijom su osjetljive na promjene pretpostavki o rastu, fiskalnom deficitu i dostupnosti predviđenih izvora </w:t>
      </w:r>
      <w:r w:rsidR="009A78EF">
        <w:rPr>
          <w:rFonts w:ascii="Arial" w:hAnsi="Arial" w:cs="Arial"/>
          <w:lang w:val="hr-HR"/>
        </w:rPr>
        <w:t>financ</w:t>
      </w:r>
      <w:r w:rsidRPr="004F7F20">
        <w:rPr>
          <w:rFonts w:ascii="Arial" w:hAnsi="Arial" w:cs="Arial"/>
          <w:lang w:val="hr-HR"/>
        </w:rPr>
        <w:t xml:space="preserve">iranja, prvenstveno koncesionalnih izvora </w:t>
      </w:r>
      <w:r w:rsidR="009A78EF">
        <w:rPr>
          <w:rFonts w:ascii="Arial" w:hAnsi="Arial" w:cs="Arial"/>
          <w:lang w:val="hr-HR"/>
        </w:rPr>
        <w:t>financ</w:t>
      </w:r>
      <w:r w:rsidRPr="004F7F20">
        <w:rPr>
          <w:rFonts w:ascii="Arial" w:hAnsi="Arial" w:cs="Arial"/>
          <w:lang w:val="hr-HR"/>
        </w:rPr>
        <w:t>iranja.</w:t>
      </w:r>
    </w:p>
    <w:p w14:paraId="6CDC4CD5" w14:textId="77777777" w:rsidR="00C66C9A" w:rsidRPr="004F7F20" w:rsidRDefault="00C66C9A" w:rsidP="00894C30">
      <w:pPr>
        <w:pStyle w:val="NoSpacing"/>
        <w:spacing w:line="276" w:lineRule="auto"/>
        <w:ind w:firstLine="360"/>
        <w:jc w:val="both"/>
        <w:rPr>
          <w:rFonts w:ascii="Arial" w:hAnsi="Arial" w:cs="Arial"/>
          <w:lang w:val="hr-HR"/>
        </w:rPr>
      </w:pPr>
    </w:p>
    <w:p w14:paraId="5A7C72D3" w14:textId="77777777" w:rsidR="00C66C9A" w:rsidRPr="004F7F20" w:rsidRDefault="00C66C9A" w:rsidP="00894C30">
      <w:pPr>
        <w:pStyle w:val="NoSpacing"/>
        <w:spacing w:line="276" w:lineRule="auto"/>
        <w:ind w:firstLine="360"/>
        <w:jc w:val="both"/>
        <w:rPr>
          <w:rFonts w:ascii="Arial" w:hAnsi="Arial" w:cs="Arial"/>
          <w:lang w:val="hr-HR"/>
        </w:rPr>
      </w:pPr>
    </w:p>
    <w:p w14:paraId="6E6E886E" w14:textId="7AD9B996" w:rsidR="00ED768D" w:rsidRPr="004F7F20" w:rsidRDefault="005C1149" w:rsidP="00894C30">
      <w:pPr>
        <w:pStyle w:val="Heading1"/>
        <w:numPr>
          <w:ilvl w:val="0"/>
          <w:numId w:val="5"/>
        </w:numPr>
        <w:spacing w:before="0"/>
        <w:ind w:left="397" w:hanging="397"/>
        <w:rPr>
          <w:rFonts w:ascii="Arial" w:hAnsi="Arial" w:cs="Arial"/>
          <w:b w:val="0"/>
          <w:color w:val="auto"/>
          <w:sz w:val="22"/>
          <w:szCs w:val="22"/>
        </w:rPr>
      </w:pPr>
      <w:bookmarkStart w:id="157" w:name="_Toc424728957"/>
      <w:bookmarkStart w:id="158" w:name="_Toc100823771"/>
      <w:r>
        <w:rPr>
          <w:rFonts w:ascii="Arial" w:hAnsi="Arial" w:cs="Arial"/>
          <w:b w:val="0"/>
          <w:color w:val="auto"/>
          <w:sz w:val="22"/>
          <w:szCs w:val="22"/>
        </w:rPr>
        <w:t>KOMUNIKACIJA S</w:t>
      </w:r>
      <w:r w:rsidR="00ED768D" w:rsidRPr="004F7F20">
        <w:rPr>
          <w:rFonts w:ascii="Arial" w:hAnsi="Arial" w:cs="Arial"/>
          <w:b w:val="0"/>
          <w:color w:val="auto"/>
          <w:sz w:val="22"/>
          <w:szCs w:val="22"/>
        </w:rPr>
        <w:t xml:space="preserve"> TRŽIŠTEM</w:t>
      </w:r>
      <w:bookmarkEnd w:id="157"/>
      <w:bookmarkEnd w:id="158"/>
      <w:r w:rsidR="00ED768D" w:rsidRPr="004F7F20">
        <w:rPr>
          <w:rFonts w:ascii="Arial" w:hAnsi="Arial" w:cs="Arial"/>
          <w:b w:val="0"/>
          <w:color w:val="auto"/>
          <w:sz w:val="22"/>
          <w:szCs w:val="22"/>
        </w:rPr>
        <w:t xml:space="preserve"> </w:t>
      </w:r>
    </w:p>
    <w:p w14:paraId="2174D9D3" w14:textId="77777777" w:rsidR="00ED768D" w:rsidRPr="00CA710D" w:rsidRDefault="00ED768D" w:rsidP="00894C30">
      <w:pPr>
        <w:pStyle w:val="NoSpacing"/>
        <w:spacing w:line="276" w:lineRule="auto"/>
        <w:rPr>
          <w:rFonts w:ascii="Arial" w:hAnsi="Arial" w:cs="Arial"/>
          <w:lang w:val="hr-HR"/>
        </w:rPr>
      </w:pPr>
    </w:p>
    <w:p w14:paraId="1AD542DB" w14:textId="77777777" w:rsidR="00936B3D" w:rsidRPr="00CA710D" w:rsidRDefault="00936B3D" w:rsidP="00894C30">
      <w:pPr>
        <w:pStyle w:val="NoSpacing"/>
        <w:spacing w:line="276" w:lineRule="auto"/>
        <w:rPr>
          <w:rFonts w:ascii="Arial" w:hAnsi="Arial" w:cs="Arial"/>
          <w:lang w:val="hr-HR"/>
        </w:rPr>
      </w:pPr>
    </w:p>
    <w:p w14:paraId="02727ED0" w14:textId="3439C869" w:rsidR="000251A2" w:rsidRPr="00CA710D" w:rsidRDefault="00E76478" w:rsidP="00894C30">
      <w:pPr>
        <w:pStyle w:val="NoSpacing"/>
        <w:spacing w:line="276" w:lineRule="auto"/>
        <w:ind w:firstLine="396"/>
        <w:jc w:val="both"/>
        <w:rPr>
          <w:rFonts w:ascii="Arial" w:hAnsi="Arial" w:cs="Arial"/>
          <w:lang w:val="hr-HR"/>
        </w:rPr>
      </w:pPr>
      <w:r w:rsidRPr="00CA710D">
        <w:rPr>
          <w:rFonts w:ascii="Arial" w:hAnsi="Arial" w:cs="Arial"/>
          <w:lang w:val="hr-HR"/>
        </w:rPr>
        <w:t xml:space="preserve">Ministarstvo </w:t>
      </w:r>
      <w:r w:rsidR="009A78EF">
        <w:rPr>
          <w:rFonts w:ascii="Arial" w:hAnsi="Arial" w:cs="Arial"/>
          <w:lang w:val="hr-HR"/>
        </w:rPr>
        <w:t>financ</w:t>
      </w:r>
      <w:r w:rsidRPr="00CA710D">
        <w:rPr>
          <w:rFonts w:ascii="Arial" w:hAnsi="Arial" w:cs="Arial"/>
          <w:lang w:val="hr-HR"/>
        </w:rPr>
        <w:t>ija</w:t>
      </w:r>
      <w:r w:rsidR="000251A2" w:rsidRPr="00CA710D">
        <w:rPr>
          <w:rFonts w:ascii="Arial" w:hAnsi="Arial" w:cs="Arial"/>
          <w:lang w:val="hr-HR"/>
        </w:rPr>
        <w:t xml:space="preserve"> će </w:t>
      </w:r>
      <w:r w:rsidR="00382E3D" w:rsidRPr="00CA710D">
        <w:rPr>
          <w:rFonts w:ascii="Arial" w:hAnsi="Arial" w:cs="Arial"/>
          <w:lang w:val="hr-HR"/>
        </w:rPr>
        <w:t xml:space="preserve">održavati </w:t>
      </w:r>
      <w:r w:rsidR="000251A2" w:rsidRPr="00CA710D">
        <w:rPr>
          <w:rFonts w:ascii="Arial" w:hAnsi="Arial" w:cs="Arial"/>
          <w:lang w:val="hr-HR"/>
        </w:rPr>
        <w:t xml:space="preserve">komunikaciju sa </w:t>
      </w:r>
      <w:r w:rsidR="005C1149">
        <w:rPr>
          <w:rFonts w:ascii="Arial" w:hAnsi="Arial" w:cs="Arial"/>
          <w:lang w:val="hr-HR"/>
        </w:rPr>
        <w:t>sudionicima</w:t>
      </w:r>
      <w:r w:rsidR="000251A2" w:rsidRPr="00CA710D">
        <w:rPr>
          <w:rFonts w:ascii="Arial" w:hAnsi="Arial" w:cs="Arial"/>
          <w:lang w:val="hr-HR"/>
        </w:rPr>
        <w:t xml:space="preserve"> na tržištu putem redovnih sastanaka i objavljivanjem ključnih informacija o dugu i vladinim politikama. </w:t>
      </w:r>
      <w:r w:rsidRPr="00CA710D">
        <w:rPr>
          <w:rFonts w:ascii="Arial" w:hAnsi="Arial" w:cs="Arial"/>
          <w:lang w:val="hr-HR"/>
        </w:rPr>
        <w:t xml:space="preserve">Ministarstvo </w:t>
      </w:r>
      <w:r w:rsidR="009A78EF">
        <w:rPr>
          <w:rFonts w:ascii="Arial" w:hAnsi="Arial" w:cs="Arial"/>
          <w:lang w:val="hr-HR"/>
        </w:rPr>
        <w:t>financ</w:t>
      </w:r>
      <w:r w:rsidRPr="00CA710D">
        <w:rPr>
          <w:rFonts w:ascii="Arial" w:hAnsi="Arial" w:cs="Arial"/>
          <w:lang w:val="hr-HR"/>
        </w:rPr>
        <w:t>ija</w:t>
      </w:r>
      <w:r w:rsidR="000251A2" w:rsidRPr="00CA710D">
        <w:rPr>
          <w:rFonts w:ascii="Arial" w:hAnsi="Arial" w:cs="Arial"/>
          <w:lang w:val="hr-HR"/>
        </w:rPr>
        <w:t xml:space="preserve"> će nastaviti </w:t>
      </w:r>
      <w:r w:rsidRPr="00CA710D">
        <w:rPr>
          <w:rFonts w:ascii="Arial" w:hAnsi="Arial" w:cs="Arial"/>
          <w:lang w:val="hr-HR"/>
        </w:rPr>
        <w:t xml:space="preserve">da </w:t>
      </w:r>
      <w:r w:rsidR="000251A2" w:rsidRPr="00CA710D">
        <w:rPr>
          <w:rFonts w:ascii="Arial" w:hAnsi="Arial" w:cs="Arial"/>
          <w:lang w:val="hr-HR"/>
        </w:rPr>
        <w:t xml:space="preserve">na </w:t>
      </w:r>
      <w:r w:rsidR="00CE6FD4" w:rsidRPr="00CA710D">
        <w:rPr>
          <w:rFonts w:ascii="Arial" w:hAnsi="Arial" w:cs="Arial"/>
          <w:lang w:val="hr-HR"/>
        </w:rPr>
        <w:t>svojoj internet</w:t>
      </w:r>
      <w:r w:rsidR="009D5FD4">
        <w:rPr>
          <w:rFonts w:ascii="Arial" w:hAnsi="Arial" w:cs="Arial"/>
          <w:lang w:val="hr-HR"/>
        </w:rPr>
        <w:t>skoj</w:t>
      </w:r>
      <w:r w:rsidR="00CE6FD4" w:rsidRPr="00CA710D">
        <w:rPr>
          <w:rFonts w:ascii="Arial" w:hAnsi="Arial" w:cs="Arial"/>
          <w:lang w:val="hr-HR"/>
        </w:rPr>
        <w:t xml:space="preserve"> </w:t>
      </w:r>
      <w:r w:rsidR="000251A2" w:rsidRPr="00CA710D">
        <w:rPr>
          <w:rFonts w:ascii="Arial" w:hAnsi="Arial" w:cs="Arial"/>
          <w:lang w:val="hr-HR"/>
        </w:rPr>
        <w:t>stranici objavljuje indikativni kalendar aukcija vrijednosnih papira, kvartalne kalendare aukcija, godišnji plan zaduživanja, kvartaln</w:t>
      </w:r>
      <w:r w:rsidR="009D5FD4">
        <w:rPr>
          <w:rFonts w:ascii="Arial" w:hAnsi="Arial" w:cs="Arial"/>
          <w:lang w:val="hr-HR"/>
        </w:rPr>
        <w:t>a</w:t>
      </w:r>
      <w:r w:rsidR="000251A2" w:rsidRPr="00CA710D">
        <w:rPr>
          <w:rFonts w:ascii="Arial" w:hAnsi="Arial" w:cs="Arial"/>
          <w:lang w:val="hr-HR"/>
        </w:rPr>
        <w:t xml:space="preserve"> izvješ</w:t>
      </w:r>
      <w:r w:rsidR="009D5FD4">
        <w:rPr>
          <w:rFonts w:ascii="Arial" w:hAnsi="Arial" w:cs="Arial"/>
          <w:lang w:val="hr-HR"/>
        </w:rPr>
        <w:t>ća</w:t>
      </w:r>
      <w:r w:rsidR="000251A2" w:rsidRPr="00CA710D">
        <w:rPr>
          <w:rFonts w:ascii="Arial" w:hAnsi="Arial" w:cs="Arial"/>
          <w:lang w:val="hr-HR"/>
        </w:rPr>
        <w:t xml:space="preserve"> o dugu</w:t>
      </w:r>
      <w:r w:rsidR="00AD7A79" w:rsidRPr="00CA710D">
        <w:rPr>
          <w:rFonts w:ascii="Arial" w:hAnsi="Arial" w:cs="Arial"/>
          <w:lang w:val="hr-HR"/>
        </w:rPr>
        <w:t xml:space="preserve"> </w:t>
      </w:r>
      <w:r w:rsidR="000251A2" w:rsidRPr="00CA710D">
        <w:rPr>
          <w:rFonts w:ascii="Arial" w:hAnsi="Arial" w:cs="Arial"/>
          <w:lang w:val="hr-HR"/>
        </w:rPr>
        <w:t xml:space="preserve">i Strategiju upravljanja dugom </w:t>
      </w:r>
      <w:r w:rsidR="00AD7A79" w:rsidRPr="00CA710D">
        <w:rPr>
          <w:rFonts w:ascii="Arial" w:hAnsi="Arial" w:cs="Arial"/>
          <w:lang w:val="hr-HR"/>
        </w:rPr>
        <w:t>Federacije BiH</w:t>
      </w:r>
      <w:r w:rsidR="00F313C8">
        <w:rPr>
          <w:rFonts w:ascii="Arial" w:hAnsi="Arial" w:cs="Arial"/>
          <w:lang w:val="hr-HR"/>
        </w:rPr>
        <w:t>.</w:t>
      </w:r>
    </w:p>
    <w:p w14:paraId="7D77AE53" w14:textId="77777777" w:rsidR="000251A2" w:rsidRPr="00CA710D" w:rsidRDefault="000251A2" w:rsidP="00894C30">
      <w:pPr>
        <w:pStyle w:val="NoSpacing"/>
        <w:spacing w:line="276" w:lineRule="auto"/>
        <w:jc w:val="both"/>
        <w:rPr>
          <w:rFonts w:ascii="Arial" w:hAnsi="Arial" w:cs="Arial"/>
          <w:lang w:val="hr-HR"/>
        </w:rPr>
      </w:pPr>
    </w:p>
    <w:p w14:paraId="7367B245" w14:textId="5A5CE0D7" w:rsidR="00ED768D" w:rsidRPr="00AF7CAC" w:rsidRDefault="000251A2" w:rsidP="00894C30">
      <w:pPr>
        <w:spacing w:after="0"/>
        <w:ind w:firstLine="396"/>
        <w:jc w:val="both"/>
        <w:rPr>
          <w:rFonts w:ascii="Arial" w:eastAsia="Times New Roman" w:hAnsi="Arial" w:cs="Arial"/>
          <w:color w:val="E36C0A" w:themeColor="accent6" w:themeShade="BF"/>
        </w:rPr>
      </w:pPr>
      <w:r w:rsidRPr="00CA710D">
        <w:rPr>
          <w:rFonts w:ascii="Arial" w:hAnsi="Arial" w:cs="Arial"/>
        </w:rPr>
        <w:t>Informacije o kreditnom rejtingu B</w:t>
      </w:r>
      <w:r w:rsidR="00E76478" w:rsidRPr="00CA710D">
        <w:rPr>
          <w:rFonts w:ascii="Arial" w:hAnsi="Arial" w:cs="Arial"/>
        </w:rPr>
        <w:t>osne i Hercegovine</w:t>
      </w:r>
      <w:r w:rsidRPr="00CA710D">
        <w:rPr>
          <w:rFonts w:ascii="Arial" w:hAnsi="Arial" w:cs="Arial"/>
        </w:rPr>
        <w:t xml:space="preserve"> i </w:t>
      </w:r>
      <w:r w:rsidR="009A78EF">
        <w:rPr>
          <w:rFonts w:ascii="Arial" w:hAnsi="Arial" w:cs="Arial"/>
        </w:rPr>
        <w:t>financ</w:t>
      </w:r>
      <w:r w:rsidRPr="00CA710D">
        <w:rPr>
          <w:rFonts w:ascii="Arial" w:hAnsi="Arial" w:cs="Arial"/>
        </w:rPr>
        <w:t>ijskom sektoru u B</w:t>
      </w:r>
      <w:r w:rsidR="00E76478" w:rsidRPr="00CA710D">
        <w:rPr>
          <w:rFonts w:ascii="Arial" w:hAnsi="Arial" w:cs="Arial"/>
        </w:rPr>
        <w:t>osni i Hercegovini</w:t>
      </w:r>
      <w:r w:rsidRPr="00CA710D">
        <w:rPr>
          <w:rFonts w:ascii="Arial" w:hAnsi="Arial" w:cs="Arial"/>
        </w:rPr>
        <w:t xml:space="preserve"> mogu se naći na </w:t>
      </w:r>
      <w:r w:rsidR="00C76413" w:rsidRPr="00CA710D">
        <w:rPr>
          <w:rFonts w:ascii="Arial" w:hAnsi="Arial" w:cs="Arial"/>
        </w:rPr>
        <w:t>web</w:t>
      </w:r>
      <w:r w:rsidRPr="00CA710D">
        <w:rPr>
          <w:rFonts w:ascii="Arial" w:hAnsi="Arial" w:cs="Arial"/>
        </w:rPr>
        <w:t xml:space="preserve"> stranici Centralne banke Bosne i Hercegovin</w:t>
      </w:r>
      <w:r w:rsidR="00D945EA" w:rsidRPr="00CA710D">
        <w:rPr>
          <w:rFonts w:ascii="Arial" w:hAnsi="Arial" w:cs="Arial"/>
        </w:rPr>
        <w:t>e http://www.cbbh.ba, a dodatne</w:t>
      </w:r>
      <w:r w:rsidRPr="00CA710D">
        <w:rPr>
          <w:rFonts w:ascii="Arial" w:hAnsi="Arial" w:cs="Arial"/>
        </w:rPr>
        <w:t xml:space="preserve"> informacije i podaci o javnom dugu u </w:t>
      </w:r>
      <w:r w:rsidR="00E76478" w:rsidRPr="00CA710D">
        <w:rPr>
          <w:rFonts w:ascii="Arial" w:hAnsi="Arial" w:cs="Arial"/>
        </w:rPr>
        <w:t>Bosn</w:t>
      </w:r>
      <w:r w:rsidR="00D864A3" w:rsidRPr="00CA710D">
        <w:rPr>
          <w:rFonts w:ascii="Arial" w:hAnsi="Arial" w:cs="Arial"/>
        </w:rPr>
        <w:t>e i Hercegovine</w:t>
      </w:r>
      <w:r w:rsidRPr="00CA710D">
        <w:rPr>
          <w:rFonts w:ascii="Arial" w:hAnsi="Arial" w:cs="Arial"/>
        </w:rPr>
        <w:t xml:space="preserve"> na </w:t>
      </w:r>
      <w:r w:rsidR="00C242B6" w:rsidRPr="00CA710D">
        <w:rPr>
          <w:rFonts w:ascii="Arial" w:hAnsi="Arial" w:cs="Arial"/>
        </w:rPr>
        <w:t>web</w:t>
      </w:r>
      <w:r w:rsidR="00CE6FD4" w:rsidRPr="00CA710D">
        <w:rPr>
          <w:rFonts w:ascii="Arial" w:hAnsi="Arial" w:cs="Arial"/>
        </w:rPr>
        <w:t xml:space="preserve"> </w:t>
      </w:r>
      <w:r w:rsidRPr="00CA710D">
        <w:rPr>
          <w:rFonts w:ascii="Arial" w:hAnsi="Arial" w:cs="Arial"/>
        </w:rPr>
        <w:t>st</w:t>
      </w:r>
      <w:r w:rsidR="00D945EA" w:rsidRPr="00CA710D">
        <w:rPr>
          <w:rFonts w:ascii="Arial" w:hAnsi="Arial" w:cs="Arial"/>
        </w:rPr>
        <w:t xml:space="preserve">ranici Ministarstva </w:t>
      </w:r>
      <w:r w:rsidR="009A78EF">
        <w:rPr>
          <w:rFonts w:ascii="Arial" w:hAnsi="Arial" w:cs="Arial"/>
        </w:rPr>
        <w:t>financ</w:t>
      </w:r>
      <w:r w:rsidR="00D945EA" w:rsidRPr="00CA710D">
        <w:rPr>
          <w:rFonts w:ascii="Arial" w:hAnsi="Arial" w:cs="Arial"/>
        </w:rPr>
        <w:t>ija i</w:t>
      </w:r>
      <w:r w:rsidRPr="00CA710D">
        <w:rPr>
          <w:rFonts w:ascii="Arial" w:hAnsi="Arial" w:cs="Arial"/>
        </w:rPr>
        <w:t xml:space="preserve"> trezora BiH</w:t>
      </w:r>
      <w:r w:rsidR="00F313C8" w:rsidRPr="00F313C8">
        <w:t xml:space="preserve"> </w:t>
      </w:r>
      <w:hyperlink r:id="rId25" w:history="1">
        <w:r w:rsidR="00F313C8" w:rsidRPr="007F73C7">
          <w:rPr>
            <w:rStyle w:val="Hyperlink"/>
            <w:rFonts w:ascii="Arial" w:hAnsi="Arial" w:cs="Arial"/>
          </w:rPr>
          <w:t>http://www.mft.gov.ba</w:t>
        </w:r>
      </w:hyperlink>
      <w:r w:rsidR="00F313C8" w:rsidRPr="00CA710D">
        <w:rPr>
          <w:rFonts w:ascii="Arial" w:hAnsi="Arial" w:cs="Arial"/>
        </w:rPr>
        <w:t>.</w:t>
      </w:r>
    </w:p>
    <w:p w14:paraId="6C2EE53E" w14:textId="77777777" w:rsidR="00ED768D" w:rsidRDefault="00ED768D" w:rsidP="00ED768D">
      <w:pPr>
        <w:spacing w:after="0" w:line="240" w:lineRule="auto"/>
      </w:pPr>
    </w:p>
    <w:p w14:paraId="1949B3EF" w14:textId="77777777" w:rsidR="00FA2D8E" w:rsidRDefault="00FA2D8E" w:rsidP="00ED768D">
      <w:pPr>
        <w:spacing w:after="0" w:line="240" w:lineRule="auto"/>
      </w:pPr>
    </w:p>
    <w:p w14:paraId="269F0A8C" w14:textId="77777777" w:rsidR="005269DA" w:rsidRDefault="005269DA" w:rsidP="00ED768D">
      <w:pPr>
        <w:spacing w:after="0" w:line="240" w:lineRule="auto"/>
      </w:pPr>
    </w:p>
    <w:p w14:paraId="17604398" w14:textId="77777777" w:rsidR="005269DA" w:rsidRDefault="005269DA" w:rsidP="00ED768D">
      <w:pPr>
        <w:spacing w:after="0" w:line="240" w:lineRule="auto"/>
      </w:pPr>
    </w:p>
    <w:p w14:paraId="28FADDF1" w14:textId="77777777" w:rsidR="001349F9" w:rsidRDefault="001349F9" w:rsidP="00ED768D">
      <w:pPr>
        <w:spacing w:after="0" w:line="240" w:lineRule="auto"/>
      </w:pPr>
    </w:p>
    <w:p w14:paraId="630DE027" w14:textId="77777777" w:rsidR="005269DA" w:rsidRDefault="005269DA" w:rsidP="00ED768D">
      <w:pPr>
        <w:spacing w:after="0" w:line="240" w:lineRule="auto"/>
      </w:pPr>
    </w:p>
    <w:p w14:paraId="265D3261" w14:textId="77777777" w:rsidR="005269DA" w:rsidRDefault="005269DA" w:rsidP="00ED768D">
      <w:pPr>
        <w:spacing w:after="0" w:line="240" w:lineRule="auto"/>
      </w:pPr>
    </w:p>
    <w:p w14:paraId="60627087" w14:textId="77777777" w:rsidR="005269DA" w:rsidRDefault="005269DA" w:rsidP="00ED768D">
      <w:pPr>
        <w:spacing w:after="0" w:line="240" w:lineRule="auto"/>
      </w:pPr>
    </w:p>
    <w:p w14:paraId="38F489B3" w14:textId="41FE1D7F" w:rsidR="00FA2D8E" w:rsidRPr="00EE71E4" w:rsidRDefault="00FA2D8E" w:rsidP="00FA2D8E">
      <w:pPr>
        <w:ind w:right="49" w:firstLine="284"/>
        <w:jc w:val="both"/>
        <w:rPr>
          <w:rFonts w:ascii="Arial" w:hAnsi="Arial" w:cs="Arial"/>
          <w:sz w:val="24"/>
          <w:szCs w:val="24"/>
        </w:rPr>
      </w:pPr>
      <w:r w:rsidRPr="00EE71E4">
        <w:rPr>
          <w:rFonts w:ascii="Arial" w:hAnsi="Arial" w:cs="Arial"/>
          <w:sz w:val="24"/>
          <w:szCs w:val="24"/>
        </w:rPr>
        <w:lastRenderedPageBreak/>
        <w:t xml:space="preserve">Na </w:t>
      </w:r>
      <w:r w:rsidR="009D5FD4">
        <w:rPr>
          <w:rFonts w:ascii="Arial" w:hAnsi="Arial" w:cs="Arial"/>
          <w:sz w:val="24"/>
          <w:szCs w:val="24"/>
        </w:rPr>
        <w:t>temelju</w:t>
      </w:r>
      <w:r w:rsidRPr="00EE71E4">
        <w:rPr>
          <w:rFonts w:ascii="Arial" w:hAnsi="Arial" w:cs="Arial"/>
          <w:sz w:val="24"/>
          <w:szCs w:val="24"/>
        </w:rPr>
        <w:t xml:space="preserve"> član</w:t>
      </w:r>
      <w:r w:rsidR="009D5FD4">
        <w:rPr>
          <w:rFonts w:ascii="Arial" w:hAnsi="Arial" w:cs="Arial"/>
          <w:sz w:val="24"/>
          <w:szCs w:val="24"/>
        </w:rPr>
        <w:t>k</w:t>
      </w:r>
      <w:r w:rsidRPr="00EE71E4">
        <w:rPr>
          <w:rFonts w:ascii="Arial" w:hAnsi="Arial" w:cs="Arial"/>
          <w:sz w:val="24"/>
          <w:szCs w:val="24"/>
        </w:rPr>
        <w:t xml:space="preserve">a 19. </w:t>
      </w:r>
      <w:r w:rsidR="009D5FD4">
        <w:rPr>
          <w:rFonts w:ascii="Arial" w:hAnsi="Arial" w:cs="Arial"/>
          <w:sz w:val="24"/>
          <w:szCs w:val="24"/>
        </w:rPr>
        <w:t>s</w:t>
      </w:r>
      <w:r w:rsidRPr="00EE71E4">
        <w:rPr>
          <w:rFonts w:ascii="Arial" w:hAnsi="Arial" w:cs="Arial"/>
          <w:sz w:val="24"/>
          <w:szCs w:val="24"/>
        </w:rPr>
        <w:t>tav</w:t>
      </w:r>
      <w:r w:rsidR="009D5FD4">
        <w:rPr>
          <w:rFonts w:ascii="Arial" w:hAnsi="Arial" w:cs="Arial"/>
          <w:sz w:val="24"/>
          <w:szCs w:val="24"/>
        </w:rPr>
        <w:t>ak</w:t>
      </w:r>
      <w:r w:rsidRPr="00EE71E4">
        <w:rPr>
          <w:rFonts w:ascii="Arial" w:hAnsi="Arial" w:cs="Arial"/>
          <w:sz w:val="24"/>
          <w:szCs w:val="24"/>
        </w:rPr>
        <w:t xml:space="preserve"> 4. Zakona o Vladi Federacije Bosne i Hercegovine („Službene novine Federacije BiH“, br</w:t>
      </w:r>
      <w:r w:rsidR="009D5FD4">
        <w:rPr>
          <w:rFonts w:ascii="Arial" w:hAnsi="Arial" w:cs="Arial"/>
          <w:sz w:val="24"/>
          <w:szCs w:val="24"/>
        </w:rPr>
        <w:t>.</w:t>
      </w:r>
      <w:r w:rsidRPr="00EE71E4">
        <w:rPr>
          <w:rFonts w:ascii="Arial" w:hAnsi="Arial" w:cs="Arial"/>
          <w:sz w:val="24"/>
          <w:szCs w:val="24"/>
        </w:rPr>
        <w:t xml:space="preserve"> 1/94, 8/95, 58/02, 19/03, 2/06 i 8/06), Vlada Federacije Bosne i Hercegovine na _______sjednici, održanoj ______________</w:t>
      </w:r>
      <w:r w:rsidR="004F7F20" w:rsidRPr="00EE71E4">
        <w:rPr>
          <w:rFonts w:ascii="Arial" w:hAnsi="Arial" w:cs="Arial"/>
          <w:sz w:val="24"/>
          <w:szCs w:val="24"/>
        </w:rPr>
        <w:t>20</w:t>
      </w:r>
      <w:r w:rsidR="004F7F20">
        <w:rPr>
          <w:rFonts w:ascii="Arial" w:hAnsi="Arial" w:cs="Arial"/>
          <w:sz w:val="24"/>
          <w:szCs w:val="24"/>
        </w:rPr>
        <w:t>22</w:t>
      </w:r>
      <w:r w:rsidRPr="00EE71E4">
        <w:rPr>
          <w:rFonts w:ascii="Arial" w:hAnsi="Arial" w:cs="Arial"/>
          <w:sz w:val="24"/>
          <w:szCs w:val="24"/>
        </w:rPr>
        <w:t>., donosi:</w:t>
      </w:r>
    </w:p>
    <w:p w14:paraId="18536761" w14:textId="77777777" w:rsidR="00FA2D8E" w:rsidRPr="00EE71E4" w:rsidRDefault="00FA2D8E" w:rsidP="00FA2D8E">
      <w:pPr>
        <w:ind w:right="49" w:firstLine="284"/>
        <w:jc w:val="both"/>
        <w:rPr>
          <w:rFonts w:ascii="Arial" w:hAnsi="Arial" w:cs="Arial"/>
          <w:sz w:val="24"/>
          <w:szCs w:val="24"/>
        </w:rPr>
      </w:pPr>
    </w:p>
    <w:p w14:paraId="52B1B56D" w14:textId="77777777" w:rsidR="00FA2D8E" w:rsidRPr="009C725F" w:rsidRDefault="00FA2D8E" w:rsidP="009C725F">
      <w:pPr>
        <w:jc w:val="center"/>
        <w:rPr>
          <w:rFonts w:ascii="Arial" w:hAnsi="Arial" w:cs="Arial"/>
          <w:b/>
          <w:sz w:val="24"/>
        </w:rPr>
      </w:pPr>
      <w:bookmarkStart w:id="159" w:name="_Toc427587426"/>
      <w:bookmarkStart w:id="160" w:name="_Toc427587498"/>
      <w:bookmarkStart w:id="161" w:name="_Toc427760800"/>
      <w:r w:rsidRPr="009C725F">
        <w:rPr>
          <w:rFonts w:ascii="Arial" w:hAnsi="Arial" w:cs="Arial"/>
          <w:b/>
          <w:sz w:val="32"/>
        </w:rPr>
        <w:t>Z A K LJ U Č A K</w:t>
      </w:r>
      <w:bookmarkEnd w:id="159"/>
      <w:bookmarkEnd w:id="160"/>
      <w:bookmarkEnd w:id="161"/>
    </w:p>
    <w:p w14:paraId="0689F17D" w14:textId="77777777" w:rsidR="00FA2D8E" w:rsidRPr="00B46824" w:rsidRDefault="00FA2D8E" w:rsidP="00FA2D8E">
      <w:pPr>
        <w:tabs>
          <w:tab w:val="num" w:pos="1260"/>
        </w:tabs>
        <w:ind w:left="709"/>
        <w:jc w:val="both"/>
        <w:rPr>
          <w:rFonts w:ascii="Arial" w:hAnsi="Arial" w:cs="Arial"/>
          <w:sz w:val="24"/>
          <w:szCs w:val="24"/>
        </w:rPr>
      </w:pPr>
    </w:p>
    <w:p w14:paraId="7502088C" w14:textId="31D25DE4" w:rsidR="00FA2D8E" w:rsidRPr="004F7F20" w:rsidRDefault="00FA2D8E" w:rsidP="00FA2D8E">
      <w:pPr>
        <w:pStyle w:val="NoSpacing"/>
        <w:numPr>
          <w:ilvl w:val="0"/>
          <w:numId w:val="26"/>
        </w:numPr>
        <w:ind w:left="0" w:firstLine="0"/>
        <w:jc w:val="both"/>
        <w:rPr>
          <w:rFonts w:ascii="Arial" w:hAnsi="Arial" w:cs="Arial"/>
          <w:sz w:val="24"/>
          <w:szCs w:val="24"/>
        </w:rPr>
      </w:pPr>
      <w:r w:rsidRPr="00D912D1">
        <w:rPr>
          <w:rFonts w:ascii="Arial" w:hAnsi="Arial" w:cs="Arial"/>
          <w:sz w:val="24"/>
          <w:szCs w:val="24"/>
        </w:rPr>
        <w:t xml:space="preserve">Usvaja se </w:t>
      </w:r>
      <w:r w:rsidRPr="004F7F20">
        <w:rPr>
          <w:rFonts w:ascii="Arial" w:hAnsi="Arial" w:cs="Arial"/>
          <w:sz w:val="24"/>
          <w:szCs w:val="24"/>
        </w:rPr>
        <w:t xml:space="preserve">Strategija upravljanja dugom </w:t>
      </w:r>
      <w:r w:rsidR="00F038BE" w:rsidRPr="004F7F20">
        <w:rPr>
          <w:rFonts w:ascii="Arial" w:hAnsi="Arial" w:cs="Arial"/>
          <w:sz w:val="24"/>
          <w:szCs w:val="24"/>
        </w:rPr>
        <w:t>2022</w:t>
      </w:r>
      <w:r w:rsidR="00832522">
        <w:rPr>
          <w:rFonts w:ascii="Arial" w:hAnsi="Arial" w:cs="Arial"/>
          <w:sz w:val="24"/>
          <w:szCs w:val="24"/>
        </w:rPr>
        <w:t>.</w:t>
      </w:r>
      <w:r w:rsidR="00F038BE" w:rsidRPr="004F7F20">
        <w:rPr>
          <w:rFonts w:ascii="Arial" w:hAnsi="Arial" w:cs="Arial"/>
          <w:sz w:val="24"/>
          <w:szCs w:val="24"/>
        </w:rPr>
        <w:t xml:space="preserve"> </w:t>
      </w:r>
      <w:r w:rsidRPr="004F7F20">
        <w:rPr>
          <w:rFonts w:ascii="Arial" w:hAnsi="Arial" w:cs="Arial"/>
          <w:sz w:val="24"/>
          <w:szCs w:val="24"/>
        </w:rPr>
        <w:t xml:space="preserve">– </w:t>
      </w:r>
      <w:r w:rsidR="00F038BE" w:rsidRPr="004F7F20">
        <w:rPr>
          <w:rFonts w:ascii="Arial" w:hAnsi="Arial" w:cs="Arial"/>
          <w:sz w:val="24"/>
          <w:szCs w:val="24"/>
        </w:rPr>
        <w:t>2024</w:t>
      </w:r>
      <w:r w:rsidRPr="004F7F20">
        <w:rPr>
          <w:rFonts w:ascii="Arial" w:hAnsi="Arial" w:cs="Arial"/>
          <w:sz w:val="24"/>
          <w:szCs w:val="24"/>
        </w:rPr>
        <w:t>.</w:t>
      </w:r>
      <w:r w:rsidR="009D5FD4">
        <w:rPr>
          <w:rFonts w:ascii="Arial" w:hAnsi="Arial" w:cs="Arial"/>
          <w:sz w:val="24"/>
          <w:szCs w:val="24"/>
        </w:rPr>
        <w:t xml:space="preserve"> </w:t>
      </w:r>
    </w:p>
    <w:p w14:paraId="6A0ECF47" w14:textId="77777777" w:rsidR="00FA2D8E" w:rsidRDefault="00FA2D8E" w:rsidP="00FA2D8E">
      <w:pPr>
        <w:pStyle w:val="NoSpacing"/>
        <w:jc w:val="both"/>
        <w:rPr>
          <w:rFonts w:ascii="Arial" w:hAnsi="Arial" w:cs="Arial"/>
          <w:sz w:val="24"/>
          <w:szCs w:val="24"/>
        </w:rPr>
      </w:pPr>
    </w:p>
    <w:p w14:paraId="5532D0B3" w14:textId="6E68BED4" w:rsidR="00FA2D8E" w:rsidRPr="004F7F20" w:rsidRDefault="00FA2D8E" w:rsidP="00FA2D8E">
      <w:pPr>
        <w:pStyle w:val="NoSpacing"/>
        <w:numPr>
          <w:ilvl w:val="0"/>
          <w:numId w:val="26"/>
        </w:numPr>
        <w:spacing w:line="276" w:lineRule="auto"/>
        <w:ind w:left="0" w:firstLine="0"/>
        <w:jc w:val="both"/>
        <w:rPr>
          <w:rFonts w:ascii="Arial" w:eastAsia="Calibri" w:hAnsi="Arial" w:cs="Arial"/>
          <w:noProof/>
          <w:sz w:val="24"/>
          <w:szCs w:val="24"/>
          <w:lang w:val="hr-BA"/>
        </w:rPr>
      </w:pPr>
      <w:r w:rsidRPr="00103245">
        <w:rPr>
          <w:rFonts w:ascii="Arial" w:eastAsia="Calibri" w:hAnsi="Arial" w:cs="Arial"/>
          <w:noProof/>
          <w:sz w:val="24"/>
          <w:szCs w:val="24"/>
          <w:lang w:val="hr-BA"/>
        </w:rPr>
        <w:t xml:space="preserve">Zadužuje se </w:t>
      </w:r>
      <w:r w:rsidRPr="00D912D1">
        <w:rPr>
          <w:rFonts w:ascii="Arial" w:eastAsia="Calibri" w:hAnsi="Arial" w:cs="Arial"/>
          <w:noProof/>
          <w:sz w:val="24"/>
          <w:szCs w:val="24"/>
          <w:lang w:val="hr-BA"/>
        </w:rPr>
        <w:t xml:space="preserve">Federalno ministarstvo </w:t>
      </w:r>
      <w:r w:rsidR="009A78EF">
        <w:rPr>
          <w:rFonts w:ascii="Arial" w:eastAsia="Calibri" w:hAnsi="Arial" w:cs="Arial"/>
          <w:noProof/>
          <w:sz w:val="24"/>
          <w:szCs w:val="24"/>
          <w:lang w:val="hr-BA"/>
        </w:rPr>
        <w:t>financ</w:t>
      </w:r>
      <w:r w:rsidRPr="00D912D1">
        <w:rPr>
          <w:rFonts w:ascii="Arial" w:eastAsia="Calibri" w:hAnsi="Arial" w:cs="Arial"/>
          <w:noProof/>
          <w:sz w:val="24"/>
          <w:szCs w:val="24"/>
          <w:lang w:val="hr-BA"/>
        </w:rPr>
        <w:t>ija-Federalno ministarstvo finan</w:t>
      </w:r>
      <w:r w:rsidR="009D5FD4">
        <w:rPr>
          <w:rFonts w:ascii="Arial" w:eastAsia="Calibri" w:hAnsi="Arial" w:cs="Arial"/>
          <w:noProof/>
          <w:sz w:val="24"/>
          <w:szCs w:val="24"/>
          <w:lang w:val="hr-BA"/>
        </w:rPr>
        <w:t>s</w:t>
      </w:r>
      <w:r w:rsidRPr="00D912D1">
        <w:rPr>
          <w:rFonts w:ascii="Arial" w:eastAsia="Calibri" w:hAnsi="Arial" w:cs="Arial"/>
          <w:noProof/>
          <w:sz w:val="24"/>
          <w:szCs w:val="24"/>
          <w:lang w:val="hr-BA"/>
        </w:rPr>
        <w:t xml:space="preserve">ija, da </w:t>
      </w:r>
      <w:r w:rsidRPr="004F7F20">
        <w:rPr>
          <w:rFonts w:ascii="Arial" w:hAnsi="Arial" w:cs="Arial"/>
          <w:sz w:val="24"/>
          <w:szCs w:val="24"/>
        </w:rPr>
        <w:t xml:space="preserve">Strategiju upravljanja dugom </w:t>
      </w:r>
      <w:r w:rsidR="00F038BE" w:rsidRPr="004F7F20">
        <w:rPr>
          <w:rFonts w:ascii="Arial" w:hAnsi="Arial" w:cs="Arial"/>
          <w:sz w:val="24"/>
          <w:szCs w:val="24"/>
        </w:rPr>
        <w:t>2022</w:t>
      </w:r>
      <w:r w:rsidR="00832522">
        <w:rPr>
          <w:rFonts w:ascii="Arial" w:hAnsi="Arial" w:cs="Arial"/>
          <w:sz w:val="24"/>
          <w:szCs w:val="24"/>
        </w:rPr>
        <w:t>.</w:t>
      </w:r>
      <w:r w:rsidR="00F038BE" w:rsidRPr="004F7F20">
        <w:rPr>
          <w:rFonts w:ascii="Arial" w:hAnsi="Arial" w:cs="Arial"/>
          <w:sz w:val="24"/>
          <w:szCs w:val="24"/>
        </w:rPr>
        <w:t xml:space="preserve"> </w:t>
      </w:r>
      <w:r w:rsidR="005269DA" w:rsidRPr="004F7F20">
        <w:rPr>
          <w:rFonts w:ascii="Arial" w:hAnsi="Arial" w:cs="Arial"/>
          <w:sz w:val="24"/>
          <w:szCs w:val="24"/>
        </w:rPr>
        <w:t xml:space="preserve">– </w:t>
      </w:r>
      <w:r w:rsidR="00F038BE" w:rsidRPr="004F7F20">
        <w:rPr>
          <w:rFonts w:ascii="Arial" w:hAnsi="Arial" w:cs="Arial"/>
          <w:sz w:val="24"/>
          <w:szCs w:val="24"/>
        </w:rPr>
        <w:t>2024</w:t>
      </w:r>
      <w:r w:rsidR="005269DA" w:rsidRPr="004F7F20">
        <w:rPr>
          <w:rFonts w:ascii="Arial" w:hAnsi="Arial" w:cs="Arial"/>
          <w:sz w:val="24"/>
          <w:szCs w:val="24"/>
        </w:rPr>
        <w:t>.</w:t>
      </w:r>
      <w:r w:rsidR="009D5FD4">
        <w:rPr>
          <w:rFonts w:ascii="Arial" w:hAnsi="Arial" w:cs="Arial"/>
          <w:sz w:val="24"/>
          <w:szCs w:val="24"/>
        </w:rPr>
        <w:t xml:space="preserve"> </w:t>
      </w:r>
      <w:r w:rsidRPr="004F7F20">
        <w:rPr>
          <w:rFonts w:ascii="Arial" w:hAnsi="Arial" w:cs="Arial"/>
          <w:sz w:val="24"/>
          <w:szCs w:val="24"/>
        </w:rPr>
        <w:t>o</w:t>
      </w:r>
      <w:r w:rsidRPr="004F7F20">
        <w:rPr>
          <w:rFonts w:ascii="Arial" w:eastAsia="Calibri" w:hAnsi="Arial" w:cs="Arial"/>
          <w:noProof/>
          <w:sz w:val="24"/>
          <w:szCs w:val="24"/>
          <w:lang w:val="hr-BA"/>
        </w:rPr>
        <w:t>bjavi na svojoj web stranici.</w:t>
      </w:r>
    </w:p>
    <w:p w14:paraId="197D512D" w14:textId="77777777" w:rsidR="00FA2D8E" w:rsidRPr="004F7F20" w:rsidRDefault="00FA2D8E" w:rsidP="00FA2D8E">
      <w:pPr>
        <w:pStyle w:val="NoSpacing"/>
        <w:spacing w:line="276" w:lineRule="auto"/>
        <w:jc w:val="both"/>
        <w:rPr>
          <w:rFonts w:ascii="Arial" w:eastAsia="Calibri" w:hAnsi="Arial" w:cs="Arial"/>
          <w:noProof/>
          <w:sz w:val="24"/>
          <w:szCs w:val="24"/>
          <w:lang w:val="hr-BA"/>
        </w:rPr>
      </w:pPr>
    </w:p>
    <w:p w14:paraId="779FDF45" w14:textId="436DC466" w:rsidR="00FA2D8E" w:rsidRPr="004F7F20" w:rsidRDefault="00FA2D8E" w:rsidP="00FA2D8E">
      <w:pPr>
        <w:pStyle w:val="NoSpacing"/>
        <w:numPr>
          <w:ilvl w:val="0"/>
          <w:numId w:val="26"/>
        </w:numPr>
        <w:spacing w:line="276" w:lineRule="auto"/>
        <w:ind w:left="0" w:firstLine="0"/>
        <w:jc w:val="both"/>
        <w:rPr>
          <w:rFonts w:ascii="Arial" w:eastAsia="Calibri" w:hAnsi="Arial" w:cs="Arial"/>
          <w:noProof/>
          <w:sz w:val="24"/>
          <w:szCs w:val="24"/>
          <w:lang w:val="hr-BA"/>
        </w:rPr>
      </w:pPr>
      <w:r w:rsidRPr="004F7F20">
        <w:rPr>
          <w:rFonts w:ascii="Arial" w:eastAsia="Calibri" w:hAnsi="Arial" w:cs="Arial"/>
          <w:noProof/>
          <w:sz w:val="24"/>
          <w:szCs w:val="24"/>
          <w:lang w:val="hr-BA"/>
        </w:rPr>
        <w:t>Zadužuje se G</w:t>
      </w:r>
      <w:r w:rsidR="009D5FD4">
        <w:rPr>
          <w:rFonts w:ascii="Arial" w:eastAsia="Calibri" w:hAnsi="Arial" w:cs="Arial"/>
          <w:noProof/>
          <w:sz w:val="24"/>
          <w:szCs w:val="24"/>
          <w:lang w:val="hr-BA"/>
        </w:rPr>
        <w:t>lavno tajništvo</w:t>
      </w:r>
      <w:r w:rsidRPr="004F7F20">
        <w:rPr>
          <w:rFonts w:ascii="Arial" w:eastAsia="Calibri" w:hAnsi="Arial" w:cs="Arial"/>
          <w:noProof/>
          <w:sz w:val="24"/>
          <w:szCs w:val="24"/>
          <w:lang w:val="hr-BA"/>
        </w:rPr>
        <w:t xml:space="preserve"> Vlade Federacije Bosne i Hercegovine da </w:t>
      </w:r>
      <w:r w:rsidRPr="004F7F20">
        <w:rPr>
          <w:rFonts w:ascii="Arial" w:hAnsi="Arial" w:cs="Arial"/>
          <w:sz w:val="24"/>
          <w:szCs w:val="24"/>
        </w:rPr>
        <w:t xml:space="preserve">Strategiju upravljanja dugom </w:t>
      </w:r>
      <w:r w:rsidR="00F038BE" w:rsidRPr="004F7F20">
        <w:rPr>
          <w:rFonts w:ascii="Arial" w:hAnsi="Arial" w:cs="Arial"/>
          <w:sz w:val="24"/>
          <w:szCs w:val="24"/>
        </w:rPr>
        <w:t>2022</w:t>
      </w:r>
      <w:r w:rsidR="00832522">
        <w:rPr>
          <w:rFonts w:ascii="Arial" w:hAnsi="Arial" w:cs="Arial"/>
          <w:sz w:val="24"/>
          <w:szCs w:val="24"/>
        </w:rPr>
        <w:t>.</w:t>
      </w:r>
      <w:r w:rsidR="00F038BE" w:rsidRPr="004F7F20">
        <w:rPr>
          <w:rFonts w:ascii="Arial" w:hAnsi="Arial" w:cs="Arial"/>
          <w:sz w:val="24"/>
          <w:szCs w:val="24"/>
        </w:rPr>
        <w:t xml:space="preserve"> </w:t>
      </w:r>
      <w:r w:rsidR="005269DA" w:rsidRPr="004F7F20">
        <w:rPr>
          <w:rFonts w:ascii="Arial" w:hAnsi="Arial" w:cs="Arial"/>
          <w:sz w:val="24"/>
          <w:szCs w:val="24"/>
        </w:rPr>
        <w:t xml:space="preserve">– </w:t>
      </w:r>
      <w:r w:rsidR="00F038BE" w:rsidRPr="004F7F20">
        <w:rPr>
          <w:rFonts w:ascii="Arial" w:hAnsi="Arial" w:cs="Arial"/>
          <w:sz w:val="24"/>
          <w:szCs w:val="24"/>
        </w:rPr>
        <w:t>2024</w:t>
      </w:r>
      <w:r w:rsidR="005269DA" w:rsidRPr="004F7F20">
        <w:rPr>
          <w:rFonts w:ascii="Arial" w:hAnsi="Arial" w:cs="Arial"/>
          <w:sz w:val="24"/>
          <w:szCs w:val="24"/>
        </w:rPr>
        <w:t xml:space="preserve">., </w:t>
      </w:r>
      <w:r w:rsidRPr="004F7F20">
        <w:rPr>
          <w:rFonts w:ascii="Arial" w:eastAsia="Calibri" w:hAnsi="Arial" w:cs="Arial"/>
          <w:noProof/>
          <w:sz w:val="24"/>
          <w:szCs w:val="24"/>
          <w:lang w:val="hr-BA"/>
        </w:rPr>
        <w:t>proslijedi Parlamentu Federacije Bosne i Hercegovine radi informiranja.</w:t>
      </w:r>
    </w:p>
    <w:p w14:paraId="4B45558C" w14:textId="77777777" w:rsidR="00FA2D8E" w:rsidRPr="004F7F20" w:rsidRDefault="00FA2D8E" w:rsidP="00FA2D8E">
      <w:pPr>
        <w:pStyle w:val="NoSpacing"/>
        <w:ind w:left="709"/>
        <w:jc w:val="both"/>
        <w:rPr>
          <w:rFonts w:ascii="Arial" w:hAnsi="Arial" w:cs="Arial"/>
          <w:sz w:val="24"/>
          <w:szCs w:val="24"/>
        </w:rPr>
      </w:pPr>
    </w:p>
    <w:p w14:paraId="3DEFC2E3" w14:textId="2FB76DAE" w:rsidR="00FA2D8E" w:rsidRPr="004F7F20" w:rsidRDefault="00FA2D8E" w:rsidP="00FA2D8E">
      <w:pPr>
        <w:pStyle w:val="NoSpacing"/>
        <w:numPr>
          <w:ilvl w:val="0"/>
          <w:numId w:val="26"/>
        </w:numPr>
        <w:ind w:left="0" w:firstLine="0"/>
        <w:jc w:val="both"/>
        <w:rPr>
          <w:rFonts w:ascii="Arial" w:hAnsi="Arial" w:cs="Arial"/>
          <w:sz w:val="24"/>
          <w:szCs w:val="24"/>
          <w:lang w:val="hr-BA"/>
        </w:rPr>
      </w:pPr>
      <w:r w:rsidRPr="004F7F20">
        <w:rPr>
          <w:rFonts w:ascii="Arial" w:hAnsi="Arial" w:cs="Arial"/>
          <w:sz w:val="24"/>
          <w:szCs w:val="24"/>
          <w:lang w:val="hr-BA"/>
        </w:rPr>
        <w:t xml:space="preserve">Ovaj </w:t>
      </w:r>
      <w:r w:rsidR="009D5FD4" w:rsidRPr="004F7F20">
        <w:rPr>
          <w:rFonts w:ascii="Arial" w:hAnsi="Arial" w:cs="Arial"/>
          <w:sz w:val="24"/>
          <w:szCs w:val="24"/>
          <w:lang w:val="hr-BA"/>
        </w:rPr>
        <w:t xml:space="preserve">Zaključak </w:t>
      </w:r>
      <w:r w:rsidRPr="004F7F20">
        <w:rPr>
          <w:rFonts w:ascii="Arial" w:hAnsi="Arial" w:cs="Arial"/>
          <w:sz w:val="24"/>
          <w:szCs w:val="24"/>
          <w:lang w:val="hr-BA"/>
        </w:rPr>
        <w:t>stupa na snagu danom donošenja.</w:t>
      </w:r>
    </w:p>
    <w:p w14:paraId="32144EF0" w14:textId="77777777" w:rsidR="00FA2D8E" w:rsidRPr="004F7F20" w:rsidRDefault="00FA2D8E" w:rsidP="00FA2D8E">
      <w:pPr>
        <w:spacing w:before="240" w:line="240" w:lineRule="auto"/>
        <w:ind w:left="720"/>
        <w:contextualSpacing/>
        <w:rPr>
          <w:rFonts w:ascii="Arial" w:eastAsia="Times New Roman" w:hAnsi="Arial" w:cs="Arial"/>
          <w:color w:val="548DD4" w:themeColor="text2" w:themeTint="99"/>
          <w:sz w:val="24"/>
          <w:szCs w:val="24"/>
        </w:rPr>
      </w:pPr>
    </w:p>
    <w:p w14:paraId="50252A2C" w14:textId="77777777" w:rsidR="00FA2D8E" w:rsidRPr="004F7F20" w:rsidRDefault="00FA2D8E" w:rsidP="00FA2D8E">
      <w:pPr>
        <w:spacing w:after="0" w:line="240" w:lineRule="auto"/>
        <w:ind w:left="284" w:right="49"/>
        <w:jc w:val="both"/>
        <w:rPr>
          <w:rFonts w:ascii="Arial" w:eastAsia="Times New Roman" w:hAnsi="Arial" w:cs="Arial"/>
          <w:color w:val="548DD4" w:themeColor="text2" w:themeTint="99"/>
          <w:sz w:val="24"/>
          <w:szCs w:val="24"/>
        </w:rPr>
      </w:pPr>
    </w:p>
    <w:p w14:paraId="3CCFC3C9" w14:textId="09DD53BA" w:rsidR="00FA2D8E" w:rsidRPr="004F7F20" w:rsidRDefault="00FA2D8E" w:rsidP="00FA2D8E">
      <w:pPr>
        <w:ind w:right="49"/>
        <w:jc w:val="both"/>
        <w:rPr>
          <w:rFonts w:ascii="Arial" w:hAnsi="Arial" w:cs="Arial"/>
          <w:b/>
          <w:sz w:val="24"/>
          <w:szCs w:val="24"/>
        </w:rPr>
      </w:pPr>
      <w:r w:rsidRPr="004F7F20">
        <w:rPr>
          <w:rFonts w:ascii="Arial" w:hAnsi="Arial" w:cs="Arial"/>
          <w:b/>
          <w:sz w:val="24"/>
          <w:szCs w:val="24"/>
        </w:rPr>
        <w:t>V</w:t>
      </w:r>
      <w:r w:rsidR="009D5FD4">
        <w:rPr>
          <w:rFonts w:ascii="Arial" w:hAnsi="Arial" w:cs="Arial"/>
          <w:b/>
          <w:sz w:val="24"/>
          <w:szCs w:val="24"/>
        </w:rPr>
        <w:t>.</w:t>
      </w:r>
      <w:r w:rsidRPr="004F7F20">
        <w:rPr>
          <w:rFonts w:ascii="Arial" w:hAnsi="Arial" w:cs="Arial"/>
          <w:b/>
          <w:sz w:val="24"/>
          <w:szCs w:val="24"/>
        </w:rPr>
        <w:t xml:space="preserve"> broj</w:t>
      </w:r>
      <w:r w:rsidR="009D5FD4">
        <w:rPr>
          <w:rFonts w:ascii="Arial" w:hAnsi="Arial" w:cs="Arial"/>
          <w:b/>
          <w:sz w:val="24"/>
          <w:szCs w:val="24"/>
        </w:rPr>
        <w:t>:</w:t>
      </w:r>
      <w:r w:rsidRPr="004F7F20">
        <w:rPr>
          <w:rFonts w:ascii="Arial" w:hAnsi="Arial" w:cs="Arial"/>
          <w:b/>
          <w:sz w:val="24"/>
          <w:szCs w:val="24"/>
        </w:rPr>
        <w:t>______</w:t>
      </w:r>
      <w:r w:rsidRPr="004F7F20">
        <w:rPr>
          <w:rFonts w:ascii="Arial" w:hAnsi="Arial" w:cs="Arial"/>
          <w:b/>
          <w:sz w:val="24"/>
          <w:szCs w:val="24"/>
        </w:rPr>
        <w:tab/>
      </w:r>
      <w:r w:rsidRPr="004F7F20">
        <w:rPr>
          <w:rFonts w:ascii="Arial" w:hAnsi="Arial" w:cs="Arial"/>
          <w:b/>
          <w:sz w:val="24"/>
          <w:szCs w:val="24"/>
        </w:rPr>
        <w:tab/>
      </w:r>
      <w:r w:rsidRPr="004F7F20">
        <w:rPr>
          <w:rFonts w:ascii="Arial" w:hAnsi="Arial" w:cs="Arial"/>
          <w:b/>
          <w:sz w:val="24"/>
          <w:szCs w:val="24"/>
        </w:rPr>
        <w:tab/>
      </w:r>
      <w:r w:rsidRPr="004F7F20">
        <w:rPr>
          <w:rFonts w:ascii="Arial" w:hAnsi="Arial" w:cs="Arial"/>
          <w:b/>
          <w:sz w:val="24"/>
          <w:szCs w:val="24"/>
        </w:rPr>
        <w:tab/>
      </w:r>
      <w:r w:rsidRPr="004F7F20">
        <w:rPr>
          <w:rFonts w:ascii="Arial" w:hAnsi="Arial" w:cs="Arial"/>
          <w:b/>
          <w:sz w:val="24"/>
          <w:szCs w:val="24"/>
        </w:rPr>
        <w:tab/>
      </w:r>
      <w:r w:rsidRPr="004F7F20">
        <w:rPr>
          <w:rFonts w:ascii="Arial" w:hAnsi="Arial" w:cs="Arial"/>
          <w:b/>
          <w:sz w:val="24"/>
          <w:szCs w:val="24"/>
        </w:rPr>
        <w:tab/>
      </w:r>
      <w:r w:rsidRPr="004F7F20">
        <w:rPr>
          <w:rFonts w:ascii="Arial" w:hAnsi="Arial" w:cs="Arial"/>
          <w:b/>
          <w:sz w:val="24"/>
          <w:szCs w:val="24"/>
        </w:rPr>
        <w:tab/>
        <w:t xml:space="preserve">       PREMIJER</w:t>
      </w:r>
      <w:r w:rsidRPr="004F7F20">
        <w:rPr>
          <w:rFonts w:ascii="Arial" w:hAnsi="Arial" w:cs="Arial"/>
          <w:b/>
          <w:sz w:val="24"/>
          <w:szCs w:val="24"/>
        </w:rPr>
        <w:tab/>
      </w:r>
      <w:r w:rsidRPr="004F7F20">
        <w:rPr>
          <w:rFonts w:ascii="Arial" w:hAnsi="Arial" w:cs="Arial"/>
          <w:b/>
          <w:sz w:val="24"/>
          <w:szCs w:val="24"/>
        </w:rPr>
        <w:tab/>
        <w:t xml:space="preserve">      </w:t>
      </w:r>
    </w:p>
    <w:p w14:paraId="0996BBC8" w14:textId="34B6EC38" w:rsidR="00FA2D8E" w:rsidRPr="00DC752A" w:rsidRDefault="00FA2D8E" w:rsidP="00FA2D8E">
      <w:pPr>
        <w:ind w:right="49"/>
        <w:jc w:val="both"/>
        <w:rPr>
          <w:rFonts w:ascii="Arial" w:hAnsi="Arial" w:cs="Arial"/>
          <w:b/>
          <w:sz w:val="24"/>
          <w:szCs w:val="24"/>
        </w:rPr>
      </w:pPr>
      <w:r w:rsidRPr="004F7F20">
        <w:rPr>
          <w:rFonts w:ascii="Arial" w:hAnsi="Arial" w:cs="Arial"/>
          <w:b/>
          <w:sz w:val="24"/>
          <w:szCs w:val="24"/>
        </w:rPr>
        <w:t>Sarajevo ______</w:t>
      </w:r>
      <w:r w:rsidR="00F038BE" w:rsidRPr="004F7F20">
        <w:rPr>
          <w:rFonts w:ascii="Arial" w:hAnsi="Arial" w:cs="Arial"/>
          <w:b/>
          <w:sz w:val="24"/>
          <w:szCs w:val="24"/>
        </w:rPr>
        <w:t>2022</w:t>
      </w:r>
      <w:r w:rsidRPr="004F7F20">
        <w:rPr>
          <w:rFonts w:ascii="Arial" w:hAnsi="Arial" w:cs="Arial"/>
          <w:b/>
          <w:sz w:val="24"/>
          <w:szCs w:val="24"/>
        </w:rPr>
        <w:t>.</w:t>
      </w:r>
      <w:r w:rsidR="009D5FD4">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FADIL NOVALIĆ</w:t>
      </w:r>
      <w:r w:rsidRPr="00DC752A">
        <w:rPr>
          <w:rFonts w:ascii="Arial" w:hAnsi="Arial" w:cs="Arial"/>
          <w:b/>
          <w:sz w:val="24"/>
          <w:szCs w:val="24"/>
        </w:rPr>
        <w:t xml:space="preserve"> </w:t>
      </w:r>
    </w:p>
    <w:p w14:paraId="7D802ABD" w14:textId="77777777" w:rsidR="00FA2D8E" w:rsidRPr="00AF7CAC" w:rsidRDefault="00FA2D8E" w:rsidP="00ED768D">
      <w:pPr>
        <w:spacing w:after="0" w:line="240" w:lineRule="auto"/>
      </w:pPr>
    </w:p>
    <w:sectPr w:rsidR="00FA2D8E" w:rsidRPr="00AF7CAC" w:rsidSect="00626FD0">
      <w:footerReference w:type="default" r:id="rId26"/>
      <w:footerReference w:type="first" r:id="rId27"/>
      <w:pgSz w:w="11906" w:h="16838"/>
      <w:pgMar w:top="1135" w:right="1133" w:bottom="709" w:left="1440"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DE370" w14:textId="77777777" w:rsidR="00A91270" w:rsidRDefault="00A91270" w:rsidP="00C50960">
      <w:pPr>
        <w:spacing w:after="0" w:line="240" w:lineRule="auto"/>
      </w:pPr>
      <w:r>
        <w:separator/>
      </w:r>
    </w:p>
  </w:endnote>
  <w:endnote w:type="continuationSeparator" w:id="0">
    <w:p w14:paraId="1DF61AAE" w14:textId="77777777" w:rsidR="00A91270" w:rsidRDefault="00A91270" w:rsidP="00C5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976F9" w14:textId="7D11F0D4" w:rsidR="00832522" w:rsidRDefault="00832522">
    <w:pPr>
      <w:pStyle w:val="Footer"/>
      <w:jc w:val="center"/>
    </w:pPr>
  </w:p>
  <w:p w14:paraId="5FA2A1D3" w14:textId="77777777" w:rsidR="00832522" w:rsidRDefault="00832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536FC" w14:textId="6CBA71BB" w:rsidR="00832522" w:rsidRDefault="00832522">
    <w:pPr>
      <w:pStyle w:val="Footer"/>
      <w:jc w:val="center"/>
    </w:pPr>
  </w:p>
  <w:p w14:paraId="7433AFB3" w14:textId="77777777" w:rsidR="00832522" w:rsidRDefault="008325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895302"/>
      <w:docPartObj>
        <w:docPartGallery w:val="Page Numbers (Bottom of Page)"/>
        <w:docPartUnique/>
      </w:docPartObj>
    </w:sdtPr>
    <w:sdtEndPr>
      <w:rPr>
        <w:noProof/>
      </w:rPr>
    </w:sdtEndPr>
    <w:sdtContent>
      <w:p w14:paraId="6B5A675A" w14:textId="3214B0E0" w:rsidR="00832522" w:rsidRDefault="00832522">
        <w:pPr>
          <w:pStyle w:val="Footer"/>
          <w:jc w:val="center"/>
        </w:pPr>
        <w:r>
          <w:fldChar w:fldCharType="begin"/>
        </w:r>
        <w:r>
          <w:instrText xml:space="preserve"> PAGE   \* MERGEFORMAT </w:instrText>
        </w:r>
        <w:r>
          <w:fldChar w:fldCharType="separate"/>
        </w:r>
        <w:r w:rsidR="00E763E8">
          <w:rPr>
            <w:noProof/>
          </w:rPr>
          <w:t>12</w:t>
        </w:r>
        <w:r>
          <w:rPr>
            <w:noProof/>
          </w:rPr>
          <w:fldChar w:fldCharType="end"/>
        </w:r>
      </w:p>
    </w:sdtContent>
  </w:sdt>
  <w:p w14:paraId="4E1A2FD4" w14:textId="77777777" w:rsidR="00832522" w:rsidRDefault="008325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62743"/>
      <w:docPartObj>
        <w:docPartGallery w:val="Page Numbers (Bottom of Page)"/>
        <w:docPartUnique/>
      </w:docPartObj>
    </w:sdtPr>
    <w:sdtEndPr>
      <w:rPr>
        <w:noProof/>
      </w:rPr>
    </w:sdtEndPr>
    <w:sdtContent>
      <w:p w14:paraId="004E3CF5" w14:textId="3E4BEADB" w:rsidR="00832522" w:rsidRDefault="00832522">
        <w:pPr>
          <w:pStyle w:val="Footer"/>
          <w:jc w:val="center"/>
        </w:pPr>
        <w:r>
          <w:fldChar w:fldCharType="begin"/>
        </w:r>
        <w:r>
          <w:instrText xml:space="preserve"> PAGE   \* MERGEFORMAT </w:instrText>
        </w:r>
        <w:r>
          <w:fldChar w:fldCharType="separate"/>
        </w:r>
        <w:r w:rsidR="00E763E8">
          <w:rPr>
            <w:noProof/>
          </w:rPr>
          <w:t>1</w:t>
        </w:r>
        <w:r>
          <w:rPr>
            <w:noProof/>
          </w:rPr>
          <w:fldChar w:fldCharType="end"/>
        </w:r>
      </w:p>
    </w:sdtContent>
  </w:sdt>
  <w:p w14:paraId="548530B6" w14:textId="77777777" w:rsidR="00832522" w:rsidRDefault="00832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72CCB" w14:textId="77777777" w:rsidR="00A91270" w:rsidRDefault="00A91270" w:rsidP="00C50960">
      <w:pPr>
        <w:spacing w:after="0" w:line="240" w:lineRule="auto"/>
      </w:pPr>
      <w:r>
        <w:separator/>
      </w:r>
    </w:p>
  </w:footnote>
  <w:footnote w:type="continuationSeparator" w:id="0">
    <w:p w14:paraId="746DDDB9" w14:textId="77777777" w:rsidR="00A91270" w:rsidRDefault="00A91270" w:rsidP="00C50960">
      <w:pPr>
        <w:spacing w:after="0" w:line="240" w:lineRule="auto"/>
      </w:pPr>
      <w:r>
        <w:continuationSeparator/>
      </w:r>
    </w:p>
  </w:footnote>
  <w:footnote w:id="1">
    <w:p w14:paraId="38CFE716" w14:textId="77777777" w:rsidR="00832522" w:rsidRDefault="00832522" w:rsidP="00AA70C2"/>
  </w:footnote>
  <w:footnote w:id="2">
    <w:p w14:paraId="04A0A054" w14:textId="3707E104" w:rsidR="00832522" w:rsidRPr="00445180" w:rsidRDefault="00832522" w:rsidP="00445180">
      <w:pPr>
        <w:pStyle w:val="FootnoteText"/>
        <w:spacing w:after="0" w:line="240" w:lineRule="auto"/>
        <w:jc w:val="both"/>
        <w:rPr>
          <w:lang w:val="bs-Latn-BA"/>
        </w:rPr>
      </w:pPr>
      <w:r w:rsidRPr="00445180">
        <w:rPr>
          <w:rFonts w:ascii="Arial" w:hAnsi="Arial" w:cs="Arial"/>
          <w:sz w:val="16"/>
        </w:rPr>
        <w:footnoteRef/>
      </w:r>
      <w:r w:rsidRPr="00445180">
        <w:rPr>
          <w:rFonts w:ascii="Arial" w:hAnsi="Arial" w:cs="Arial"/>
          <w:sz w:val="16"/>
        </w:rPr>
        <w:t xml:space="preserve"> Garancije FBiH nisu uključene u obuhvat strategije jer se u </w:t>
      </w:r>
      <w:r>
        <w:rPr>
          <w:rFonts w:ascii="Arial" w:hAnsi="Arial" w:cs="Arial"/>
          <w:sz w:val="16"/>
        </w:rPr>
        <w:t>razdoblju</w:t>
      </w:r>
      <w:r w:rsidRPr="00445180">
        <w:rPr>
          <w:rFonts w:ascii="Arial" w:hAnsi="Arial" w:cs="Arial"/>
          <w:sz w:val="16"/>
        </w:rPr>
        <w:t xml:space="preserve"> koji je obuhvaćen Strategijom ne očekuje njihovo aktiviranje. FBiH je izdala garanciju za izgradnju bloka 7, Termoelektrane u Tuzli u iznosu od </w:t>
      </w:r>
      <w:r>
        <w:rPr>
          <w:rFonts w:ascii="Arial" w:hAnsi="Arial" w:cs="Arial"/>
          <w:sz w:val="16"/>
        </w:rPr>
        <w:t>613,99</w:t>
      </w:r>
      <w:r w:rsidRPr="00445180">
        <w:rPr>
          <w:rFonts w:ascii="Arial" w:hAnsi="Arial" w:cs="Arial"/>
          <w:sz w:val="16"/>
        </w:rPr>
        <w:t xml:space="preserve"> mil.</w:t>
      </w:r>
      <w:r>
        <w:rPr>
          <w:rFonts w:ascii="Arial" w:hAnsi="Arial" w:cs="Arial"/>
          <w:sz w:val="16"/>
        </w:rPr>
        <w:t xml:space="preserve"> EUR</w:t>
      </w:r>
      <w:r w:rsidRPr="00445180">
        <w:rPr>
          <w:rFonts w:ascii="Arial" w:hAnsi="Arial" w:cs="Arial"/>
          <w:sz w:val="16"/>
        </w:rPr>
        <w:t>. Kredit je postao efektivan, stanje duga po ovoj garanciji je 0 KM s obzirom da do 31.</w:t>
      </w:r>
      <w:r>
        <w:rPr>
          <w:rFonts w:ascii="Arial" w:hAnsi="Arial" w:cs="Arial"/>
          <w:sz w:val="16"/>
        </w:rPr>
        <w:t xml:space="preserve"> </w:t>
      </w:r>
      <w:r w:rsidRPr="00445180">
        <w:rPr>
          <w:rFonts w:ascii="Arial" w:hAnsi="Arial" w:cs="Arial"/>
          <w:sz w:val="16"/>
        </w:rPr>
        <w:t>12.</w:t>
      </w:r>
      <w:r>
        <w:rPr>
          <w:rFonts w:ascii="Arial" w:hAnsi="Arial" w:cs="Arial"/>
          <w:sz w:val="16"/>
        </w:rPr>
        <w:t xml:space="preserve"> 2021.</w:t>
      </w:r>
      <w:r w:rsidRPr="00445180">
        <w:rPr>
          <w:rFonts w:ascii="Arial" w:hAnsi="Arial" w:cs="Arial"/>
          <w:sz w:val="16"/>
        </w:rPr>
        <w:t xml:space="preserve"> nije bilo angaž</w:t>
      </w:r>
      <w:r>
        <w:rPr>
          <w:rFonts w:ascii="Arial" w:hAnsi="Arial" w:cs="Arial"/>
          <w:sz w:val="16"/>
        </w:rPr>
        <w:t>iranja</w:t>
      </w:r>
      <w:r w:rsidRPr="00445180">
        <w:rPr>
          <w:rFonts w:ascii="Arial" w:hAnsi="Arial" w:cs="Arial"/>
          <w:sz w:val="16"/>
        </w:rPr>
        <w:t xml:space="preserve"> sredstava</w:t>
      </w:r>
    </w:p>
  </w:footnote>
  <w:footnote w:id="3">
    <w:p w14:paraId="295079CA" w14:textId="0E07FC42" w:rsidR="00832522" w:rsidRPr="00FB6FC8" w:rsidRDefault="00832522" w:rsidP="00BA571D">
      <w:pPr>
        <w:pStyle w:val="FootnoteText"/>
        <w:spacing w:after="0" w:line="240" w:lineRule="auto"/>
        <w:jc w:val="both"/>
        <w:rPr>
          <w:rFonts w:ascii="Arial" w:hAnsi="Arial" w:cs="Arial"/>
          <w:sz w:val="16"/>
        </w:rPr>
      </w:pPr>
      <w:r w:rsidRPr="00D912D1">
        <w:rPr>
          <w:rStyle w:val="FootnoteReference"/>
          <w:sz w:val="18"/>
          <w:szCs w:val="18"/>
        </w:rPr>
        <w:footnoteRef/>
      </w:r>
      <w:r w:rsidRPr="00D912D1">
        <w:rPr>
          <w:rStyle w:val="FootnoteReference"/>
          <w:sz w:val="18"/>
          <w:szCs w:val="18"/>
        </w:rPr>
        <w:t xml:space="preserve"> </w:t>
      </w:r>
      <w:r>
        <w:rPr>
          <w:rFonts w:ascii="Arial" w:hAnsi="Arial" w:cs="Arial"/>
          <w:sz w:val="16"/>
        </w:rPr>
        <w:t>Tečajna</w:t>
      </w:r>
      <w:r w:rsidRPr="00D912D1">
        <w:rPr>
          <w:rFonts w:ascii="Arial" w:hAnsi="Arial" w:cs="Arial"/>
          <w:sz w:val="16"/>
        </w:rPr>
        <w:t xml:space="preserve"> lista CBBH broj 259 od 31.</w:t>
      </w:r>
      <w:r>
        <w:rPr>
          <w:rFonts w:ascii="Arial" w:hAnsi="Arial" w:cs="Arial"/>
          <w:sz w:val="16"/>
        </w:rPr>
        <w:t xml:space="preserve"> </w:t>
      </w:r>
      <w:r w:rsidRPr="00D912D1">
        <w:rPr>
          <w:rFonts w:ascii="Arial" w:hAnsi="Arial" w:cs="Arial"/>
          <w:sz w:val="16"/>
        </w:rPr>
        <w:t>12.</w:t>
      </w:r>
      <w:r>
        <w:rPr>
          <w:rFonts w:ascii="Arial" w:hAnsi="Arial" w:cs="Arial"/>
          <w:sz w:val="16"/>
        </w:rPr>
        <w:t xml:space="preserve"> </w:t>
      </w:r>
      <w:r w:rsidRPr="00FB6FC8">
        <w:rPr>
          <w:rFonts w:ascii="Arial" w:hAnsi="Arial" w:cs="Arial"/>
          <w:sz w:val="16"/>
        </w:rPr>
        <w:t xml:space="preserve">2021. </w:t>
      </w:r>
    </w:p>
  </w:footnote>
  <w:footnote w:id="4">
    <w:p w14:paraId="0F5D13C7" w14:textId="76B6F68C" w:rsidR="00832522" w:rsidRPr="00B93399" w:rsidRDefault="00832522" w:rsidP="00BA571D">
      <w:pPr>
        <w:pStyle w:val="FootnoteText"/>
        <w:spacing w:after="0" w:line="240" w:lineRule="auto"/>
        <w:jc w:val="both"/>
        <w:rPr>
          <w:lang w:val="bs-Latn-BA"/>
        </w:rPr>
      </w:pPr>
      <w:r w:rsidRPr="00D912D1">
        <w:rPr>
          <w:rStyle w:val="FootnoteReference"/>
          <w:sz w:val="18"/>
          <w:szCs w:val="18"/>
        </w:rPr>
        <w:footnoteRef/>
      </w:r>
      <w:r w:rsidRPr="00D912D1">
        <w:rPr>
          <w:rStyle w:val="FootnoteReference"/>
          <w:sz w:val="18"/>
          <w:szCs w:val="18"/>
        </w:rPr>
        <w:t xml:space="preserve"> </w:t>
      </w:r>
      <w:r w:rsidRPr="00D912D1">
        <w:rPr>
          <w:rFonts w:ascii="Arial" w:hAnsi="Arial" w:cs="Arial"/>
          <w:sz w:val="16"/>
        </w:rPr>
        <w:t xml:space="preserve">Procijenjeni iznos BDP-a Federacije u </w:t>
      </w:r>
      <w:r w:rsidRPr="00FB6FC8">
        <w:rPr>
          <w:rFonts w:ascii="Arial" w:hAnsi="Arial" w:cs="Arial"/>
          <w:sz w:val="16"/>
        </w:rPr>
        <w:t xml:space="preserve">2021. godini koji se koristi za izračune procijenjen je u visini od </w:t>
      </w:r>
      <w:r w:rsidRPr="00445180">
        <w:rPr>
          <w:rFonts w:ascii="Arial" w:hAnsi="Arial" w:cs="Arial"/>
          <w:sz w:val="16"/>
        </w:rPr>
        <w:t>22.956</w:t>
      </w:r>
      <w:r w:rsidRPr="00D912D1">
        <w:rPr>
          <w:rFonts w:ascii="Arial" w:hAnsi="Arial" w:cs="Arial"/>
          <w:sz w:val="16"/>
        </w:rPr>
        <w:t xml:space="preserve"> mil. KM.</w:t>
      </w:r>
    </w:p>
  </w:footnote>
  <w:footnote w:id="5">
    <w:p w14:paraId="6FE754CE" w14:textId="77777777" w:rsidR="00832522" w:rsidRPr="00337704" w:rsidRDefault="00832522" w:rsidP="000D54BA">
      <w:pPr>
        <w:pStyle w:val="FootnoteText"/>
        <w:spacing w:after="0" w:line="240" w:lineRule="auto"/>
        <w:jc w:val="both"/>
        <w:rPr>
          <w:rFonts w:ascii="Arial Narrow" w:hAnsi="Arial Narrow" w:cs="Arial"/>
          <w:sz w:val="16"/>
          <w:szCs w:val="18"/>
        </w:rPr>
      </w:pPr>
      <w:r>
        <w:rPr>
          <w:rStyle w:val="FootnoteReference"/>
        </w:rPr>
        <w:footnoteRef/>
      </w:r>
      <w:r>
        <w:t xml:space="preserve"> </w:t>
      </w:r>
      <w:r w:rsidRPr="00337704">
        <w:rPr>
          <w:rFonts w:ascii="Arial Narrow" w:eastAsia="Arial" w:hAnsi="Arial Narrow" w:cs="Arial"/>
          <w:sz w:val="16"/>
        </w:rPr>
        <w:t xml:space="preserve">SDR – </w:t>
      </w:r>
      <w:r w:rsidRPr="00D912D1">
        <w:rPr>
          <w:rFonts w:ascii="Arial Narrow" w:eastAsia="Arial" w:hAnsi="Arial Narrow" w:cs="Arial"/>
          <w:sz w:val="16"/>
        </w:rPr>
        <w:t>međunarodna obračunska valuta sastavljena iz sljedećih valuta: Kineski Juan (CNY) 1,0174, Euro (EUR) 0,38671, Američki dolar (USD) 0,58252, Britanska Funta (GBP) 0,085946 i Japanski Yen (JPY), 11,90.</w:t>
      </w:r>
    </w:p>
    <w:p w14:paraId="65E81726" w14:textId="386E05F5" w:rsidR="00832522" w:rsidRPr="000D54BA" w:rsidRDefault="00832522">
      <w:pPr>
        <w:pStyle w:val="FootnoteText"/>
        <w:rPr>
          <w:lang w:val="bs-Latn-BA"/>
        </w:rPr>
      </w:pPr>
    </w:p>
  </w:footnote>
  <w:footnote w:id="6">
    <w:p w14:paraId="154680BF" w14:textId="31D6874E" w:rsidR="00832522" w:rsidRPr="00337704" w:rsidRDefault="00832522" w:rsidP="007A2F27">
      <w:pPr>
        <w:pStyle w:val="FootnoteText"/>
        <w:spacing w:after="0"/>
        <w:jc w:val="both"/>
        <w:rPr>
          <w:rFonts w:ascii="Arial Narrow" w:eastAsia="Arial" w:hAnsi="Arial Narrow" w:cs="Arial"/>
          <w:sz w:val="16"/>
        </w:rPr>
      </w:pPr>
      <w:r w:rsidRPr="006309F0">
        <w:rPr>
          <w:rStyle w:val="FootnoteReference"/>
          <w:rFonts w:ascii="Arial" w:hAnsi="Arial" w:cs="Arial"/>
          <w:sz w:val="16"/>
        </w:rPr>
        <w:footnoteRef/>
      </w:r>
      <w:r w:rsidRPr="006309F0">
        <w:rPr>
          <w:rFonts w:ascii="Arial" w:hAnsi="Arial" w:cs="Arial"/>
          <w:sz w:val="16"/>
        </w:rPr>
        <w:t xml:space="preserve"> </w:t>
      </w:r>
      <w:r w:rsidRPr="00337704">
        <w:rPr>
          <w:rFonts w:ascii="Arial Narrow" w:eastAsia="Arial" w:hAnsi="Arial Narrow" w:cs="Arial"/>
          <w:sz w:val="16"/>
        </w:rPr>
        <w:t xml:space="preserve">Zakon o utvrđivanju i načinu izmirenja </w:t>
      </w:r>
      <w:r>
        <w:rPr>
          <w:rFonts w:ascii="Arial Narrow" w:eastAsia="Arial" w:hAnsi="Arial Narrow" w:cs="Arial"/>
          <w:sz w:val="16"/>
        </w:rPr>
        <w:t>unutarnjih ob</w:t>
      </w:r>
      <w:r w:rsidRPr="00337704">
        <w:rPr>
          <w:rFonts w:ascii="Arial Narrow" w:eastAsia="Arial" w:hAnsi="Arial Narrow" w:cs="Arial"/>
          <w:sz w:val="16"/>
        </w:rPr>
        <w:t>veza Federacije Bosne i Hercegovine ("Službene novine Federacije BiH", br. 66/04, 49/05, 35/06, 31/08, 32/09, 65/09 i 42/11); Zakon o izmirenju obaveza na osno</w:t>
      </w:r>
      <w:r>
        <w:rPr>
          <w:rFonts w:ascii="Arial Narrow" w:eastAsia="Arial" w:hAnsi="Arial Narrow" w:cs="Arial"/>
          <w:sz w:val="16"/>
        </w:rPr>
        <w:t>vi</w:t>
      </w:r>
      <w:r w:rsidRPr="00337704">
        <w:rPr>
          <w:rFonts w:ascii="Arial Narrow" w:eastAsia="Arial" w:hAnsi="Arial Narrow" w:cs="Arial"/>
          <w:sz w:val="16"/>
        </w:rPr>
        <w:t xml:space="preserve"> računa stare devizne štednje u Federaciji Bosne i Hercegovine ("Službene novine Federacije BiH", br. 62/09, 42/11, 91/13 i 101/16)</w:t>
      </w:r>
    </w:p>
  </w:footnote>
  <w:footnote w:id="7">
    <w:p w14:paraId="55982252" w14:textId="5597B7B3" w:rsidR="00832522" w:rsidRPr="00445180" w:rsidRDefault="00832522" w:rsidP="005B244F">
      <w:pPr>
        <w:pStyle w:val="FootnoteText"/>
        <w:rPr>
          <w:rFonts w:ascii="Arial Narrow" w:eastAsia="Arial" w:hAnsi="Arial Narrow" w:cs="Arial"/>
          <w:sz w:val="16"/>
        </w:rPr>
      </w:pPr>
      <w:r w:rsidRPr="00445180">
        <w:rPr>
          <w:rFonts w:ascii="Arial Narrow" w:eastAsia="Arial" w:hAnsi="Arial Narrow"/>
          <w:sz w:val="16"/>
        </w:rPr>
        <w:footnoteRef/>
      </w:r>
      <w:r w:rsidRPr="00445180">
        <w:rPr>
          <w:rFonts w:ascii="Arial Narrow" w:eastAsia="Arial" w:hAnsi="Arial Narrow" w:cs="Arial"/>
          <w:sz w:val="16"/>
        </w:rPr>
        <w:t xml:space="preserve"> DEP: Dokument okvirnog </w:t>
      </w:r>
      <w:r>
        <w:rPr>
          <w:rFonts w:ascii="Arial Narrow" w:eastAsia="Arial" w:hAnsi="Arial Narrow" w:cs="Arial"/>
          <w:sz w:val="16"/>
        </w:rPr>
        <w:t>proračun</w:t>
      </w:r>
      <w:r w:rsidRPr="00445180">
        <w:rPr>
          <w:rFonts w:ascii="Arial Narrow" w:eastAsia="Arial" w:hAnsi="Arial Narrow" w:cs="Arial"/>
          <w:sz w:val="16"/>
        </w:rPr>
        <w:t>a, Makroekonomske projekcije 2022</w:t>
      </w:r>
      <w:r>
        <w:rPr>
          <w:rFonts w:ascii="Arial Narrow" w:eastAsia="Arial" w:hAnsi="Arial Narrow" w:cs="Arial"/>
          <w:sz w:val="16"/>
        </w:rPr>
        <w:t>.</w:t>
      </w:r>
      <w:r w:rsidRPr="00445180">
        <w:rPr>
          <w:rFonts w:ascii="Arial Narrow" w:eastAsia="Arial" w:hAnsi="Arial Narrow" w:cs="Arial"/>
          <w:sz w:val="16"/>
        </w:rPr>
        <w:t>-2024</w:t>
      </w:r>
      <w:r>
        <w:rPr>
          <w:rFonts w:ascii="Arial Narrow" w:eastAsia="Arial" w:hAnsi="Arial Narrow" w:cs="Arial"/>
          <w:sz w:val="16"/>
        </w:rPr>
        <w:t>.</w:t>
      </w:r>
      <w:r w:rsidRPr="00445180">
        <w:rPr>
          <w:rFonts w:ascii="Arial Narrow" w:eastAsia="Arial" w:hAnsi="Arial Narrow" w:cs="Arial"/>
          <w:sz w:val="16"/>
        </w:rPr>
        <w:t xml:space="preserve">, </w:t>
      </w:r>
      <w:r>
        <w:rPr>
          <w:rFonts w:ascii="Arial Narrow" w:eastAsia="Arial" w:hAnsi="Arial Narrow" w:cs="Arial"/>
          <w:sz w:val="16"/>
        </w:rPr>
        <w:t>rujan</w:t>
      </w:r>
      <w:r w:rsidRPr="00445180">
        <w:rPr>
          <w:rFonts w:ascii="Arial Narrow" w:eastAsia="Arial" w:hAnsi="Arial Narrow" w:cs="Arial"/>
          <w:sz w:val="16"/>
        </w:rPr>
        <w:t xml:space="preserve"> 2021.</w:t>
      </w:r>
    </w:p>
  </w:footnote>
  <w:footnote w:id="8">
    <w:p w14:paraId="48697490" w14:textId="7A9B2DC6" w:rsidR="00832522" w:rsidRPr="00445180" w:rsidRDefault="00832522" w:rsidP="00445180">
      <w:pPr>
        <w:pStyle w:val="FootnoteText"/>
        <w:spacing w:after="0"/>
        <w:rPr>
          <w:rFonts w:ascii="Arial Narrow" w:eastAsia="Arial" w:hAnsi="Arial Narrow" w:cs="Arial"/>
          <w:sz w:val="16"/>
        </w:rPr>
      </w:pPr>
      <w:r w:rsidRPr="00445180">
        <w:rPr>
          <w:rFonts w:ascii="Arial Narrow" w:eastAsia="Arial" w:hAnsi="Arial Narrow"/>
          <w:sz w:val="16"/>
        </w:rPr>
        <w:footnoteRef/>
      </w:r>
      <w:r w:rsidRPr="00445180">
        <w:rPr>
          <w:rFonts w:ascii="Arial Narrow" w:eastAsia="Arial" w:hAnsi="Arial Narrow" w:cs="Arial"/>
          <w:sz w:val="16"/>
        </w:rPr>
        <w:t xml:space="preserve"> BHAS: Bruto domaći proizvod-rashodni pristup-tromjesečni podaci (lančano povezane vr</w:t>
      </w:r>
      <w:r>
        <w:rPr>
          <w:rFonts w:ascii="Arial Narrow" w:eastAsia="Arial" w:hAnsi="Arial Narrow" w:cs="Arial"/>
          <w:sz w:val="16"/>
        </w:rPr>
        <w:t xml:space="preserve">ijednosti u cijenama 2015), od </w:t>
      </w:r>
      <w:r w:rsidRPr="00445180">
        <w:rPr>
          <w:rFonts w:ascii="Arial Narrow" w:eastAsia="Arial" w:hAnsi="Arial Narrow" w:cs="Arial"/>
          <w:sz w:val="16"/>
        </w:rPr>
        <w:t>4.</w:t>
      </w:r>
      <w:r>
        <w:rPr>
          <w:rFonts w:ascii="Arial Narrow" w:eastAsia="Arial" w:hAnsi="Arial Narrow" w:cs="Arial"/>
          <w:sz w:val="16"/>
        </w:rPr>
        <w:t xml:space="preserve"> </w:t>
      </w:r>
      <w:r w:rsidRPr="00445180">
        <w:rPr>
          <w:rFonts w:ascii="Arial Narrow" w:eastAsia="Arial" w:hAnsi="Arial Narrow" w:cs="Arial"/>
          <w:sz w:val="16"/>
        </w:rPr>
        <w:t>10.</w:t>
      </w:r>
      <w:r>
        <w:rPr>
          <w:rFonts w:ascii="Arial Narrow" w:eastAsia="Arial" w:hAnsi="Arial Narrow" w:cs="Arial"/>
          <w:sz w:val="16"/>
        </w:rPr>
        <w:t xml:space="preserve"> </w:t>
      </w:r>
      <w:r w:rsidRPr="00445180">
        <w:rPr>
          <w:rFonts w:ascii="Arial Narrow" w:eastAsia="Arial" w:hAnsi="Arial Narrow" w:cs="Arial"/>
          <w:sz w:val="16"/>
        </w:rPr>
        <w:t>2021.</w:t>
      </w:r>
    </w:p>
  </w:footnote>
  <w:footnote w:id="9">
    <w:p w14:paraId="10A98AD0" w14:textId="7190A406" w:rsidR="00832522" w:rsidRPr="00445180" w:rsidRDefault="00832522" w:rsidP="00445180">
      <w:pPr>
        <w:pStyle w:val="FootnoteText"/>
        <w:spacing w:after="0"/>
        <w:rPr>
          <w:rFonts w:ascii="Arial Narrow" w:eastAsia="Arial" w:hAnsi="Arial Narrow" w:cs="Arial"/>
          <w:sz w:val="16"/>
        </w:rPr>
      </w:pPr>
      <w:r w:rsidRPr="00445180">
        <w:rPr>
          <w:rFonts w:ascii="Arial Narrow" w:eastAsia="Arial" w:hAnsi="Arial Narrow"/>
          <w:sz w:val="16"/>
        </w:rPr>
        <w:footnoteRef/>
      </w:r>
      <w:r w:rsidRPr="00445180">
        <w:rPr>
          <w:rFonts w:ascii="Arial Narrow" w:eastAsia="Arial" w:hAnsi="Arial Narrow" w:cs="Arial"/>
          <w:sz w:val="16"/>
        </w:rPr>
        <w:t xml:space="preserve"> FZS: Tromjesečni bruto domaći proizvod, II</w:t>
      </w:r>
      <w:r>
        <w:rPr>
          <w:rFonts w:ascii="Arial Narrow" w:eastAsia="Arial" w:hAnsi="Arial Narrow" w:cs="Arial"/>
          <w:sz w:val="16"/>
        </w:rPr>
        <w:t>.</w:t>
      </w:r>
      <w:r w:rsidRPr="00445180">
        <w:rPr>
          <w:rFonts w:ascii="Arial Narrow" w:eastAsia="Arial" w:hAnsi="Arial Narrow" w:cs="Arial"/>
          <w:sz w:val="16"/>
        </w:rPr>
        <w:t xml:space="preserve"> tromjesečje </w:t>
      </w:r>
    </w:p>
  </w:footnote>
  <w:footnote w:id="10">
    <w:p w14:paraId="3F8E1A3B" w14:textId="22656DFF" w:rsidR="00832522" w:rsidRPr="00761544" w:rsidRDefault="00832522" w:rsidP="00761544">
      <w:pPr>
        <w:pStyle w:val="FootnoteText"/>
        <w:spacing w:after="0"/>
        <w:rPr>
          <w:rFonts w:ascii="Arial Narrow" w:hAnsi="Arial Narrow" w:cs="Arial"/>
          <w:sz w:val="16"/>
          <w:szCs w:val="16"/>
          <w:lang w:val="bs-Latn-BA"/>
        </w:rPr>
      </w:pPr>
      <w:r w:rsidRPr="00761544">
        <w:rPr>
          <w:rFonts w:ascii="Arial Narrow" w:hAnsi="Arial Narrow" w:cs="Arial"/>
          <w:sz w:val="16"/>
          <w:szCs w:val="16"/>
          <w:vertAlign w:val="superscript"/>
          <w:lang w:val="bs-Latn-BA"/>
        </w:rPr>
        <w:footnoteRef/>
      </w:r>
      <w:r w:rsidRPr="00761544">
        <w:rPr>
          <w:rFonts w:ascii="Arial Narrow" w:hAnsi="Arial Narrow" w:cs="Arial"/>
          <w:sz w:val="16"/>
          <w:szCs w:val="16"/>
          <w:lang w:val="bs-Latn-BA"/>
        </w:rPr>
        <w:t xml:space="preserve"> Dokument okvirnog </w:t>
      </w:r>
      <w:r>
        <w:rPr>
          <w:rFonts w:ascii="Arial Narrow" w:hAnsi="Arial Narrow" w:cs="Arial"/>
          <w:sz w:val="16"/>
          <w:szCs w:val="16"/>
          <w:lang w:val="bs-Latn-BA"/>
        </w:rPr>
        <w:t>proračun</w:t>
      </w:r>
      <w:r w:rsidRPr="00761544">
        <w:rPr>
          <w:rFonts w:ascii="Arial Narrow" w:hAnsi="Arial Narrow" w:cs="Arial"/>
          <w:sz w:val="16"/>
          <w:szCs w:val="16"/>
          <w:lang w:val="bs-Latn-BA"/>
        </w:rPr>
        <w:t xml:space="preserve">a Federacije BiH za </w:t>
      </w:r>
      <w:r>
        <w:rPr>
          <w:rFonts w:ascii="Arial Narrow" w:hAnsi="Arial Narrow" w:cs="Arial"/>
          <w:sz w:val="16"/>
          <w:szCs w:val="16"/>
          <w:lang w:val="bs-Latn-BA"/>
        </w:rPr>
        <w:t>razdoblje</w:t>
      </w:r>
      <w:r w:rsidRPr="00761544">
        <w:rPr>
          <w:rFonts w:ascii="Arial Narrow" w:hAnsi="Arial Narrow" w:cs="Arial"/>
          <w:sz w:val="16"/>
          <w:szCs w:val="16"/>
          <w:lang w:val="bs-Latn-BA"/>
        </w:rPr>
        <w:t xml:space="preserve"> 202</w:t>
      </w:r>
      <w:r>
        <w:rPr>
          <w:rFonts w:ascii="Arial Narrow" w:hAnsi="Arial Narrow" w:cs="Arial"/>
          <w:sz w:val="16"/>
          <w:szCs w:val="16"/>
          <w:lang w:val="bs-Latn-BA"/>
        </w:rPr>
        <w:t>2</w:t>
      </w:r>
      <w:r w:rsidRPr="00761544">
        <w:rPr>
          <w:rFonts w:ascii="Arial Narrow" w:hAnsi="Arial Narrow" w:cs="Arial"/>
          <w:sz w:val="16"/>
          <w:szCs w:val="16"/>
          <w:lang w:val="bs-Latn-BA"/>
        </w:rPr>
        <w:t xml:space="preserve"> – 202</w:t>
      </w:r>
      <w:r>
        <w:rPr>
          <w:rFonts w:ascii="Arial Narrow" w:hAnsi="Arial Narrow" w:cs="Arial"/>
          <w:sz w:val="16"/>
          <w:szCs w:val="16"/>
          <w:lang w:val="bs-Latn-BA"/>
        </w:rPr>
        <w:t>4</w:t>
      </w:r>
      <w:r w:rsidRPr="00761544">
        <w:rPr>
          <w:rFonts w:ascii="Arial Narrow" w:hAnsi="Arial Narrow" w:cs="Arial"/>
          <w:sz w:val="16"/>
          <w:szCs w:val="16"/>
          <w:lang w:val="bs-Latn-BA"/>
        </w:rPr>
        <w:t xml:space="preserve">. godine, Sarajevo, </w:t>
      </w:r>
      <w:r>
        <w:rPr>
          <w:rFonts w:ascii="Arial Narrow" w:hAnsi="Arial Narrow" w:cs="Arial"/>
          <w:sz w:val="16"/>
          <w:szCs w:val="16"/>
          <w:lang w:val="bs-Latn-BA"/>
        </w:rPr>
        <w:t>rujan</w:t>
      </w:r>
      <w:r w:rsidRPr="00761544">
        <w:rPr>
          <w:rFonts w:ascii="Arial Narrow" w:hAnsi="Arial Narrow" w:cs="Arial"/>
          <w:sz w:val="16"/>
          <w:szCs w:val="16"/>
          <w:lang w:val="bs-Latn-BA"/>
        </w:rPr>
        <w:t xml:space="preserve"> 2020. godine</w:t>
      </w:r>
    </w:p>
  </w:footnote>
  <w:footnote w:id="11">
    <w:p w14:paraId="49912E83" w14:textId="22CD4F34" w:rsidR="00832522" w:rsidRPr="00266C36" w:rsidRDefault="00832522" w:rsidP="00761544">
      <w:pPr>
        <w:pStyle w:val="FootnoteText"/>
        <w:spacing w:after="0"/>
        <w:rPr>
          <w:rFonts w:ascii="Arial" w:hAnsi="Arial" w:cs="Arial"/>
          <w:lang w:val="bs-Latn-BA"/>
        </w:rPr>
      </w:pPr>
      <w:r w:rsidRPr="00761544">
        <w:rPr>
          <w:rStyle w:val="FootnoteReference"/>
          <w:rFonts w:ascii="Arial Narrow" w:hAnsi="Arial Narrow"/>
          <w:sz w:val="18"/>
        </w:rPr>
        <w:footnoteRef/>
      </w:r>
      <w:r w:rsidRPr="00761544">
        <w:rPr>
          <w:rFonts w:ascii="Arial Narrow" w:hAnsi="Arial Narrow"/>
        </w:rPr>
        <w:t xml:space="preserve"> </w:t>
      </w:r>
      <w:r w:rsidRPr="003618B1">
        <w:rPr>
          <w:rFonts w:ascii="Arial Narrow" w:hAnsi="Arial Narrow" w:cs="Arial"/>
          <w:sz w:val="16"/>
          <w:szCs w:val="16"/>
          <w:lang w:val="bs-Latn-BA"/>
        </w:rPr>
        <w:t>Izvor:</w:t>
      </w:r>
      <w:r>
        <w:rPr>
          <w:rFonts w:ascii="Arial Narrow" w:hAnsi="Arial Narrow" w:cs="Arial"/>
          <w:sz w:val="16"/>
          <w:szCs w:val="16"/>
          <w:lang w:val="bs-Latn-BA"/>
        </w:rPr>
        <w:t xml:space="preserve"> CBBH, preračun izvršen prema tečaju</w:t>
      </w:r>
      <w:r w:rsidRPr="003618B1">
        <w:rPr>
          <w:rFonts w:ascii="Arial Narrow" w:hAnsi="Arial Narrow" w:cs="Arial"/>
          <w:sz w:val="16"/>
          <w:szCs w:val="16"/>
          <w:lang w:val="bs-Latn-BA"/>
        </w:rPr>
        <w:t xml:space="preserve"> USD </w:t>
      </w:r>
      <w:r w:rsidRPr="00D912D1">
        <w:rPr>
          <w:rFonts w:ascii="Arial Narrow" w:hAnsi="Arial Narrow" w:cs="Arial"/>
          <w:sz w:val="16"/>
          <w:szCs w:val="16"/>
          <w:lang w:val="bs-Latn-BA"/>
        </w:rPr>
        <w:t>na dan 31.</w:t>
      </w:r>
      <w:r>
        <w:rPr>
          <w:rFonts w:ascii="Arial Narrow" w:hAnsi="Arial Narrow" w:cs="Arial"/>
          <w:sz w:val="16"/>
          <w:szCs w:val="16"/>
          <w:lang w:val="bs-Latn-BA"/>
        </w:rPr>
        <w:t xml:space="preserve"> </w:t>
      </w:r>
      <w:r w:rsidRPr="00D912D1">
        <w:rPr>
          <w:rFonts w:ascii="Arial Narrow" w:hAnsi="Arial Narrow" w:cs="Arial"/>
          <w:sz w:val="16"/>
          <w:szCs w:val="16"/>
          <w:lang w:val="bs-Latn-BA"/>
        </w:rPr>
        <w:t>12.</w:t>
      </w:r>
      <w:r>
        <w:rPr>
          <w:rFonts w:ascii="Arial Narrow" w:hAnsi="Arial Narrow" w:cs="Arial"/>
          <w:sz w:val="16"/>
          <w:szCs w:val="16"/>
          <w:lang w:val="bs-Latn-BA"/>
        </w:rPr>
        <w:t xml:space="preserve"> </w:t>
      </w:r>
      <w:r w:rsidRPr="00F1630F">
        <w:rPr>
          <w:rFonts w:ascii="Arial Narrow" w:hAnsi="Arial Narrow" w:cs="Arial"/>
          <w:sz w:val="16"/>
          <w:szCs w:val="16"/>
          <w:lang w:val="bs-Latn-BA"/>
        </w:rPr>
        <w:t xml:space="preserve">2021. </w:t>
      </w:r>
    </w:p>
  </w:footnote>
  <w:footnote w:id="12">
    <w:p w14:paraId="61B232B3" w14:textId="77777777" w:rsidR="00832522" w:rsidRPr="00D912D1" w:rsidRDefault="00832522" w:rsidP="009406F3">
      <w:pPr>
        <w:pStyle w:val="FootnoteText"/>
        <w:spacing w:after="0"/>
        <w:jc w:val="both"/>
        <w:rPr>
          <w:rFonts w:ascii="Arial Narrow" w:hAnsi="Arial Narrow" w:cs="Arial"/>
          <w:sz w:val="16"/>
          <w:szCs w:val="16"/>
          <w:lang w:val="bs-Latn-BA"/>
        </w:rPr>
      </w:pPr>
      <w:r w:rsidRPr="00741FF9">
        <w:rPr>
          <w:rStyle w:val="FootnoteReference"/>
          <w:rFonts w:ascii="Arial Narrow" w:hAnsi="Arial Narrow"/>
          <w:sz w:val="16"/>
          <w:szCs w:val="16"/>
        </w:rPr>
        <w:footnoteRef/>
      </w:r>
      <w:r w:rsidRPr="00741FF9">
        <w:rPr>
          <w:rFonts w:ascii="Arial Narrow" w:hAnsi="Arial Narrow"/>
          <w:sz w:val="16"/>
          <w:szCs w:val="16"/>
        </w:rPr>
        <w:t xml:space="preserve"> </w:t>
      </w:r>
      <w:r w:rsidRPr="00741FF9">
        <w:rPr>
          <w:rFonts w:ascii="Arial Narrow" w:hAnsi="Arial Narrow" w:cs="Arial"/>
          <w:sz w:val="16"/>
          <w:szCs w:val="16"/>
          <w:lang w:val="bs-Latn-BA"/>
        </w:rPr>
        <w:t xml:space="preserve">Prema podacima jedinica za </w:t>
      </w:r>
      <w:r w:rsidRPr="00D912D1">
        <w:rPr>
          <w:rFonts w:ascii="Arial Narrow" w:hAnsi="Arial Narrow" w:cs="Arial"/>
          <w:sz w:val="16"/>
          <w:szCs w:val="16"/>
          <w:lang w:val="bs-Latn-BA"/>
        </w:rPr>
        <w:t>implementaciju projekata</w:t>
      </w:r>
    </w:p>
  </w:footnote>
  <w:footnote w:id="13">
    <w:p w14:paraId="0C4FF870" w14:textId="574DE46F" w:rsidR="00832522" w:rsidRPr="00445180" w:rsidRDefault="00832522" w:rsidP="009406F3">
      <w:pPr>
        <w:pStyle w:val="FootnoteText"/>
        <w:spacing w:after="0" w:line="240" w:lineRule="auto"/>
        <w:jc w:val="both"/>
        <w:rPr>
          <w:rFonts w:ascii="Arial Narrow" w:hAnsi="Arial Narrow" w:cs="Arial"/>
          <w:sz w:val="16"/>
          <w:szCs w:val="16"/>
          <w:lang w:val="bs-Latn-BA"/>
        </w:rPr>
      </w:pPr>
      <w:r w:rsidRPr="00D912D1">
        <w:rPr>
          <w:rStyle w:val="FootnoteReference"/>
          <w:rFonts w:ascii="Arial Narrow" w:hAnsi="Arial Narrow" w:cs="Arial"/>
          <w:sz w:val="16"/>
          <w:szCs w:val="16"/>
        </w:rPr>
        <w:footnoteRef/>
      </w:r>
      <w:r w:rsidRPr="00073673">
        <w:rPr>
          <w:rFonts w:ascii="Arial Narrow" w:hAnsi="Arial Narrow" w:cs="Arial"/>
          <w:sz w:val="16"/>
          <w:szCs w:val="16"/>
        </w:rPr>
        <w:t xml:space="preserve"> </w:t>
      </w:r>
      <w:r w:rsidRPr="00445180">
        <w:rPr>
          <w:rFonts w:ascii="Arial Narrow" w:hAnsi="Arial Narrow" w:cs="Arial"/>
          <w:sz w:val="16"/>
          <w:szCs w:val="16"/>
          <w:lang w:val="bs-Latn-BA"/>
        </w:rPr>
        <w:t xml:space="preserve">Preračun izvršen prema </w:t>
      </w:r>
      <w:r>
        <w:rPr>
          <w:rFonts w:ascii="Arial Narrow" w:hAnsi="Arial Narrow" w:cs="Arial"/>
          <w:sz w:val="16"/>
          <w:szCs w:val="16"/>
          <w:lang w:val="bs-Latn-BA"/>
        </w:rPr>
        <w:t>tečaju</w:t>
      </w:r>
      <w:r w:rsidRPr="00445180">
        <w:rPr>
          <w:rFonts w:ascii="Arial Narrow" w:hAnsi="Arial Narrow" w:cs="Arial"/>
          <w:sz w:val="16"/>
          <w:szCs w:val="16"/>
          <w:lang w:val="bs-Latn-BA"/>
        </w:rPr>
        <w:t xml:space="preserve"> USD : KM na dan 31.</w:t>
      </w:r>
      <w:r>
        <w:rPr>
          <w:rFonts w:ascii="Arial Narrow" w:hAnsi="Arial Narrow" w:cs="Arial"/>
          <w:sz w:val="16"/>
          <w:szCs w:val="16"/>
          <w:lang w:val="bs-Latn-BA"/>
        </w:rPr>
        <w:t xml:space="preserve">  </w:t>
      </w:r>
      <w:r w:rsidRPr="00445180">
        <w:rPr>
          <w:rFonts w:ascii="Arial Narrow" w:hAnsi="Arial Narrow" w:cs="Arial"/>
          <w:sz w:val="16"/>
          <w:szCs w:val="16"/>
          <w:lang w:val="bs-Latn-BA"/>
        </w:rPr>
        <w:t>12.</w:t>
      </w:r>
      <w:r>
        <w:rPr>
          <w:rFonts w:ascii="Arial Narrow" w:hAnsi="Arial Narrow" w:cs="Arial"/>
          <w:sz w:val="16"/>
          <w:szCs w:val="16"/>
          <w:lang w:val="bs-Latn-BA"/>
        </w:rPr>
        <w:t xml:space="preserve"> </w:t>
      </w:r>
      <w:r w:rsidRPr="00445180">
        <w:rPr>
          <w:rFonts w:ascii="Arial Narrow" w:hAnsi="Arial Narrow" w:cs="Arial"/>
          <w:sz w:val="16"/>
          <w:szCs w:val="16"/>
          <w:lang w:val="bs-Latn-BA"/>
        </w:rPr>
        <w:t>2021. (1USD=1,725631 KM)</w:t>
      </w:r>
    </w:p>
  </w:footnote>
  <w:footnote w:id="14">
    <w:p w14:paraId="3A2038DA" w14:textId="77777777" w:rsidR="00832522" w:rsidRPr="00214C62" w:rsidRDefault="00832522" w:rsidP="003E073D">
      <w:pPr>
        <w:pStyle w:val="FootnoteText"/>
        <w:spacing w:after="0" w:line="240" w:lineRule="auto"/>
        <w:rPr>
          <w:rFonts w:ascii="Arial" w:hAnsi="Arial" w:cs="Arial"/>
          <w:sz w:val="16"/>
          <w:szCs w:val="16"/>
        </w:rPr>
      </w:pPr>
      <w:r w:rsidRPr="00214C62">
        <w:rPr>
          <w:rStyle w:val="FootnoteReference"/>
          <w:rFonts w:ascii="Arial" w:hAnsi="Arial" w:cs="Arial"/>
          <w:sz w:val="16"/>
          <w:szCs w:val="16"/>
        </w:rPr>
        <w:footnoteRef/>
      </w:r>
      <w:r w:rsidRPr="00214C62">
        <w:rPr>
          <w:rFonts w:ascii="Arial" w:hAnsi="Arial" w:cs="Arial"/>
          <w:sz w:val="16"/>
          <w:szCs w:val="16"/>
        </w:rPr>
        <w:t xml:space="preserve"> London Interbank Offered Rate </w:t>
      </w:r>
    </w:p>
  </w:footnote>
  <w:footnote w:id="15">
    <w:p w14:paraId="0131D120" w14:textId="77777777" w:rsidR="00832522" w:rsidRPr="002B6A7D" w:rsidRDefault="00832522" w:rsidP="003E073D">
      <w:pPr>
        <w:pStyle w:val="FootnoteText"/>
        <w:spacing w:after="0" w:line="240" w:lineRule="auto"/>
      </w:pPr>
      <w:r w:rsidRPr="00214C62">
        <w:rPr>
          <w:rStyle w:val="FootnoteReference"/>
          <w:rFonts w:ascii="Arial" w:hAnsi="Arial" w:cs="Arial"/>
          <w:sz w:val="16"/>
          <w:szCs w:val="16"/>
        </w:rPr>
        <w:footnoteRef/>
      </w:r>
      <w:r w:rsidRPr="00214C62">
        <w:rPr>
          <w:rFonts w:ascii="Arial" w:hAnsi="Arial" w:cs="Arial"/>
          <w:sz w:val="16"/>
          <w:szCs w:val="16"/>
        </w:rPr>
        <w:t xml:space="preserve"> Euro Interbank Offered Rate</w:t>
      </w:r>
    </w:p>
  </w:footnote>
  <w:footnote w:id="16">
    <w:p w14:paraId="2F25F954" w14:textId="7359DE23" w:rsidR="00832522" w:rsidRPr="00073673" w:rsidRDefault="00832522" w:rsidP="00C83159">
      <w:pPr>
        <w:pStyle w:val="FootnoteText"/>
        <w:spacing w:after="0" w:line="240" w:lineRule="auto"/>
        <w:rPr>
          <w:rFonts w:ascii="Arial Narrow" w:hAnsi="Arial Narrow" w:cs="Arial"/>
          <w:sz w:val="16"/>
        </w:rPr>
      </w:pPr>
      <w:r w:rsidRPr="00A97D61">
        <w:rPr>
          <w:rStyle w:val="FootnoteReference"/>
          <w:rFonts w:ascii="Arial Narrow" w:hAnsi="Arial Narrow" w:cs="Arial"/>
          <w:sz w:val="16"/>
        </w:rPr>
        <w:footnoteRef/>
      </w:r>
      <w:r w:rsidRPr="00A97D61">
        <w:rPr>
          <w:rFonts w:ascii="Arial Narrow" w:hAnsi="Arial Narrow" w:cs="Arial"/>
          <w:sz w:val="16"/>
        </w:rPr>
        <w:t xml:space="preserve"> Standard and Poor's – agencija za procjenu kreditnog </w:t>
      </w:r>
      <w:r w:rsidRPr="00D912D1">
        <w:rPr>
          <w:rFonts w:ascii="Arial Narrow" w:hAnsi="Arial Narrow" w:cs="Arial"/>
          <w:sz w:val="16"/>
        </w:rPr>
        <w:t>rejtinga</w:t>
      </w:r>
      <w:r w:rsidRPr="00073673">
        <w:rPr>
          <w:rFonts w:ascii="Arial Narrow" w:hAnsi="Arial Narrow" w:cs="Arial"/>
          <w:sz w:val="16"/>
        </w:rPr>
        <w:t xml:space="preserve">, rejting potvrđen </w:t>
      </w:r>
      <w:r w:rsidRPr="00445180">
        <w:rPr>
          <w:rFonts w:ascii="Arial Narrow" w:hAnsi="Arial Narrow" w:cs="Arial"/>
          <w:sz w:val="16"/>
        </w:rPr>
        <w:t>4</w:t>
      </w:r>
      <w:r>
        <w:rPr>
          <w:rFonts w:ascii="Arial Narrow" w:hAnsi="Arial Narrow" w:cs="Arial"/>
          <w:sz w:val="16"/>
        </w:rPr>
        <w:t xml:space="preserve">. </w:t>
      </w:r>
      <w:r w:rsidRPr="00445180">
        <w:rPr>
          <w:rFonts w:ascii="Arial Narrow" w:hAnsi="Arial Narrow" w:cs="Arial"/>
          <w:sz w:val="16"/>
        </w:rPr>
        <w:t>2</w:t>
      </w:r>
      <w:r w:rsidRPr="00D912D1">
        <w:rPr>
          <w:rFonts w:ascii="Arial Narrow" w:hAnsi="Arial Narrow" w:cs="Arial"/>
          <w:sz w:val="16"/>
        </w:rPr>
        <w:t>.</w:t>
      </w:r>
      <w:r>
        <w:rPr>
          <w:rFonts w:ascii="Arial Narrow" w:hAnsi="Arial Narrow" w:cs="Arial"/>
          <w:sz w:val="16"/>
        </w:rPr>
        <w:t xml:space="preserve"> </w:t>
      </w:r>
      <w:r w:rsidRPr="00D912D1">
        <w:rPr>
          <w:rFonts w:ascii="Arial Narrow" w:hAnsi="Arial Narrow" w:cs="Arial"/>
          <w:sz w:val="16"/>
        </w:rPr>
        <w:t>202</w:t>
      </w:r>
      <w:r w:rsidRPr="00445180">
        <w:rPr>
          <w:rFonts w:ascii="Arial Narrow" w:hAnsi="Arial Narrow" w:cs="Arial"/>
          <w:sz w:val="16"/>
        </w:rPr>
        <w:t>2</w:t>
      </w:r>
      <w:r w:rsidRPr="00D912D1">
        <w:rPr>
          <w:rFonts w:ascii="Arial Narrow" w:hAnsi="Arial Narrow" w:cs="Arial"/>
          <w:sz w:val="16"/>
        </w:rPr>
        <w:t xml:space="preserve">. </w:t>
      </w:r>
    </w:p>
  </w:footnote>
  <w:footnote w:id="17">
    <w:p w14:paraId="5EDAD013" w14:textId="2645996C" w:rsidR="00832522" w:rsidRPr="00073673" w:rsidRDefault="00832522" w:rsidP="00C83159">
      <w:pPr>
        <w:pStyle w:val="FootnoteText"/>
        <w:spacing w:after="0" w:line="240" w:lineRule="auto"/>
        <w:rPr>
          <w:rFonts w:ascii="Arial Narrow" w:hAnsi="Arial Narrow"/>
        </w:rPr>
      </w:pPr>
      <w:r w:rsidRPr="00073673">
        <w:rPr>
          <w:rStyle w:val="FootnoteReference"/>
          <w:rFonts w:ascii="Arial Narrow" w:hAnsi="Arial Narrow" w:cs="Arial"/>
          <w:sz w:val="16"/>
        </w:rPr>
        <w:footnoteRef/>
      </w:r>
      <w:r w:rsidRPr="00073673">
        <w:rPr>
          <w:rFonts w:ascii="Arial Narrow" w:hAnsi="Arial Narrow" w:cs="Arial"/>
          <w:sz w:val="16"/>
        </w:rPr>
        <w:t xml:space="preserve"> </w:t>
      </w:r>
      <w:r w:rsidRPr="00073673">
        <w:rPr>
          <w:rFonts w:ascii="Arial Narrow" w:eastAsia="Times New Roman" w:hAnsi="Arial Narrow" w:cs="Arial"/>
          <w:sz w:val="16"/>
          <w:lang w:eastAsia="bs-Latn-BA"/>
        </w:rPr>
        <w:t xml:space="preserve">Moody's Investors Service - </w:t>
      </w:r>
      <w:r w:rsidRPr="00073673">
        <w:rPr>
          <w:rFonts w:ascii="Arial Narrow" w:hAnsi="Arial Narrow" w:cs="Arial"/>
          <w:sz w:val="16"/>
        </w:rPr>
        <w:t>agencija za procjenu kreditnog rejtinga, potvrđen rejting 21.</w:t>
      </w:r>
      <w:r>
        <w:rPr>
          <w:rFonts w:ascii="Arial Narrow" w:hAnsi="Arial Narrow" w:cs="Arial"/>
          <w:sz w:val="16"/>
        </w:rPr>
        <w:t xml:space="preserve"> </w:t>
      </w:r>
      <w:r w:rsidRPr="00073673">
        <w:rPr>
          <w:rFonts w:ascii="Arial Narrow" w:hAnsi="Arial Narrow" w:cs="Arial"/>
          <w:sz w:val="16"/>
        </w:rPr>
        <w:t>8.</w:t>
      </w:r>
      <w:r>
        <w:rPr>
          <w:rFonts w:ascii="Arial Narrow" w:hAnsi="Arial Narrow" w:cs="Arial"/>
          <w:sz w:val="16"/>
        </w:rPr>
        <w:t xml:space="preserve"> </w:t>
      </w:r>
      <w:r w:rsidRPr="00073673">
        <w:rPr>
          <w:rFonts w:ascii="Arial Narrow" w:hAnsi="Arial Narrow" w:cs="Arial"/>
          <w:sz w:val="16"/>
        </w:rPr>
        <w:t xml:space="preserve">2020. </w:t>
      </w:r>
    </w:p>
  </w:footnote>
  <w:footnote w:id="18">
    <w:p w14:paraId="0B6D4A76" w14:textId="1ADB249B" w:rsidR="00832522" w:rsidRPr="003C2CA0" w:rsidRDefault="00832522" w:rsidP="003C2CA0">
      <w:pPr>
        <w:pStyle w:val="FootnoteText"/>
        <w:spacing w:after="0"/>
        <w:rPr>
          <w:lang w:val="bs-Latn-BA"/>
        </w:rPr>
      </w:pPr>
      <w:r w:rsidRPr="00073673">
        <w:rPr>
          <w:rStyle w:val="FootnoteReference"/>
          <w:rFonts w:ascii="Arial Narrow" w:hAnsi="Arial Narrow" w:cs="Arial"/>
          <w:sz w:val="16"/>
        </w:rPr>
        <w:footnoteRef/>
      </w:r>
      <w:r w:rsidRPr="00073673">
        <w:rPr>
          <w:rStyle w:val="FootnoteReference"/>
          <w:rFonts w:ascii="Arial Narrow" w:hAnsi="Arial Narrow" w:cs="Arial"/>
          <w:sz w:val="16"/>
        </w:rPr>
        <w:t xml:space="preserve"> </w:t>
      </w:r>
      <w:r w:rsidRPr="00073673">
        <w:rPr>
          <w:rFonts w:ascii="Arial Narrow" w:eastAsia="Times New Roman" w:hAnsi="Arial Narrow" w:cs="Arial"/>
          <w:sz w:val="16"/>
          <w:lang w:eastAsia="bs-Latn-BA"/>
        </w:rPr>
        <w:t>Bloomberg, podaci ažurirani</w:t>
      </w:r>
      <w:r w:rsidRPr="00445180">
        <w:rPr>
          <w:rFonts w:ascii="Arial Narrow" w:eastAsia="Times New Roman" w:hAnsi="Arial Narrow" w:cs="Arial"/>
          <w:sz w:val="16"/>
          <w:lang w:eastAsia="bs-Latn-BA"/>
        </w:rPr>
        <w:t xml:space="preserve"> 20</w:t>
      </w:r>
      <w:r w:rsidRPr="00D912D1">
        <w:rPr>
          <w:rFonts w:ascii="Arial Narrow" w:eastAsia="Times New Roman" w:hAnsi="Arial Narrow" w:cs="Arial"/>
          <w:sz w:val="16"/>
          <w:lang w:eastAsia="bs-Latn-BA"/>
        </w:rPr>
        <w:t>.</w:t>
      </w:r>
      <w:r>
        <w:rPr>
          <w:rFonts w:ascii="Arial Narrow" w:eastAsia="Times New Roman" w:hAnsi="Arial Narrow" w:cs="Arial"/>
          <w:sz w:val="16"/>
          <w:lang w:eastAsia="bs-Latn-BA"/>
        </w:rPr>
        <w:t xml:space="preserve"> </w:t>
      </w:r>
      <w:r w:rsidRPr="00445180">
        <w:rPr>
          <w:rFonts w:ascii="Arial Narrow" w:eastAsia="Times New Roman" w:hAnsi="Arial Narrow" w:cs="Arial"/>
          <w:sz w:val="16"/>
          <w:lang w:eastAsia="bs-Latn-BA"/>
        </w:rPr>
        <w:t>1</w:t>
      </w:r>
      <w:r w:rsidRPr="00073673">
        <w:rPr>
          <w:rFonts w:ascii="Arial Narrow" w:eastAsia="Times New Roman" w:hAnsi="Arial Narrow" w:cs="Arial"/>
          <w:sz w:val="16"/>
          <w:lang w:eastAsia="bs-Latn-BA"/>
        </w:rPr>
        <w:t>.</w:t>
      </w:r>
      <w:r>
        <w:rPr>
          <w:rFonts w:ascii="Arial Narrow" w:eastAsia="Times New Roman" w:hAnsi="Arial Narrow" w:cs="Arial"/>
          <w:sz w:val="16"/>
          <w:lang w:eastAsia="bs-Latn-BA"/>
        </w:rPr>
        <w:t xml:space="preserve"> </w:t>
      </w:r>
      <w:r w:rsidRPr="00073673">
        <w:rPr>
          <w:rFonts w:ascii="Arial Narrow" w:eastAsia="Times New Roman" w:hAnsi="Arial Narrow" w:cs="Arial"/>
          <w:sz w:val="16"/>
          <w:lang w:eastAsia="bs-Latn-BA"/>
        </w:rPr>
        <w:t>202</w:t>
      </w:r>
      <w:r w:rsidRPr="00445180">
        <w:rPr>
          <w:rFonts w:ascii="Arial Narrow" w:eastAsia="Times New Roman" w:hAnsi="Arial Narrow" w:cs="Arial"/>
          <w:sz w:val="16"/>
          <w:lang w:eastAsia="bs-Latn-BA"/>
        </w:rPr>
        <w:t>2</w:t>
      </w:r>
      <w:r w:rsidRPr="00073673">
        <w:rPr>
          <w:rFonts w:ascii="Arial Narrow" w:eastAsia="Times New Roman" w:hAnsi="Arial Narrow" w:cs="Arial"/>
          <w:sz w:val="16"/>
          <w:lang w:eastAsia="bs-Latn-B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80E10"/>
    <w:multiLevelType w:val="multilevel"/>
    <w:tmpl w:val="A5D463B6"/>
    <w:lvl w:ilvl="0">
      <w:start w:val="7"/>
      <w:numFmt w:val="decimal"/>
      <w:lvlText w:val="%1."/>
      <w:lvlJc w:val="left"/>
      <w:pPr>
        <w:ind w:left="396" w:hanging="396"/>
      </w:pPr>
      <w:rPr>
        <w:rFonts w:hint="default"/>
      </w:rPr>
    </w:lvl>
    <w:lvl w:ilvl="1">
      <w:start w:val="2"/>
      <w:numFmt w:val="decimal"/>
      <w:lvlText w:val="%1.%2."/>
      <w:lvlJc w:val="left"/>
      <w:pPr>
        <w:ind w:left="1364" w:hanging="720"/>
      </w:pPr>
      <w:rPr>
        <w:rFonts w:hint="default"/>
        <w:sz w:val="24"/>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
    <w:nsid w:val="0D8A0B87"/>
    <w:multiLevelType w:val="hybridMultilevel"/>
    <w:tmpl w:val="D3A06104"/>
    <w:lvl w:ilvl="0" w:tplc="70AC0FBA">
      <w:start w:val="1"/>
      <w:numFmt w:val="decimal"/>
      <w:lvlText w:val="%1."/>
      <w:lvlJc w:val="left"/>
      <w:pPr>
        <w:ind w:left="975" w:hanging="61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05CA9"/>
    <w:multiLevelType w:val="hybridMultilevel"/>
    <w:tmpl w:val="23D4EEAA"/>
    <w:lvl w:ilvl="0" w:tplc="0EA404E0">
      <w:start w:val="1"/>
      <w:numFmt w:val="lowerRoman"/>
      <w:pStyle w:val="ParagraphNumbering"/>
      <w:lvlText w:val="%1."/>
      <w:lvlJc w:val="left"/>
      <w:pPr>
        <w:tabs>
          <w:tab w:val="num" w:pos="3510"/>
        </w:tabs>
        <w:ind w:left="2790" w:firstLine="0"/>
      </w:pPr>
      <w:rPr>
        <w:rFonts w:hint="default"/>
        <w:b w:val="0"/>
      </w:rPr>
    </w:lvl>
    <w:lvl w:ilvl="1" w:tplc="04090019">
      <w:start w:val="1"/>
      <w:numFmt w:val="lowerLetter"/>
      <w:lvlText w:val="%2."/>
      <w:lvlJc w:val="left"/>
      <w:pPr>
        <w:tabs>
          <w:tab w:val="num" w:pos="-6030"/>
        </w:tabs>
        <w:ind w:left="-6030" w:hanging="360"/>
      </w:pPr>
    </w:lvl>
    <w:lvl w:ilvl="2" w:tplc="0409001B" w:tentative="1">
      <w:start w:val="1"/>
      <w:numFmt w:val="lowerRoman"/>
      <w:lvlText w:val="%3."/>
      <w:lvlJc w:val="right"/>
      <w:pPr>
        <w:tabs>
          <w:tab w:val="num" w:pos="-5310"/>
        </w:tabs>
        <w:ind w:left="-531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3150"/>
        </w:tabs>
        <w:ind w:left="-3150" w:hanging="180"/>
      </w:pPr>
    </w:lvl>
    <w:lvl w:ilvl="6" w:tplc="294A8154" w:tentative="1">
      <w:start w:val="1"/>
      <w:numFmt w:val="decimal"/>
      <w:lvlText w:val="%7."/>
      <w:lvlJc w:val="left"/>
      <w:pPr>
        <w:tabs>
          <w:tab w:val="num" w:pos="-2430"/>
        </w:tabs>
        <w:ind w:left="-2430" w:hanging="360"/>
      </w:pPr>
    </w:lvl>
    <w:lvl w:ilvl="7" w:tplc="04090019" w:tentative="1">
      <w:start w:val="1"/>
      <w:numFmt w:val="lowerLetter"/>
      <w:lvlText w:val="%8."/>
      <w:lvlJc w:val="left"/>
      <w:pPr>
        <w:tabs>
          <w:tab w:val="num" w:pos="-1710"/>
        </w:tabs>
        <w:ind w:left="-1710" w:hanging="360"/>
      </w:pPr>
    </w:lvl>
    <w:lvl w:ilvl="8" w:tplc="0409001B" w:tentative="1">
      <w:start w:val="1"/>
      <w:numFmt w:val="lowerRoman"/>
      <w:lvlText w:val="%9."/>
      <w:lvlJc w:val="right"/>
      <w:pPr>
        <w:tabs>
          <w:tab w:val="num" w:pos="-990"/>
        </w:tabs>
        <w:ind w:left="-990" w:hanging="180"/>
      </w:pPr>
    </w:lvl>
  </w:abstractNum>
  <w:abstractNum w:abstractNumId="3">
    <w:nsid w:val="1D19102A"/>
    <w:multiLevelType w:val="multilevel"/>
    <w:tmpl w:val="2812A5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07A2F0E"/>
    <w:multiLevelType w:val="hybridMultilevel"/>
    <w:tmpl w:val="CDE2F6C6"/>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nsid w:val="2B8F3C4F"/>
    <w:multiLevelType w:val="hybridMultilevel"/>
    <w:tmpl w:val="EB62930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38DF7868"/>
    <w:multiLevelType w:val="hybridMultilevel"/>
    <w:tmpl w:val="F0B041C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38EB5397"/>
    <w:multiLevelType w:val="hybridMultilevel"/>
    <w:tmpl w:val="1C30B252"/>
    <w:lvl w:ilvl="0" w:tplc="0A90AC24">
      <w:start w:val="1"/>
      <w:numFmt w:val="bullet"/>
      <w:lvlText w:val=""/>
      <w:lvlJc w:val="left"/>
      <w:pPr>
        <w:ind w:left="1495"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C2672"/>
    <w:multiLevelType w:val="multilevel"/>
    <w:tmpl w:val="33B28158"/>
    <w:lvl w:ilvl="0">
      <w:start w:val="4"/>
      <w:numFmt w:val="decimal"/>
      <w:lvlText w:val="%1"/>
      <w:lvlJc w:val="left"/>
      <w:pPr>
        <w:ind w:left="360" w:hanging="360"/>
      </w:pPr>
      <w:rPr>
        <w:rFonts w:hint="default"/>
      </w:rPr>
    </w:lvl>
    <w:lvl w:ilvl="1">
      <w:start w:val="2"/>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9">
    <w:nsid w:val="3F4215FC"/>
    <w:multiLevelType w:val="hybridMultilevel"/>
    <w:tmpl w:val="33E8B81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8A0C5388">
      <w:start w:val="6"/>
      <w:numFmt w:val="bullet"/>
      <w:lvlText w:val="-"/>
      <w:lvlJc w:val="left"/>
      <w:pPr>
        <w:ind w:left="2160" w:hanging="360"/>
      </w:pPr>
      <w:rPr>
        <w:rFonts w:ascii="Arial" w:eastAsiaTheme="minorHAnsi" w:hAnsi="Arial" w:cs="Arial"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40180914"/>
    <w:multiLevelType w:val="multilevel"/>
    <w:tmpl w:val="D45AFC1E"/>
    <w:lvl w:ilvl="0">
      <w:start w:val="3"/>
      <w:numFmt w:val="decimal"/>
      <w:lvlText w:val="%1."/>
      <w:lvlJc w:val="left"/>
      <w:pPr>
        <w:ind w:left="420" w:hanging="420"/>
      </w:pPr>
      <w:rPr>
        <w:rFonts w:hint="default"/>
        <w:sz w:val="24"/>
      </w:rPr>
    </w:lvl>
    <w:lvl w:ilvl="1">
      <w:start w:val="1"/>
      <w:numFmt w:val="decimal"/>
      <w:lvlText w:val="%1.%2."/>
      <w:lvlJc w:val="left"/>
      <w:pPr>
        <w:ind w:left="1004" w:hanging="720"/>
      </w:pPr>
      <w:rPr>
        <w:rFonts w:hint="default"/>
        <w:sz w:val="24"/>
      </w:rPr>
    </w:lvl>
    <w:lvl w:ilvl="2">
      <w:start w:val="1"/>
      <w:numFmt w:val="decimal"/>
      <w:lvlText w:val="%1.%2.%3."/>
      <w:lvlJc w:val="left"/>
      <w:pPr>
        <w:ind w:left="1288" w:hanging="720"/>
      </w:pPr>
      <w:rPr>
        <w:rFonts w:ascii="Arial" w:hAnsi="Arial" w:cs="Arial" w:hint="default"/>
        <w:b w:val="0"/>
        <w:color w:val="auto"/>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45FF10FE"/>
    <w:multiLevelType w:val="hybridMultilevel"/>
    <w:tmpl w:val="DB44531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4BFD708C"/>
    <w:multiLevelType w:val="hybridMultilevel"/>
    <w:tmpl w:val="F302228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528757AB"/>
    <w:multiLevelType w:val="hybridMultilevel"/>
    <w:tmpl w:val="EDD6D5F0"/>
    <w:lvl w:ilvl="0" w:tplc="0A90AC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E603E4"/>
    <w:multiLevelType w:val="hybridMultilevel"/>
    <w:tmpl w:val="B56C664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0AEC85B6">
      <w:start w:val="2"/>
      <w:numFmt w:val="bullet"/>
      <w:lvlText w:val="-"/>
      <w:lvlJc w:val="left"/>
      <w:pPr>
        <w:ind w:left="2160" w:hanging="360"/>
      </w:pPr>
      <w:rPr>
        <w:rFonts w:ascii="Times New Roman" w:eastAsia="Times New Roman" w:hAnsi="Times New Roman" w:cs="Times New Roman" w:hint="default"/>
        <w:sz w:val="14"/>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5CFD1424"/>
    <w:multiLevelType w:val="hybridMultilevel"/>
    <w:tmpl w:val="9BD4B25A"/>
    <w:lvl w:ilvl="0" w:tplc="08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65437647"/>
    <w:multiLevelType w:val="multilevel"/>
    <w:tmpl w:val="7CAE88F0"/>
    <w:lvl w:ilvl="0">
      <w:start w:val="4"/>
      <w:numFmt w:val="decimal"/>
      <w:lvlText w:val="%1."/>
      <w:lvlJc w:val="left"/>
      <w:pPr>
        <w:ind w:left="360" w:hanging="360"/>
      </w:pPr>
      <w:rPr>
        <w:rFonts w:hint="default"/>
      </w:rPr>
    </w:lvl>
    <w:lvl w:ilvl="1">
      <w:start w:val="4"/>
      <w:numFmt w:val="decimal"/>
      <w:lvlText w:val="%1.%2."/>
      <w:lvlJc w:val="left"/>
      <w:pPr>
        <w:ind w:left="1004" w:hanging="720"/>
      </w:pPr>
      <w:rPr>
        <w:rFonts w:hint="default"/>
        <w:sz w:val="24"/>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65DA2EF6"/>
    <w:multiLevelType w:val="hybridMultilevel"/>
    <w:tmpl w:val="7AA0DE02"/>
    <w:lvl w:ilvl="0" w:tplc="8A0C5388">
      <w:start w:val="6"/>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6EE92BD7"/>
    <w:multiLevelType w:val="hybridMultilevel"/>
    <w:tmpl w:val="26FE387E"/>
    <w:lvl w:ilvl="0" w:tplc="0A90AC24">
      <w:start w:val="1"/>
      <w:numFmt w:val="bullet"/>
      <w:lvlText w:val=""/>
      <w:lvlJc w:val="left"/>
      <w:pPr>
        <w:ind w:left="1353" w:hanging="360"/>
      </w:pPr>
      <w:rPr>
        <w:rFonts w:ascii="Symbol" w:hAnsi="Symbol" w:hint="default"/>
        <w:b w:val="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9">
    <w:nsid w:val="723A7567"/>
    <w:multiLevelType w:val="hybridMultilevel"/>
    <w:tmpl w:val="9F002D22"/>
    <w:lvl w:ilvl="0" w:tplc="8A0C5388">
      <w:start w:val="6"/>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748A1842"/>
    <w:multiLevelType w:val="hybridMultilevel"/>
    <w:tmpl w:val="7E027ED2"/>
    <w:lvl w:ilvl="0" w:tplc="0A90AC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6A1D9F"/>
    <w:multiLevelType w:val="hybridMultilevel"/>
    <w:tmpl w:val="1D6E8564"/>
    <w:lvl w:ilvl="0" w:tplc="04381C9E">
      <w:start w:val="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FD5201"/>
    <w:multiLevelType w:val="multilevel"/>
    <w:tmpl w:val="7E8AEAB8"/>
    <w:lvl w:ilvl="0">
      <w:start w:val="1"/>
      <w:numFmt w:val="decimal"/>
      <w:lvlText w:val="%1."/>
      <w:lvlJc w:val="left"/>
      <w:pPr>
        <w:ind w:left="720" w:hanging="360"/>
      </w:pPr>
      <w:rPr>
        <w:rFonts w:ascii="Arial" w:eastAsiaTheme="minorHAnsi" w:hAnsi="Arial" w:cs="Arial"/>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A240101"/>
    <w:multiLevelType w:val="multilevel"/>
    <w:tmpl w:val="5464126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ascii="Arial" w:hAnsi="Arial" w:cs="Arial" w:hint="default"/>
        <w:b w:val="0"/>
        <w:color w:val="auto"/>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3"/>
  </w:num>
  <w:num w:numId="2">
    <w:abstractNumId w:val="22"/>
  </w:num>
  <w:num w:numId="3">
    <w:abstractNumId w:val="2"/>
  </w:num>
  <w:num w:numId="4">
    <w:abstractNumId w:val="21"/>
  </w:num>
  <w:num w:numId="5">
    <w:abstractNumId w:val="0"/>
  </w:num>
  <w:num w:numId="6">
    <w:abstractNumId w:val="5"/>
  </w:num>
  <w:num w:numId="7">
    <w:abstractNumId w:val="6"/>
  </w:num>
  <w:num w:numId="8">
    <w:abstractNumId w:val="17"/>
  </w:num>
  <w:num w:numId="9">
    <w:abstractNumId w:val="19"/>
  </w:num>
  <w:num w:numId="10">
    <w:abstractNumId w:val="10"/>
  </w:num>
  <w:num w:numId="11">
    <w:abstractNumId w:val="16"/>
  </w:num>
  <w:num w:numId="12">
    <w:abstractNumId w:val="8"/>
  </w:num>
  <w:num w:numId="13">
    <w:abstractNumId w:val="15"/>
  </w:num>
  <w:num w:numId="14">
    <w:abstractNumId w:val="12"/>
  </w:num>
  <w:num w:numId="15">
    <w:abstractNumId w:val="14"/>
  </w:num>
  <w:num w:numId="16">
    <w:abstractNumId w:val="9"/>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11"/>
  </w:num>
  <w:num w:numId="25">
    <w:abstractNumId w:val="2"/>
  </w:num>
  <w:num w:numId="26">
    <w:abstractNumId w:val="1"/>
  </w:num>
  <w:num w:numId="27">
    <w:abstractNumId w:val="4"/>
  </w:num>
  <w:num w:numId="28">
    <w:abstractNumId w:val="13"/>
  </w:num>
  <w:num w:numId="29">
    <w:abstractNumId w:val="18"/>
  </w:num>
  <w:num w:numId="30">
    <w:abstractNumId w:val="7"/>
  </w:num>
  <w:num w:numId="31">
    <w:abstractNumId w:val="20"/>
  </w:num>
  <w:num w:numId="3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CC"/>
    <w:rsid w:val="00004BA7"/>
    <w:rsid w:val="000058B7"/>
    <w:rsid w:val="00006EEB"/>
    <w:rsid w:val="00014D72"/>
    <w:rsid w:val="00014E48"/>
    <w:rsid w:val="000151BF"/>
    <w:rsid w:val="000160E3"/>
    <w:rsid w:val="000172AE"/>
    <w:rsid w:val="00017C6F"/>
    <w:rsid w:val="0002053D"/>
    <w:rsid w:val="000216F3"/>
    <w:rsid w:val="0002209B"/>
    <w:rsid w:val="0002268F"/>
    <w:rsid w:val="00022FDA"/>
    <w:rsid w:val="0002314C"/>
    <w:rsid w:val="0002398E"/>
    <w:rsid w:val="000251A2"/>
    <w:rsid w:val="00026D57"/>
    <w:rsid w:val="0003059C"/>
    <w:rsid w:val="00031D80"/>
    <w:rsid w:val="00032C0C"/>
    <w:rsid w:val="00036543"/>
    <w:rsid w:val="000374C5"/>
    <w:rsid w:val="0004186A"/>
    <w:rsid w:val="00041E96"/>
    <w:rsid w:val="00044728"/>
    <w:rsid w:val="00045C8D"/>
    <w:rsid w:val="00046976"/>
    <w:rsid w:val="0005082C"/>
    <w:rsid w:val="0005082F"/>
    <w:rsid w:val="00050C2A"/>
    <w:rsid w:val="00052461"/>
    <w:rsid w:val="00053C94"/>
    <w:rsid w:val="00055B40"/>
    <w:rsid w:val="00056173"/>
    <w:rsid w:val="00057562"/>
    <w:rsid w:val="00057765"/>
    <w:rsid w:val="000605CA"/>
    <w:rsid w:val="00063242"/>
    <w:rsid w:val="0006330A"/>
    <w:rsid w:val="00063E80"/>
    <w:rsid w:val="0006474C"/>
    <w:rsid w:val="00066616"/>
    <w:rsid w:val="00066640"/>
    <w:rsid w:val="000668BD"/>
    <w:rsid w:val="00066D60"/>
    <w:rsid w:val="00067161"/>
    <w:rsid w:val="000707E3"/>
    <w:rsid w:val="00070C4A"/>
    <w:rsid w:val="000714A5"/>
    <w:rsid w:val="000715AE"/>
    <w:rsid w:val="00073402"/>
    <w:rsid w:val="00073673"/>
    <w:rsid w:val="0007378A"/>
    <w:rsid w:val="00073998"/>
    <w:rsid w:val="00073EBC"/>
    <w:rsid w:val="00074A8C"/>
    <w:rsid w:val="0007589E"/>
    <w:rsid w:val="00075B40"/>
    <w:rsid w:val="00075D03"/>
    <w:rsid w:val="0008077B"/>
    <w:rsid w:val="00082CDD"/>
    <w:rsid w:val="000833C1"/>
    <w:rsid w:val="0008405B"/>
    <w:rsid w:val="000852AD"/>
    <w:rsid w:val="0008535F"/>
    <w:rsid w:val="000856A8"/>
    <w:rsid w:val="00085951"/>
    <w:rsid w:val="000869BA"/>
    <w:rsid w:val="00086BAD"/>
    <w:rsid w:val="00087408"/>
    <w:rsid w:val="00087712"/>
    <w:rsid w:val="000903F3"/>
    <w:rsid w:val="00090C86"/>
    <w:rsid w:val="00091394"/>
    <w:rsid w:val="000919E3"/>
    <w:rsid w:val="0009242F"/>
    <w:rsid w:val="000926BE"/>
    <w:rsid w:val="000933E3"/>
    <w:rsid w:val="00095017"/>
    <w:rsid w:val="000972E3"/>
    <w:rsid w:val="000A0CD6"/>
    <w:rsid w:val="000A3575"/>
    <w:rsid w:val="000A365C"/>
    <w:rsid w:val="000A447F"/>
    <w:rsid w:val="000A4DCF"/>
    <w:rsid w:val="000A52AC"/>
    <w:rsid w:val="000A53DD"/>
    <w:rsid w:val="000A6398"/>
    <w:rsid w:val="000A640D"/>
    <w:rsid w:val="000A7126"/>
    <w:rsid w:val="000A7A58"/>
    <w:rsid w:val="000B1901"/>
    <w:rsid w:val="000B1CD9"/>
    <w:rsid w:val="000B2350"/>
    <w:rsid w:val="000B344E"/>
    <w:rsid w:val="000B425A"/>
    <w:rsid w:val="000B533A"/>
    <w:rsid w:val="000B6F8D"/>
    <w:rsid w:val="000C0822"/>
    <w:rsid w:val="000C21C9"/>
    <w:rsid w:val="000C2740"/>
    <w:rsid w:val="000C3257"/>
    <w:rsid w:val="000C3A6F"/>
    <w:rsid w:val="000C3B92"/>
    <w:rsid w:val="000C6751"/>
    <w:rsid w:val="000C6C4E"/>
    <w:rsid w:val="000C7651"/>
    <w:rsid w:val="000D0226"/>
    <w:rsid w:val="000D08B8"/>
    <w:rsid w:val="000D15AD"/>
    <w:rsid w:val="000D1753"/>
    <w:rsid w:val="000D1AB3"/>
    <w:rsid w:val="000D1E62"/>
    <w:rsid w:val="000D3C18"/>
    <w:rsid w:val="000D40D3"/>
    <w:rsid w:val="000D4AB3"/>
    <w:rsid w:val="000D54BA"/>
    <w:rsid w:val="000D56AA"/>
    <w:rsid w:val="000D65EE"/>
    <w:rsid w:val="000D7093"/>
    <w:rsid w:val="000E00C8"/>
    <w:rsid w:val="000E042D"/>
    <w:rsid w:val="000E04A9"/>
    <w:rsid w:val="000E1D7D"/>
    <w:rsid w:val="000E26F9"/>
    <w:rsid w:val="000E2785"/>
    <w:rsid w:val="000E32C9"/>
    <w:rsid w:val="000E38BD"/>
    <w:rsid w:val="000E3CE6"/>
    <w:rsid w:val="000E4023"/>
    <w:rsid w:val="000E4623"/>
    <w:rsid w:val="000E49C9"/>
    <w:rsid w:val="000E59C4"/>
    <w:rsid w:val="000E6EDA"/>
    <w:rsid w:val="000E7281"/>
    <w:rsid w:val="000F0991"/>
    <w:rsid w:val="000F0B2F"/>
    <w:rsid w:val="000F0B87"/>
    <w:rsid w:val="000F134D"/>
    <w:rsid w:val="000F17C2"/>
    <w:rsid w:val="000F2379"/>
    <w:rsid w:val="000F2CF5"/>
    <w:rsid w:val="000F2E3C"/>
    <w:rsid w:val="000F3A6E"/>
    <w:rsid w:val="000F3C4C"/>
    <w:rsid w:val="000F4795"/>
    <w:rsid w:val="000F5CC9"/>
    <w:rsid w:val="000F613D"/>
    <w:rsid w:val="000F795C"/>
    <w:rsid w:val="00100B93"/>
    <w:rsid w:val="00100FC4"/>
    <w:rsid w:val="00101498"/>
    <w:rsid w:val="001015EE"/>
    <w:rsid w:val="00103B88"/>
    <w:rsid w:val="00104779"/>
    <w:rsid w:val="0010729E"/>
    <w:rsid w:val="001079DB"/>
    <w:rsid w:val="001103D5"/>
    <w:rsid w:val="00110F0F"/>
    <w:rsid w:val="00111316"/>
    <w:rsid w:val="00111709"/>
    <w:rsid w:val="00111FA4"/>
    <w:rsid w:val="00112088"/>
    <w:rsid w:val="00112D78"/>
    <w:rsid w:val="001136E6"/>
    <w:rsid w:val="00114128"/>
    <w:rsid w:val="0011468B"/>
    <w:rsid w:val="0011523F"/>
    <w:rsid w:val="001178C5"/>
    <w:rsid w:val="001203DA"/>
    <w:rsid w:val="00120767"/>
    <w:rsid w:val="00120C8F"/>
    <w:rsid w:val="001216F1"/>
    <w:rsid w:val="00121976"/>
    <w:rsid w:val="0012277F"/>
    <w:rsid w:val="00122BBC"/>
    <w:rsid w:val="0012319B"/>
    <w:rsid w:val="001238D0"/>
    <w:rsid w:val="00123AAE"/>
    <w:rsid w:val="00123EA5"/>
    <w:rsid w:val="00124ED1"/>
    <w:rsid w:val="001272D1"/>
    <w:rsid w:val="0013016D"/>
    <w:rsid w:val="00130459"/>
    <w:rsid w:val="00130799"/>
    <w:rsid w:val="00130823"/>
    <w:rsid w:val="00130D09"/>
    <w:rsid w:val="0013138E"/>
    <w:rsid w:val="00131463"/>
    <w:rsid w:val="001314B5"/>
    <w:rsid w:val="001325B0"/>
    <w:rsid w:val="0013274C"/>
    <w:rsid w:val="00132A4E"/>
    <w:rsid w:val="00132C27"/>
    <w:rsid w:val="00133439"/>
    <w:rsid w:val="00133849"/>
    <w:rsid w:val="0013422A"/>
    <w:rsid w:val="001343FD"/>
    <w:rsid w:val="001349F9"/>
    <w:rsid w:val="00134C19"/>
    <w:rsid w:val="00135BDC"/>
    <w:rsid w:val="00135C49"/>
    <w:rsid w:val="001360A9"/>
    <w:rsid w:val="001365B1"/>
    <w:rsid w:val="00137E6B"/>
    <w:rsid w:val="00141F24"/>
    <w:rsid w:val="00142581"/>
    <w:rsid w:val="00142E72"/>
    <w:rsid w:val="00144663"/>
    <w:rsid w:val="001446EC"/>
    <w:rsid w:val="00144B39"/>
    <w:rsid w:val="0014529A"/>
    <w:rsid w:val="001461C4"/>
    <w:rsid w:val="001464BB"/>
    <w:rsid w:val="00146A44"/>
    <w:rsid w:val="00147D0E"/>
    <w:rsid w:val="0015026A"/>
    <w:rsid w:val="00151EBB"/>
    <w:rsid w:val="001536EB"/>
    <w:rsid w:val="0015383B"/>
    <w:rsid w:val="00154166"/>
    <w:rsid w:val="00154490"/>
    <w:rsid w:val="0015495F"/>
    <w:rsid w:val="00154D88"/>
    <w:rsid w:val="0015569E"/>
    <w:rsid w:val="001560D9"/>
    <w:rsid w:val="00156199"/>
    <w:rsid w:val="001562AC"/>
    <w:rsid w:val="00160FE9"/>
    <w:rsid w:val="001620E4"/>
    <w:rsid w:val="001651A8"/>
    <w:rsid w:val="00165642"/>
    <w:rsid w:val="0016673B"/>
    <w:rsid w:val="00166E3C"/>
    <w:rsid w:val="00167596"/>
    <w:rsid w:val="001676A2"/>
    <w:rsid w:val="00170688"/>
    <w:rsid w:val="0017078D"/>
    <w:rsid w:val="00172876"/>
    <w:rsid w:val="00173874"/>
    <w:rsid w:val="00173E89"/>
    <w:rsid w:val="001751F9"/>
    <w:rsid w:val="001758E4"/>
    <w:rsid w:val="001767FC"/>
    <w:rsid w:val="001768B2"/>
    <w:rsid w:val="001800C5"/>
    <w:rsid w:val="00180EFE"/>
    <w:rsid w:val="001844A7"/>
    <w:rsid w:val="00184EF5"/>
    <w:rsid w:val="001852A8"/>
    <w:rsid w:val="00185371"/>
    <w:rsid w:val="0018601F"/>
    <w:rsid w:val="00186026"/>
    <w:rsid w:val="001902B1"/>
    <w:rsid w:val="001905C4"/>
    <w:rsid w:val="0019081D"/>
    <w:rsid w:val="0019168F"/>
    <w:rsid w:val="001920DF"/>
    <w:rsid w:val="00195A3C"/>
    <w:rsid w:val="0019611B"/>
    <w:rsid w:val="0019620F"/>
    <w:rsid w:val="001965D1"/>
    <w:rsid w:val="00196E02"/>
    <w:rsid w:val="00197573"/>
    <w:rsid w:val="0019781C"/>
    <w:rsid w:val="001978F0"/>
    <w:rsid w:val="001A0168"/>
    <w:rsid w:val="001A052C"/>
    <w:rsid w:val="001A0772"/>
    <w:rsid w:val="001A0ED1"/>
    <w:rsid w:val="001A16B2"/>
    <w:rsid w:val="001A19A4"/>
    <w:rsid w:val="001A2C67"/>
    <w:rsid w:val="001A2E52"/>
    <w:rsid w:val="001A3783"/>
    <w:rsid w:val="001A3F5B"/>
    <w:rsid w:val="001A48FC"/>
    <w:rsid w:val="001A4F71"/>
    <w:rsid w:val="001A5423"/>
    <w:rsid w:val="001A63C6"/>
    <w:rsid w:val="001A7F1E"/>
    <w:rsid w:val="001B007A"/>
    <w:rsid w:val="001B026F"/>
    <w:rsid w:val="001B0367"/>
    <w:rsid w:val="001B0A03"/>
    <w:rsid w:val="001B198A"/>
    <w:rsid w:val="001B2D70"/>
    <w:rsid w:val="001B3184"/>
    <w:rsid w:val="001B36F9"/>
    <w:rsid w:val="001B542A"/>
    <w:rsid w:val="001B6D08"/>
    <w:rsid w:val="001B7F8C"/>
    <w:rsid w:val="001C0754"/>
    <w:rsid w:val="001C0761"/>
    <w:rsid w:val="001C0FDB"/>
    <w:rsid w:val="001C4CD2"/>
    <w:rsid w:val="001C6563"/>
    <w:rsid w:val="001C688B"/>
    <w:rsid w:val="001C6F47"/>
    <w:rsid w:val="001C7485"/>
    <w:rsid w:val="001C7ACF"/>
    <w:rsid w:val="001D035E"/>
    <w:rsid w:val="001D0692"/>
    <w:rsid w:val="001D0D75"/>
    <w:rsid w:val="001D1542"/>
    <w:rsid w:val="001D1E78"/>
    <w:rsid w:val="001D1E7B"/>
    <w:rsid w:val="001D23DF"/>
    <w:rsid w:val="001D264A"/>
    <w:rsid w:val="001D2E44"/>
    <w:rsid w:val="001D2EA3"/>
    <w:rsid w:val="001D61F6"/>
    <w:rsid w:val="001D65EA"/>
    <w:rsid w:val="001E09CF"/>
    <w:rsid w:val="001E148D"/>
    <w:rsid w:val="001E18B8"/>
    <w:rsid w:val="001E1C60"/>
    <w:rsid w:val="001E1D01"/>
    <w:rsid w:val="001E2C57"/>
    <w:rsid w:val="001E33B6"/>
    <w:rsid w:val="001E4214"/>
    <w:rsid w:val="001E5685"/>
    <w:rsid w:val="001E60D7"/>
    <w:rsid w:val="001E7233"/>
    <w:rsid w:val="001F04FF"/>
    <w:rsid w:val="001F0D11"/>
    <w:rsid w:val="001F205E"/>
    <w:rsid w:val="001F2341"/>
    <w:rsid w:val="001F30C9"/>
    <w:rsid w:val="001F3E58"/>
    <w:rsid w:val="001F486E"/>
    <w:rsid w:val="001F4948"/>
    <w:rsid w:val="001F542A"/>
    <w:rsid w:val="001F560A"/>
    <w:rsid w:val="001F5662"/>
    <w:rsid w:val="001F668F"/>
    <w:rsid w:val="001F6C54"/>
    <w:rsid w:val="001F6C98"/>
    <w:rsid w:val="001F6E85"/>
    <w:rsid w:val="00200041"/>
    <w:rsid w:val="002009B6"/>
    <w:rsid w:val="002009ED"/>
    <w:rsid w:val="00201322"/>
    <w:rsid w:val="00201345"/>
    <w:rsid w:val="00201350"/>
    <w:rsid w:val="002020C8"/>
    <w:rsid w:val="0020374E"/>
    <w:rsid w:val="00203F74"/>
    <w:rsid w:val="002043A9"/>
    <w:rsid w:val="00205074"/>
    <w:rsid w:val="00205380"/>
    <w:rsid w:val="00214551"/>
    <w:rsid w:val="00214C62"/>
    <w:rsid w:val="00215359"/>
    <w:rsid w:val="00215A4E"/>
    <w:rsid w:val="00215A64"/>
    <w:rsid w:val="00215CCD"/>
    <w:rsid w:val="00221B11"/>
    <w:rsid w:val="00223568"/>
    <w:rsid w:val="00223782"/>
    <w:rsid w:val="00224D49"/>
    <w:rsid w:val="00225AF7"/>
    <w:rsid w:val="00226775"/>
    <w:rsid w:val="00226FA9"/>
    <w:rsid w:val="002313B9"/>
    <w:rsid w:val="002317C5"/>
    <w:rsid w:val="0023226E"/>
    <w:rsid w:val="0023276A"/>
    <w:rsid w:val="002350C4"/>
    <w:rsid w:val="002359D4"/>
    <w:rsid w:val="00236126"/>
    <w:rsid w:val="0023784F"/>
    <w:rsid w:val="00237C2E"/>
    <w:rsid w:val="00241573"/>
    <w:rsid w:val="0024209E"/>
    <w:rsid w:val="00242346"/>
    <w:rsid w:val="00242549"/>
    <w:rsid w:val="00243886"/>
    <w:rsid w:val="002439DD"/>
    <w:rsid w:val="0024541A"/>
    <w:rsid w:val="00245A96"/>
    <w:rsid w:val="00245D76"/>
    <w:rsid w:val="00245EFB"/>
    <w:rsid w:val="002461C4"/>
    <w:rsid w:val="00246AE0"/>
    <w:rsid w:val="00247B59"/>
    <w:rsid w:val="00247BA5"/>
    <w:rsid w:val="002519C6"/>
    <w:rsid w:val="00252B8F"/>
    <w:rsid w:val="00252BB0"/>
    <w:rsid w:val="00254A1F"/>
    <w:rsid w:val="00254BBA"/>
    <w:rsid w:val="00255316"/>
    <w:rsid w:val="002568C1"/>
    <w:rsid w:val="00256B85"/>
    <w:rsid w:val="002575EA"/>
    <w:rsid w:val="002605A0"/>
    <w:rsid w:val="00260D9B"/>
    <w:rsid w:val="00260DBF"/>
    <w:rsid w:val="002614CC"/>
    <w:rsid w:val="00262BC6"/>
    <w:rsid w:val="002652E3"/>
    <w:rsid w:val="002657DA"/>
    <w:rsid w:val="002659B8"/>
    <w:rsid w:val="00265B00"/>
    <w:rsid w:val="002667B9"/>
    <w:rsid w:val="00266C36"/>
    <w:rsid w:val="00267343"/>
    <w:rsid w:val="0027009B"/>
    <w:rsid w:val="00270580"/>
    <w:rsid w:val="00271379"/>
    <w:rsid w:val="00271572"/>
    <w:rsid w:val="00271FF1"/>
    <w:rsid w:val="00272617"/>
    <w:rsid w:val="002731B0"/>
    <w:rsid w:val="00273882"/>
    <w:rsid w:val="00273ED1"/>
    <w:rsid w:val="00274273"/>
    <w:rsid w:val="00274B74"/>
    <w:rsid w:val="00274F03"/>
    <w:rsid w:val="002751E3"/>
    <w:rsid w:val="00275DB5"/>
    <w:rsid w:val="00277AB1"/>
    <w:rsid w:val="00280357"/>
    <w:rsid w:val="00280B93"/>
    <w:rsid w:val="00280D42"/>
    <w:rsid w:val="002825FD"/>
    <w:rsid w:val="0028290E"/>
    <w:rsid w:val="002841FA"/>
    <w:rsid w:val="00284A87"/>
    <w:rsid w:val="00284D2D"/>
    <w:rsid w:val="00284F90"/>
    <w:rsid w:val="002855A1"/>
    <w:rsid w:val="0028634E"/>
    <w:rsid w:val="002866C7"/>
    <w:rsid w:val="00286C5F"/>
    <w:rsid w:val="0028777A"/>
    <w:rsid w:val="0029074F"/>
    <w:rsid w:val="00290B34"/>
    <w:rsid w:val="0029144D"/>
    <w:rsid w:val="002925B5"/>
    <w:rsid w:val="00292C76"/>
    <w:rsid w:val="00294E20"/>
    <w:rsid w:val="0029569D"/>
    <w:rsid w:val="0029662A"/>
    <w:rsid w:val="002979DB"/>
    <w:rsid w:val="002A0ED3"/>
    <w:rsid w:val="002A1B0F"/>
    <w:rsid w:val="002A2B25"/>
    <w:rsid w:val="002A488F"/>
    <w:rsid w:val="002A4C23"/>
    <w:rsid w:val="002A52D8"/>
    <w:rsid w:val="002A56B5"/>
    <w:rsid w:val="002B0E0F"/>
    <w:rsid w:val="002B10F6"/>
    <w:rsid w:val="002B1A09"/>
    <w:rsid w:val="002B29F5"/>
    <w:rsid w:val="002B30DA"/>
    <w:rsid w:val="002B37DD"/>
    <w:rsid w:val="002B3DE5"/>
    <w:rsid w:val="002B3E3B"/>
    <w:rsid w:val="002B54AA"/>
    <w:rsid w:val="002B5B8C"/>
    <w:rsid w:val="002B5DCA"/>
    <w:rsid w:val="002B63BE"/>
    <w:rsid w:val="002B6733"/>
    <w:rsid w:val="002B6893"/>
    <w:rsid w:val="002B6A7D"/>
    <w:rsid w:val="002C0B24"/>
    <w:rsid w:val="002C1F91"/>
    <w:rsid w:val="002C219C"/>
    <w:rsid w:val="002C46EF"/>
    <w:rsid w:val="002C4DB7"/>
    <w:rsid w:val="002C52ED"/>
    <w:rsid w:val="002D023C"/>
    <w:rsid w:val="002D06F6"/>
    <w:rsid w:val="002D0909"/>
    <w:rsid w:val="002D0CB7"/>
    <w:rsid w:val="002D1453"/>
    <w:rsid w:val="002D19CB"/>
    <w:rsid w:val="002D203C"/>
    <w:rsid w:val="002D2955"/>
    <w:rsid w:val="002D3B93"/>
    <w:rsid w:val="002D3FC4"/>
    <w:rsid w:val="002D4590"/>
    <w:rsid w:val="002D4A89"/>
    <w:rsid w:val="002D4BD4"/>
    <w:rsid w:val="002D4F94"/>
    <w:rsid w:val="002D648C"/>
    <w:rsid w:val="002D6580"/>
    <w:rsid w:val="002D6700"/>
    <w:rsid w:val="002E14DA"/>
    <w:rsid w:val="002E1A1F"/>
    <w:rsid w:val="002E27EF"/>
    <w:rsid w:val="002E31E8"/>
    <w:rsid w:val="002E658D"/>
    <w:rsid w:val="002E7622"/>
    <w:rsid w:val="002F0375"/>
    <w:rsid w:val="002F11FE"/>
    <w:rsid w:val="002F1406"/>
    <w:rsid w:val="002F295B"/>
    <w:rsid w:val="002F45A5"/>
    <w:rsid w:val="002F4A4F"/>
    <w:rsid w:val="002F4A76"/>
    <w:rsid w:val="002F73A6"/>
    <w:rsid w:val="0030021E"/>
    <w:rsid w:val="00300360"/>
    <w:rsid w:val="00301909"/>
    <w:rsid w:val="003027C2"/>
    <w:rsid w:val="00303B54"/>
    <w:rsid w:val="00306849"/>
    <w:rsid w:val="00306D23"/>
    <w:rsid w:val="00307DFE"/>
    <w:rsid w:val="00310A0D"/>
    <w:rsid w:val="00310E9B"/>
    <w:rsid w:val="00311DE4"/>
    <w:rsid w:val="0031219E"/>
    <w:rsid w:val="003128B7"/>
    <w:rsid w:val="00313AD4"/>
    <w:rsid w:val="00314132"/>
    <w:rsid w:val="00315942"/>
    <w:rsid w:val="00317B21"/>
    <w:rsid w:val="0032090C"/>
    <w:rsid w:val="0032093C"/>
    <w:rsid w:val="00320D80"/>
    <w:rsid w:val="00320FC1"/>
    <w:rsid w:val="00323B39"/>
    <w:rsid w:val="00324FCB"/>
    <w:rsid w:val="003252A3"/>
    <w:rsid w:val="00325579"/>
    <w:rsid w:val="00326945"/>
    <w:rsid w:val="0032769E"/>
    <w:rsid w:val="00327E88"/>
    <w:rsid w:val="003309FF"/>
    <w:rsid w:val="00330FB6"/>
    <w:rsid w:val="00331DAB"/>
    <w:rsid w:val="003320E7"/>
    <w:rsid w:val="003333F1"/>
    <w:rsid w:val="00333946"/>
    <w:rsid w:val="00333B36"/>
    <w:rsid w:val="00333D75"/>
    <w:rsid w:val="00333FC2"/>
    <w:rsid w:val="00334653"/>
    <w:rsid w:val="00335341"/>
    <w:rsid w:val="00335615"/>
    <w:rsid w:val="00335A79"/>
    <w:rsid w:val="00335DB4"/>
    <w:rsid w:val="00336F8C"/>
    <w:rsid w:val="003376D7"/>
    <w:rsid w:val="00337704"/>
    <w:rsid w:val="00337B3D"/>
    <w:rsid w:val="00337B91"/>
    <w:rsid w:val="00337FB0"/>
    <w:rsid w:val="003415FF"/>
    <w:rsid w:val="00343F00"/>
    <w:rsid w:val="003440EA"/>
    <w:rsid w:val="00344132"/>
    <w:rsid w:val="00345A44"/>
    <w:rsid w:val="00345CEF"/>
    <w:rsid w:val="003466C9"/>
    <w:rsid w:val="00346862"/>
    <w:rsid w:val="0034735F"/>
    <w:rsid w:val="00347B30"/>
    <w:rsid w:val="00347DA9"/>
    <w:rsid w:val="003511A6"/>
    <w:rsid w:val="00351ADE"/>
    <w:rsid w:val="00351E88"/>
    <w:rsid w:val="00352B1D"/>
    <w:rsid w:val="00353FFA"/>
    <w:rsid w:val="00355621"/>
    <w:rsid w:val="00356CD0"/>
    <w:rsid w:val="00360E49"/>
    <w:rsid w:val="003618B1"/>
    <w:rsid w:val="003631ED"/>
    <w:rsid w:val="00364870"/>
    <w:rsid w:val="00365524"/>
    <w:rsid w:val="00366687"/>
    <w:rsid w:val="00367471"/>
    <w:rsid w:val="00367624"/>
    <w:rsid w:val="00367B72"/>
    <w:rsid w:val="00367F5B"/>
    <w:rsid w:val="003714D0"/>
    <w:rsid w:val="003720F7"/>
    <w:rsid w:val="00373E41"/>
    <w:rsid w:val="00374848"/>
    <w:rsid w:val="0037595C"/>
    <w:rsid w:val="00375D34"/>
    <w:rsid w:val="00377C06"/>
    <w:rsid w:val="00377CEA"/>
    <w:rsid w:val="00377FB8"/>
    <w:rsid w:val="003829D6"/>
    <w:rsid w:val="00382E3D"/>
    <w:rsid w:val="00383540"/>
    <w:rsid w:val="00383751"/>
    <w:rsid w:val="003849B5"/>
    <w:rsid w:val="00384FB2"/>
    <w:rsid w:val="00385642"/>
    <w:rsid w:val="00386C53"/>
    <w:rsid w:val="00390132"/>
    <w:rsid w:val="0039160C"/>
    <w:rsid w:val="00393101"/>
    <w:rsid w:val="003935CA"/>
    <w:rsid w:val="003947AF"/>
    <w:rsid w:val="00394C6E"/>
    <w:rsid w:val="00395B8F"/>
    <w:rsid w:val="003A0CBB"/>
    <w:rsid w:val="003A2C31"/>
    <w:rsid w:val="003A53DE"/>
    <w:rsid w:val="003A55B2"/>
    <w:rsid w:val="003A71C9"/>
    <w:rsid w:val="003B0A7D"/>
    <w:rsid w:val="003B231E"/>
    <w:rsid w:val="003B3BEF"/>
    <w:rsid w:val="003B4112"/>
    <w:rsid w:val="003B44D9"/>
    <w:rsid w:val="003B573B"/>
    <w:rsid w:val="003B64AB"/>
    <w:rsid w:val="003B6919"/>
    <w:rsid w:val="003C0546"/>
    <w:rsid w:val="003C0CA1"/>
    <w:rsid w:val="003C10D3"/>
    <w:rsid w:val="003C1E48"/>
    <w:rsid w:val="003C2782"/>
    <w:rsid w:val="003C2CA0"/>
    <w:rsid w:val="003C4A15"/>
    <w:rsid w:val="003C51E4"/>
    <w:rsid w:val="003C5328"/>
    <w:rsid w:val="003C62A5"/>
    <w:rsid w:val="003C74BB"/>
    <w:rsid w:val="003C7B79"/>
    <w:rsid w:val="003C7EC3"/>
    <w:rsid w:val="003D1497"/>
    <w:rsid w:val="003D27FA"/>
    <w:rsid w:val="003D2CC1"/>
    <w:rsid w:val="003D430F"/>
    <w:rsid w:val="003D5CC1"/>
    <w:rsid w:val="003D6783"/>
    <w:rsid w:val="003D6AFA"/>
    <w:rsid w:val="003D793D"/>
    <w:rsid w:val="003E073D"/>
    <w:rsid w:val="003E235F"/>
    <w:rsid w:val="003E2B23"/>
    <w:rsid w:val="003E3517"/>
    <w:rsid w:val="003E3D5A"/>
    <w:rsid w:val="003E3F31"/>
    <w:rsid w:val="003E4F85"/>
    <w:rsid w:val="003E76D3"/>
    <w:rsid w:val="003F027D"/>
    <w:rsid w:val="003F0291"/>
    <w:rsid w:val="003F0AC7"/>
    <w:rsid w:val="003F1067"/>
    <w:rsid w:val="003F2009"/>
    <w:rsid w:val="003F47CB"/>
    <w:rsid w:val="003F4C9F"/>
    <w:rsid w:val="003F4FA2"/>
    <w:rsid w:val="003F50ED"/>
    <w:rsid w:val="003F574E"/>
    <w:rsid w:val="003F5D1F"/>
    <w:rsid w:val="003F61CC"/>
    <w:rsid w:val="003F64E6"/>
    <w:rsid w:val="003F6ED8"/>
    <w:rsid w:val="003F79ED"/>
    <w:rsid w:val="003F7C5E"/>
    <w:rsid w:val="00400A00"/>
    <w:rsid w:val="00402C40"/>
    <w:rsid w:val="0040370F"/>
    <w:rsid w:val="00405A09"/>
    <w:rsid w:val="00406204"/>
    <w:rsid w:val="004141EE"/>
    <w:rsid w:val="00414F3B"/>
    <w:rsid w:val="004150CD"/>
    <w:rsid w:val="004157A1"/>
    <w:rsid w:val="00420092"/>
    <w:rsid w:val="0042251D"/>
    <w:rsid w:val="0042278A"/>
    <w:rsid w:val="00422C4D"/>
    <w:rsid w:val="00422F0B"/>
    <w:rsid w:val="00423D21"/>
    <w:rsid w:val="00423DD5"/>
    <w:rsid w:val="00424416"/>
    <w:rsid w:val="00425864"/>
    <w:rsid w:val="00427171"/>
    <w:rsid w:val="00427943"/>
    <w:rsid w:val="00427DA2"/>
    <w:rsid w:val="00427E11"/>
    <w:rsid w:val="00430260"/>
    <w:rsid w:val="00431299"/>
    <w:rsid w:val="004312EF"/>
    <w:rsid w:val="00431BB0"/>
    <w:rsid w:val="00432795"/>
    <w:rsid w:val="004331D2"/>
    <w:rsid w:val="004337C5"/>
    <w:rsid w:val="004338B5"/>
    <w:rsid w:val="00435037"/>
    <w:rsid w:val="00435148"/>
    <w:rsid w:val="004358F5"/>
    <w:rsid w:val="0043590E"/>
    <w:rsid w:val="00435AE4"/>
    <w:rsid w:val="00435E22"/>
    <w:rsid w:val="0043658C"/>
    <w:rsid w:val="00436A2F"/>
    <w:rsid w:val="00436CB4"/>
    <w:rsid w:val="00437B5F"/>
    <w:rsid w:val="004420EC"/>
    <w:rsid w:val="004450C8"/>
    <w:rsid w:val="00445180"/>
    <w:rsid w:val="004457DE"/>
    <w:rsid w:val="004459AD"/>
    <w:rsid w:val="00446431"/>
    <w:rsid w:val="00446C69"/>
    <w:rsid w:val="004476F9"/>
    <w:rsid w:val="0044774A"/>
    <w:rsid w:val="00447D77"/>
    <w:rsid w:val="00450C3A"/>
    <w:rsid w:val="00453626"/>
    <w:rsid w:val="00453FCD"/>
    <w:rsid w:val="00454098"/>
    <w:rsid w:val="00454FBE"/>
    <w:rsid w:val="00456C6E"/>
    <w:rsid w:val="004575CD"/>
    <w:rsid w:val="004600E6"/>
    <w:rsid w:val="00462336"/>
    <w:rsid w:val="00462544"/>
    <w:rsid w:val="0046315D"/>
    <w:rsid w:val="00463C96"/>
    <w:rsid w:val="004660AA"/>
    <w:rsid w:val="00471119"/>
    <w:rsid w:val="00472568"/>
    <w:rsid w:val="004727DC"/>
    <w:rsid w:val="004728CB"/>
    <w:rsid w:val="0047343B"/>
    <w:rsid w:val="0047387A"/>
    <w:rsid w:val="004740A2"/>
    <w:rsid w:val="004760BF"/>
    <w:rsid w:val="004762B0"/>
    <w:rsid w:val="00476307"/>
    <w:rsid w:val="00476529"/>
    <w:rsid w:val="00476D44"/>
    <w:rsid w:val="00477B94"/>
    <w:rsid w:val="00481538"/>
    <w:rsid w:val="0048752F"/>
    <w:rsid w:val="004909A9"/>
    <w:rsid w:val="0049190A"/>
    <w:rsid w:val="00492159"/>
    <w:rsid w:val="004937BF"/>
    <w:rsid w:val="00493E78"/>
    <w:rsid w:val="0049494D"/>
    <w:rsid w:val="00495DA1"/>
    <w:rsid w:val="004961A0"/>
    <w:rsid w:val="004961B2"/>
    <w:rsid w:val="00497247"/>
    <w:rsid w:val="0049728E"/>
    <w:rsid w:val="004979B5"/>
    <w:rsid w:val="004A0435"/>
    <w:rsid w:val="004A0568"/>
    <w:rsid w:val="004A2F52"/>
    <w:rsid w:val="004A2F9A"/>
    <w:rsid w:val="004A44DD"/>
    <w:rsid w:val="004A5649"/>
    <w:rsid w:val="004B0CBF"/>
    <w:rsid w:val="004B22B0"/>
    <w:rsid w:val="004B2B73"/>
    <w:rsid w:val="004B30B1"/>
    <w:rsid w:val="004B31CA"/>
    <w:rsid w:val="004B35EC"/>
    <w:rsid w:val="004B3816"/>
    <w:rsid w:val="004B4150"/>
    <w:rsid w:val="004B517C"/>
    <w:rsid w:val="004B6CAA"/>
    <w:rsid w:val="004C176E"/>
    <w:rsid w:val="004C2C15"/>
    <w:rsid w:val="004C2C54"/>
    <w:rsid w:val="004C49D9"/>
    <w:rsid w:val="004C5507"/>
    <w:rsid w:val="004C577D"/>
    <w:rsid w:val="004C71E5"/>
    <w:rsid w:val="004C7522"/>
    <w:rsid w:val="004D0886"/>
    <w:rsid w:val="004D0D06"/>
    <w:rsid w:val="004D2214"/>
    <w:rsid w:val="004D2EB3"/>
    <w:rsid w:val="004D4920"/>
    <w:rsid w:val="004D53F4"/>
    <w:rsid w:val="004D5E67"/>
    <w:rsid w:val="004D6A4D"/>
    <w:rsid w:val="004D72DC"/>
    <w:rsid w:val="004E14AA"/>
    <w:rsid w:val="004E3448"/>
    <w:rsid w:val="004E3974"/>
    <w:rsid w:val="004E5DF8"/>
    <w:rsid w:val="004E5E66"/>
    <w:rsid w:val="004E7187"/>
    <w:rsid w:val="004E7544"/>
    <w:rsid w:val="004E77B9"/>
    <w:rsid w:val="004E7D34"/>
    <w:rsid w:val="004F02D2"/>
    <w:rsid w:val="004F0C39"/>
    <w:rsid w:val="004F19D0"/>
    <w:rsid w:val="004F4247"/>
    <w:rsid w:val="004F5CF3"/>
    <w:rsid w:val="004F6214"/>
    <w:rsid w:val="004F68D0"/>
    <w:rsid w:val="004F70AD"/>
    <w:rsid w:val="004F768E"/>
    <w:rsid w:val="004F7F20"/>
    <w:rsid w:val="005002B3"/>
    <w:rsid w:val="00500A3E"/>
    <w:rsid w:val="00500F02"/>
    <w:rsid w:val="00502826"/>
    <w:rsid w:val="00502E9E"/>
    <w:rsid w:val="00503715"/>
    <w:rsid w:val="00503C62"/>
    <w:rsid w:val="00503CA0"/>
    <w:rsid w:val="0050400E"/>
    <w:rsid w:val="00504B77"/>
    <w:rsid w:val="00505935"/>
    <w:rsid w:val="0050771E"/>
    <w:rsid w:val="00510C81"/>
    <w:rsid w:val="00510DED"/>
    <w:rsid w:val="005114E2"/>
    <w:rsid w:val="005124FC"/>
    <w:rsid w:val="00512B0D"/>
    <w:rsid w:val="0051435D"/>
    <w:rsid w:val="00514B35"/>
    <w:rsid w:val="005168CF"/>
    <w:rsid w:val="0052026F"/>
    <w:rsid w:val="0052031C"/>
    <w:rsid w:val="00521854"/>
    <w:rsid w:val="00522A1D"/>
    <w:rsid w:val="00522C11"/>
    <w:rsid w:val="00523253"/>
    <w:rsid w:val="00524A36"/>
    <w:rsid w:val="0052562C"/>
    <w:rsid w:val="00525AD8"/>
    <w:rsid w:val="005269DA"/>
    <w:rsid w:val="00527B10"/>
    <w:rsid w:val="0053049B"/>
    <w:rsid w:val="0053056B"/>
    <w:rsid w:val="00530B37"/>
    <w:rsid w:val="005336FE"/>
    <w:rsid w:val="00533C1A"/>
    <w:rsid w:val="00534C80"/>
    <w:rsid w:val="00534F8F"/>
    <w:rsid w:val="00536791"/>
    <w:rsid w:val="00541C55"/>
    <w:rsid w:val="00541CBB"/>
    <w:rsid w:val="0054201D"/>
    <w:rsid w:val="0054227A"/>
    <w:rsid w:val="00542607"/>
    <w:rsid w:val="00543C4D"/>
    <w:rsid w:val="00543C57"/>
    <w:rsid w:val="00544A40"/>
    <w:rsid w:val="00544A9C"/>
    <w:rsid w:val="00544BCD"/>
    <w:rsid w:val="00544DDC"/>
    <w:rsid w:val="0054518D"/>
    <w:rsid w:val="00545A45"/>
    <w:rsid w:val="00547A3E"/>
    <w:rsid w:val="00547B3B"/>
    <w:rsid w:val="005508DF"/>
    <w:rsid w:val="005537DD"/>
    <w:rsid w:val="00553F1D"/>
    <w:rsid w:val="00554CA8"/>
    <w:rsid w:val="005553D4"/>
    <w:rsid w:val="005563B0"/>
    <w:rsid w:val="00556878"/>
    <w:rsid w:val="00557C4C"/>
    <w:rsid w:val="005603F1"/>
    <w:rsid w:val="00560C97"/>
    <w:rsid w:val="005610F2"/>
    <w:rsid w:val="00563B43"/>
    <w:rsid w:val="005640EB"/>
    <w:rsid w:val="0056558E"/>
    <w:rsid w:val="00565613"/>
    <w:rsid w:val="00565AF1"/>
    <w:rsid w:val="0056624E"/>
    <w:rsid w:val="00570A81"/>
    <w:rsid w:val="00572A80"/>
    <w:rsid w:val="00572FD1"/>
    <w:rsid w:val="0057453F"/>
    <w:rsid w:val="00574C38"/>
    <w:rsid w:val="00574EAF"/>
    <w:rsid w:val="005759B8"/>
    <w:rsid w:val="00577238"/>
    <w:rsid w:val="005826C0"/>
    <w:rsid w:val="00583EB7"/>
    <w:rsid w:val="00585177"/>
    <w:rsid w:val="0059009B"/>
    <w:rsid w:val="005901E5"/>
    <w:rsid w:val="005908FE"/>
    <w:rsid w:val="00592FB4"/>
    <w:rsid w:val="0059405F"/>
    <w:rsid w:val="00594949"/>
    <w:rsid w:val="00595E8A"/>
    <w:rsid w:val="005A0B60"/>
    <w:rsid w:val="005A20CB"/>
    <w:rsid w:val="005A3438"/>
    <w:rsid w:val="005A3579"/>
    <w:rsid w:val="005A3E40"/>
    <w:rsid w:val="005A3E6F"/>
    <w:rsid w:val="005A67B8"/>
    <w:rsid w:val="005A6F75"/>
    <w:rsid w:val="005A6FFD"/>
    <w:rsid w:val="005A7B54"/>
    <w:rsid w:val="005A7D18"/>
    <w:rsid w:val="005A7FE5"/>
    <w:rsid w:val="005B11B0"/>
    <w:rsid w:val="005B1B9B"/>
    <w:rsid w:val="005B1FEE"/>
    <w:rsid w:val="005B2004"/>
    <w:rsid w:val="005B21A6"/>
    <w:rsid w:val="005B244F"/>
    <w:rsid w:val="005B2B16"/>
    <w:rsid w:val="005B3338"/>
    <w:rsid w:val="005B3433"/>
    <w:rsid w:val="005B3A53"/>
    <w:rsid w:val="005B3FD7"/>
    <w:rsid w:val="005B5088"/>
    <w:rsid w:val="005B5F1A"/>
    <w:rsid w:val="005B6230"/>
    <w:rsid w:val="005B669A"/>
    <w:rsid w:val="005B6B59"/>
    <w:rsid w:val="005B6EFF"/>
    <w:rsid w:val="005C04C8"/>
    <w:rsid w:val="005C0BC9"/>
    <w:rsid w:val="005C0C38"/>
    <w:rsid w:val="005C1149"/>
    <w:rsid w:val="005C1ECA"/>
    <w:rsid w:val="005C212A"/>
    <w:rsid w:val="005C2ADF"/>
    <w:rsid w:val="005C2F09"/>
    <w:rsid w:val="005C2F0E"/>
    <w:rsid w:val="005C2FA4"/>
    <w:rsid w:val="005C3174"/>
    <w:rsid w:val="005C3B50"/>
    <w:rsid w:val="005C5B35"/>
    <w:rsid w:val="005C5E4C"/>
    <w:rsid w:val="005D0098"/>
    <w:rsid w:val="005D0DD3"/>
    <w:rsid w:val="005D0F3A"/>
    <w:rsid w:val="005D1C4A"/>
    <w:rsid w:val="005D2357"/>
    <w:rsid w:val="005D25D8"/>
    <w:rsid w:val="005D321E"/>
    <w:rsid w:val="005D3C41"/>
    <w:rsid w:val="005D4BE2"/>
    <w:rsid w:val="005D69BC"/>
    <w:rsid w:val="005D6C84"/>
    <w:rsid w:val="005D6E16"/>
    <w:rsid w:val="005D6FFB"/>
    <w:rsid w:val="005D7413"/>
    <w:rsid w:val="005D7DD0"/>
    <w:rsid w:val="005E2A5B"/>
    <w:rsid w:val="005E37FF"/>
    <w:rsid w:val="005E3E0C"/>
    <w:rsid w:val="005E58C9"/>
    <w:rsid w:val="005E62E7"/>
    <w:rsid w:val="005E673B"/>
    <w:rsid w:val="005E7125"/>
    <w:rsid w:val="005E767C"/>
    <w:rsid w:val="005F0627"/>
    <w:rsid w:val="005F069B"/>
    <w:rsid w:val="005F092D"/>
    <w:rsid w:val="005F0FBC"/>
    <w:rsid w:val="005F2EB6"/>
    <w:rsid w:val="005F375B"/>
    <w:rsid w:val="005F3B75"/>
    <w:rsid w:val="005F4522"/>
    <w:rsid w:val="005F4AED"/>
    <w:rsid w:val="005F5F5A"/>
    <w:rsid w:val="005F6636"/>
    <w:rsid w:val="00600B66"/>
    <w:rsid w:val="0060123D"/>
    <w:rsid w:val="00602148"/>
    <w:rsid w:val="00602A2A"/>
    <w:rsid w:val="00603D74"/>
    <w:rsid w:val="0060521E"/>
    <w:rsid w:val="00605D73"/>
    <w:rsid w:val="0060655A"/>
    <w:rsid w:val="0060768F"/>
    <w:rsid w:val="00607FA6"/>
    <w:rsid w:val="006100A5"/>
    <w:rsid w:val="00610D14"/>
    <w:rsid w:val="00615517"/>
    <w:rsid w:val="00617CF4"/>
    <w:rsid w:val="00620956"/>
    <w:rsid w:val="00620DA3"/>
    <w:rsid w:val="00621347"/>
    <w:rsid w:val="00621D01"/>
    <w:rsid w:val="00622126"/>
    <w:rsid w:val="00622530"/>
    <w:rsid w:val="00622ED7"/>
    <w:rsid w:val="00623B70"/>
    <w:rsid w:val="00624E9B"/>
    <w:rsid w:val="00625BFF"/>
    <w:rsid w:val="00626DB0"/>
    <w:rsid w:val="00626FD0"/>
    <w:rsid w:val="00627D74"/>
    <w:rsid w:val="006300E1"/>
    <w:rsid w:val="00630880"/>
    <w:rsid w:val="006309F0"/>
    <w:rsid w:val="00631B2C"/>
    <w:rsid w:val="00633241"/>
    <w:rsid w:val="00634989"/>
    <w:rsid w:val="006371E3"/>
    <w:rsid w:val="00640DE0"/>
    <w:rsid w:val="00640FC4"/>
    <w:rsid w:val="00641891"/>
    <w:rsid w:val="00642162"/>
    <w:rsid w:val="0064259C"/>
    <w:rsid w:val="00642ABB"/>
    <w:rsid w:val="006431AD"/>
    <w:rsid w:val="00643A83"/>
    <w:rsid w:val="00643E9A"/>
    <w:rsid w:val="00644880"/>
    <w:rsid w:val="00646AFF"/>
    <w:rsid w:val="00646CAA"/>
    <w:rsid w:val="006477C6"/>
    <w:rsid w:val="006479C6"/>
    <w:rsid w:val="00647BBC"/>
    <w:rsid w:val="0065025E"/>
    <w:rsid w:val="006513DC"/>
    <w:rsid w:val="00651F41"/>
    <w:rsid w:val="00653C86"/>
    <w:rsid w:val="00654337"/>
    <w:rsid w:val="006550C3"/>
    <w:rsid w:val="006555FC"/>
    <w:rsid w:val="00655E5B"/>
    <w:rsid w:val="00656013"/>
    <w:rsid w:val="00656B98"/>
    <w:rsid w:val="00656E8F"/>
    <w:rsid w:val="00657498"/>
    <w:rsid w:val="0066150B"/>
    <w:rsid w:val="00662C31"/>
    <w:rsid w:val="0066315A"/>
    <w:rsid w:val="006640ED"/>
    <w:rsid w:val="00665414"/>
    <w:rsid w:val="00665731"/>
    <w:rsid w:val="00666563"/>
    <w:rsid w:val="00667EFF"/>
    <w:rsid w:val="00670647"/>
    <w:rsid w:val="00671962"/>
    <w:rsid w:val="00672419"/>
    <w:rsid w:val="0067250A"/>
    <w:rsid w:val="00672563"/>
    <w:rsid w:val="00672D64"/>
    <w:rsid w:val="00673278"/>
    <w:rsid w:val="0067399B"/>
    <w:rsid w:val="00676794"/>
    <w:rsid w:val="00676EBD"/>
    <w:rsid w:val="00677B60"/>
    <w:rsid w:val="00677BC4"/>
    <w:rsid w:val="00680559"/>
    <w:rsid w:val="00680D84"/>
    <w:rsid w:val="00681209"/>
    <w:rsid w:val="00681276"/>
    <w:rsid w:val="006835D7"/>
    <w:rsid w:val="00683709"/>
    <w:rsid w:val="0068451B"/>
    <w:rsid w:val="00686179"/>
    <w:rsid w:val="00686C0B"/>
    <w:rsid w:val="006870C2"/>
    <w:rsid w:val="00692BDF"/>
    <w:rsid w:val="00692DE1"/>
    <w:rsid w:val="006937ED"/>
    <w:rsid w:val="00694FB1"/>
    <w:rsid w:val="0069579D"/>
    <w:rsid w:val="0069636A"/>
    <w:rsid w:val="00696F50"/>
    <w:rsid w:val="00697B6D"/>
    <w:rsid w:val="006A0766"/>
    <w:rsid w:val="006A097E"/>
    <w:rsid w:val="006A1707"/>
    <w:rsid w:val="006A4301"/>
    <w:rsid w:val="006A6259"/>
    <w:rsid w:val="006A667E"/>
    <w:rsid w:val="006A6A98"/>
    <w:rsid w:val="006A6DE8"/>
    <w:rsid w:val="006B072E"/>
    <w:rsid w:val="006B0A0F"/>
    <w:rsid w:val="006B1C62"/>
    <w:rsid w:val="006B25EC"/>
    <w:rsid w:val="006B2D7D"/>
    <w:rsid w:val="006B2DC8"/>
    <w:rsid w:val="006B2F5B"/>
    <w:rsid w:val="006B3638"/>
    <w:rsid w:val="006B366F"/>
    <w:rsid w:val="006B4776"/>
    <w:rsid w:val="006B5D01"/>
    <w:rsid w:val="006B5E8B"/>
    <w:rsid w:val="006B695A"/>
    <w:rsid w:val="006B6A0F"/>
    <w:rsid w:val="006B6B10"/>
    <w:rsid w:val="006C1215"/>
    <w:rsid w:val="006C193D"/>
    <w:rsid w:val="006C23C4"/>
    <w:rsid w:val="006C2A51"/>
    <w:rsid w:val="006C2D03"/>
    <w:rsid w:val="006C32B2"/>
    <w:rsid w:val="006C3A00"/>
    <w:rsid w:val="006C4446"/>
    <w:rsid w:val="006C60D4"/>
    <w:rsid w:val="006C6892"/>
    <w:rsid w:val="006D0951"/>
    <w:rsid w:val="006D0F74"/>
    <w:rsid w:val="006D18DA"/>
    <w:rsid w:val="006D218B"/>
    <w:rsid w:val="006D28D7"/>
    <w:rsid w:val="006D2EAE"/>
    <w:rsid w:val="006D369A"/>
    <w:rsid w:val="006D5314"/>
    <w:rsid w:val="006E12D6"/>
    <w:rsid w:val="006E1989"/>
    <w:rsid w:val="006E1CFE"/>
    <w:rsid w:val="006E23B2"/>
    <w:rsid w:val="006E2490"/>
    <w:rsid w:val="006E3D41"/>
    <w:rsid w:val="006E4574"/>
    <w:rsid w:val="006E4AE6"/>
    <w:rsid w:val="006E4F60"/>
    <w:rsid w:val="006E70D2"/>
    <w:rsid w:val="006E7207"/>
    <w:rsid w:val="006F06B8"/>
    <w:rsid w:val="006F1780"/>
    <w:rsid w:val="006F2034"/>
    <w:rsid w:val="006F364F"/>
    <w:rsid w:val="006F3DD3"/>
    <w:rsid w:val="006F3FF1"/>
    <w:rsid w:val="006F412E"/>
    <w:rsid w:val="006F4AC8"/>
    <w:rsid w:val="006F50DF"/>
    <w:rsid w:val="006F76BC"/>
    <w:rsid w:val="006F775B"/>
    <w:rsid w:val="007007CB"/>
    <w:rsid w:val="00701223"/>
    <w:rsid w:val="00701419"/>
    <w:rsid w:val="00701683"/>
    <w:rsid w:val="0070171F"/>
    <w:rsid w:val="00701C8F"/>
    <w:rsid w:val="00702667"/>
    <w:rsid w:val="00703166"/>
    <w:rsid w:val="0070363B"/>
    <w:rsid w:val="007036E9"/>
    <w:rsid w:val="00705309"/>
    <w:rsid w:val="00705379"/>
    <w:rsid w:val="00706E54"/>
    <w:rsid w:val="0071326C"/>
    <w:rsid w:val="00713982"/>
    <w:rsid w:val="00713ED7"/>
    <w:rsid w:val="00713FF4"/>
    <w:rsid w:val="00715ACD"/>
    <w:rsid w:val="00715ECB"/>
    <w:rsid w:val="0071605D"/>
    <w:rsid w:val="00717218"/>
    <w:rsid w:val="00717D0A"/>
    <w:rsid w:val="00720180"/>
    <w:rsid w:val="00721364"/>
    <w:rsid w:val="0072143E"/>
    <w:rsid w:val="0072221F"/>
    <w:rsid w:val="00723922"/>
    <w:rsid w:val="0072405A"/>
    <w:rsid w:val="00726316"/>
    <w:rsid w:val="00726492"/>
    <w:rsid w:val="00727070"/>
    <w:rsid w:val="0072721D"/>
    <w:rsid w:val="00727420"/>
    <w:rsid w:val="00727A00"/>
    <w:rsid w:val="0073071A"/>
    <w:rsid w:val="0073241E"/>
    <w:rsid w:val="00732DB7"/>
    <w:rsid w:val="00732E3D"/>
    <w:rsid w:val="00733A6C"/>
    <w:rsid w:val="0073556E"/>
    <w:rsid w:val="007355D8"/>
    <w:rsid w:val="0073698B"/>
    <w:rsid w:val="00737794"/>
    <w:rsid w:val="00740EAA"/>
    <w:rsid w:val="00740F0F"/>
    <w:rsid w:val="00741683"/>
    <w:rsid w:val="00741A2A"/>
    <w:rsid w:val="00741EF0"/>
    <w:rsid w:val="00741EF1"/>
    <w:rsid w:val="00741FF9"/>
    <w:rsid w:val="007427FC"/>
    <w:rsid w:val="00742AB1"/>
    <w:rsid w:val="00743700"/>
    <w:rsid w:val="00743BAF"/>
    <w:rsid w:val="00744A28"/>
    <w:rsid w:val="007456AA"/>
    <w:rsid w:val="0074660A"/>
    <w:rsid w:val="00746BE3"/>
    <w:rsid w:val="00746DDD"/>
    <w:rsid w:val="0074731D"/>
    <w:rsid w:val="00750264"/>
    <w:rsid w:val="00752945"/>
    <w:rsid w:val="007532F3"/>
    <w:rsid w:val="007539E2"/>
    <w:rsid w:val="0075508D"/>
    <w:rsid w:val="00755883"/>
    <w:rsid w:val="00757A42"/>
    <w:rsid w:val="00760041"/>
    <w:rsid w:val="007609E7"/>
    <w:rsid w:val="00760D0E"/>
    <w:rsid w:val="00760E3C"/>
    <w:rsid w:val="00761544"/>
    <w:rsid w:val="00762FBB"/>
    <w:rsid w:val="0076425B"/>
    <w:rsid w:val="007642E8"/>
    <w:rsid w:val="007644A3"/>
    <w:rsid w:val="00764674"/>
    <w:rsid w:val="0076546A"/>
    <w:rsid w:val="0076612A"/>
    <w:rsid w:val="007666EE"/>
    <w:rsid w:val="00766B65"/>
    <w:rsid w:val="00766C86"/>
    <w:rsid w:val="0077177C"/>
    <w:rsid w:val="00771DC5"/>
    <w:rsid w:val="007721AE"/>
    <w:rsid w:val="0077254D"/>
    <w:rsid w:val="00772BD0"/>
    <w:rsid w:val="00773168"/>
    <w:rsid w:val="00773274"/>
    <w:rsid w:val="00773CEF"/>
    <w:rsid w:val="00773E7B"/>
    <w:rsid w:val="007743AA"/>
    <w:rsid w:val="00777A9A"/>
    <w:rsid w:val="00782317"/>
    <w:rsid w:val="00782A2A"/>
    <w:rsid w:val="00783682"/>
    <w:rsid w:val="00783C27"/>
    <w:rsid w:val="00784822"/>
    <w:rsid w:val="00784ECA"/>
    <w:rsid w:val="00785238"/>
    <w:rsid w:val="00785CD5"/>
    <w:rsid w:val="0078608D"/>
    <w:rsid w:val="00787158"/>
    <w:rsid w:val="0078728B"/>
    <w:rsid w:val="0079030E"/>
    <w:rsid w:val="007909FE"/>
    <w:rsid w:val="00790EA3"/>
    <w:rsid w:val="0079150D"/>
    <w:rsid w:val="0079164B"/>
    <w:rsid w:val="0079216E"/>
    <w:rsid w:val="007935BC"/>
    <w:rsid w:val="007942F4"/>
    <w:rsid w:val="007944D9"/>
    <w:rsid w:val="00795266"/>
    <w:rsid w:val="0079529C"/>
    <w:rsid w:val="00795B94"/>
    <w:rsid w:val="007967D1"/>
    <w:rsid w:val="007A1255"/>
    <w:rsid w:val="007A20E7"/>
    <w:rsid w:val="007A2A10"/>
    <w:rsid w:val="007A2F27"/>
    <w:rsid w:val="007A4668"/>
    <w:rsid w:val="007A509A"/>
    <w:rsid w:val="007A59BA"/>
    <w:rsid w:val="007A5FF6"/>
    <w:rsid w:val="007A7534"/>
    <w:rsid w:val="007A76AC"/>
    <w:rsid w:val="007A7F89"/>
    <w:rsid w:val="007B0022"/>
    <w:rsid w:val="007B02F2"/>
    <w:rsid w:val="007B03F6"/>
    <w:rsid w:val="007B07A5"/>
    <w:rsid w:val="007B1324"/>
    <w:rsid w:val="007B15DA"/>
    <w:rsid w:val="007B181E"/>
    <w:rsid w:val="007B18C4"/>
    <w:rsid w:val="007B19B3"/>
    <w:rsid w:val="007B1E0F"/>
    <w:rsid w:val="007B234B"/>
    <w:rsid w:val="007B3CB3"/>
    <w:rsid w:val="007B5067"/>
    <w:rsid w:val="007B6454"/>
    <w:rsid w:val="007B7398"/>
    <w:rsid w:val="007B7676"/>
    <w:rsid w:val="007C118E"/>
    <w:rsid w:val="007C1659"/>
    <w:rsid w:val="007C1766"/>
    <w:rsid w:val="007C1D25"/>
    <w:rsid w:val="007C2311"/>
    <w:rsid w:val="007C2B00"/>
    <w:rsid w:val="007C3030"/>
    <w:rsid w:val="007C41CD"/>
    <w:rsid w:val="007C6665"/>
    <w:rsid w:val="007C79BB"/>
    <w:rsid w:val="007D111D"/>
    <w:rsid w:val="007D1A41"/>
    <w:rsid w:val="007D256E"/>
    <w:rsid w:val="007D2CC2"/>
    <w:rsid w:val="007D2D99"/>
    <w:rsid w:val="007D3587"/>
    <w:rsid w:val="007D5DBF"/>
    <w:rsid w:val="007D67E3"/>
    <w:rsid w:val="007D6D3A"/>
    <w:rsid w:val="007D6F88"/>
    <w:rsid w:val="007D7527"/>
    <w:rsid w:val="007D77FA"/>
    <w:rsid w:val="007E0784"/>
    <w:rsid w:val="007E254F"/>
    <w:rsid w:val="007E269C"/>
    <w:rsid w:val="007E2960"/>
    <w:rsid w:val="007E317F"/>
    <w:rsid w:val="007E4A52"/>
    <w:rsid w:val="007E4D55"/>
    <w:rsid w:val="007E4F9C"/>
    <w:rsid w:val="007E65A7"/>
    <w:rsid w:val="007E7D98"/>
    <w:rsid w:val="007F00B5"/>
    <w:rsid w:val="007F09AB"/>
    <w:rsid w:val="007F0A6C"/>
    <w:rsid w:val="007F0B8F"/>
    <w:rsid w:val="007F0DC3"/>
    <w:rsid w:val="007F184B"/>
    <w:rsid w:val="007F18C3"/>
    <w:rsid w:val="007F1BEF"/>
    <w:rsid w:val="007F3330"/>
    <w:rsid w:val="007F43F9"/>
    <w:rsid w:val="007F4D69"/>
    <w:rsid w:val="007F5E02"/>
    <w:rsid w:val="007F6878"/>
    <w:rsid w:val="007F7280"/>
    <w:rsid w:val="007F7779"/>
    <w:rsid w:val="007F7E6F"/>
    <w:rsid w:val="00800F09"/>
    <w:rsid w:val="00801490"/>
    <w:rsid w:val="00804BE8"/>
    <w:rsid w:val="00805028"/>
    <w:rsid w:val="00805A30"/>
    <w:rsid w:val="00806FEC"/>
    <w:rsid w:val="008073DD"/>
    <w:rsid w:val="00807B58"/>
    <w:rsid w:val="00810B6A"/>
    <w:rsid w:val="00810C82"/>
    <w:rsid w:val="00813B46"/>
    <w:rsid w:val="008142B5"/>
    <w:rsid w:val="0081642B"/>
    <w:rsid w:val="0081777B"/>
    <w:rsid w:val="00820F18"/>
    <w:rsid w:val="00824947"/>
    <w:rsid w:val="00825A9D"/>
    <w:rsid w:val="00826A8B"/>
    <w:rsid w:val="00827E8E"/>
    <w:rsid w:val="00830ABA"/>
    <w:rsid w:val="00832522"/>
    <w:rsid w:val="008332A9"/>
    <w:rsid w:val="0083336E"/>
    <w:rsid w:val="0083354D"/>
    <w:rsid w:val="00836989"/>
    <w:rsid w:val="00836D5C"/>
    <w:rsid w:val="008373F4"/>
    <w:rsid w:val="00837CF8"/>
    <w:rsid w:val="0084070A"/>
    <w:rsid w:val="00841060"/>
    <w:rsid w:val="00841C8E"/>
    <w:rsid w:val="0084227F"/>
    <w:rsid w:val="00842E5B"/>
    <w:rsid w:val="00845A66"/>
    <w:rsid w:val="00846626"/>
    <w:rsid w:val="008467A0"/>
    <w:rsid w:val="0084726F"/>
    <w:rsid w:val="00850E96"/>
    <w:rsid w:val="0085196E"/>
    <w:rsid w:val="00851EB3"/>
    <w:rsid w:val="0085389F"/>
    <w:rsid w:val="008559A8"/>
    <w:rsid w:val="008570FF"/>
    <w:rsid w:val="00857A51"/>
    <w:rsid w:val="00860330"/>
    <w:rsid w:val="008605AA"/>
    <w:rsid w:val="00860860"/>
    <w:rsid w:val="0086115A"/>
    <w:rsid w:val="00861A04"/>
    <w:rsid w:val="00863929"/>
    <w:rsid w:val="008641A0"/>
    <w:rsid w:val="0086427C"/>
    <w:rsid w:val="008667FB"/>
    <w:rsid w:val="00867421"/>
    <w:rsid w:val="00870293"/>
    <w:rsid w:val="0087035C"/>
    <w:rsid w:val="008712D8"/>
    <w:rsid w:val="008716FF"/>
    <w:rsid w:val="00873A1D"/>
    <w:rsid w:val="00873E7C"/>
    <w:rsid w:val="00873F8B"/>
    <w:rsid w:val="00874D17"/>
    <w:rsid w:val="008755C8"/>
    <w:rsid w:val="00876A73"/>
    <w:rsid w:val="00876CEB"/>
    <w:rsid w:val="00877216"/>
    <w:rsid w:val="00881774"/>
    <w:rsid w:val="00881DF2"/>
    <w:rsid w:val="00881E9F"/>
    <w:rsid w:val="00882A00"/>
    <w:rsid w:val="00884935"/>
    <w:rsid w:val="0088495F"/>
    <w:rsid w:val="008849CD"/>
    <w:rsid w:val="00885002"/>
    <w:rsid w:val="00885F3B"/>
    <w:rsid w:val="00886645"/>
    <w:rsid w:val="00886D1A"/>
    <w:rsid w:val="00887DBC"/>
    <w:rsid w:val="00890F18"/>
    <w:rsid w:val="00891ADA"/>
    <w:rsid w:val="0089292D"/>
    <w:rsid w:val="00892DCC"/>
    <w:rsid w:val="00894652"/>
    <w:rsid w:val="00894709"/>
    <w:rsid w:val="00894C30"/>
    <w:rsid w:val="00894F63"/>
    <w:rsid w:val="00895497"/>
    <w:rsid w:val="008962DA"/>
    <w:rsid w:val="008A048D"/>
    <w:rsid w:val="008A089D"/>
    <w:rsid w:val="008A09A9"/>
    <w:rsid w:val="008A184A"/>
    <w:rsid w:val="008A1940"/>
    <w:rsid w:val="008A27E2"/>
    <w:rsid w:val="008A347E"/>
    <w:rsid w:val="008A373E"/>
    <w:rsid w:val="008A3ED4"/>
    <w:rsid w:val="008A5723"/>
    <w:rsid w:val="008A64A1"/>
    <w:rsid w:val="008A7464"/>
    <w:rsid w:val="008A7690"/>
    <w:rsid w:val="008A77C4"/>
    <w:rsid w:val="008B062D"/>
    <w:rsid w:val="008B2557"/>
    <w:rsid w:val="008B2EDB"/>
    <w:rsid w:val="008B305B"/>
    <w:rsid w:val="008B32EC"/>
    <w:rsid w:val="008B3504"/>
    <w:rsid w:val="008B4392"/>
    <w:rsid w:val="008B47E3"/>
    <w:rsid w:val="008B5133"/>
    <w:rsid w:val="008B5A0B"/>
    <w:rsid w:val="008B6BD2"/>
    <w:rsid w:val="008B7E42"/>
    <w:rsid w:val="008C05C4"/>
    <w:rsid w:val="008C1A18"/>
    <w:rsid w:val="008C1FF4"/>
    <w:rsid w:val="008C2CBE"/>
    <w:rsid w:val="008C3942"/>
    <w:rsid w:val="008C4389"/>
    <w:rsid w:val="008C554F"/>
    <w:rsid w:val="008C5750"/>
    <w:rsid w:val="008C587A"/>
    <w:rsid w:val="008C7134"/>
    <w:rsid w:val="008D0C99"/>
    <w:rsid w:val="008D105A"/>
    <w:rsid w:val="008D2CFA"/>
    <w:rsid w:val="008D3D79"/>
    <w:rsid w:val="008D5E39"/>
    <w:rsid w:val="008D6419"/>
    <w:rsid w:val="008D650F"/>
    <w:rsid w:val="008D66B5"/>
    <w:rsid w:val="008D6B71"/>
    <w:rsid w:val="008D6D16"/>
    <w:rsid w:val="008D6E7B"/>
    <w:rsid w:val="008D77EC"/>
    <w:rsid w:val="008D7977"/>
    <w:rsid w:val="008E0D96"/>
    <w:rsid w:val="008E10FA"/>
    <w:rsid w:val="008E14EB"/>
    <w:rsid w:val="008E2238"/>
    <w:rsid w:val="008E2668"/>
    <w:rsid w:val="008E3CA0"/>
    <w:rsid w:val="008E6138"/>
    <w:rsid w:val="008E68F9"/>
    <w:rsid w:val="008E718F"/>
    <w:rsid w:val="008E750B"/>
    <w:rsid w:val="008E770E"/>
    <w:rsid w:val="008E7955"/>
    <w:rsid w:val="008E797D"/>
    <w:rsid w:val="008E7D0B"/>
    <w:rsid w:val="008F15D0"/>
    <w:rsid w:val="008F1747"/>
    <w:rsid w:val="008F21AD"/>
    <w:rsid w:val="008F3C69"/>
    <w:rsid w:val="008F5E63"/>
    <w:rsid w:val="008F6496"/>
    <w:rsid w:val="008F653A"/>
    <w:rsid w:val="008F67FE"/>
    <w:rsid w:val="008F6A25"/>
    <w:rsid w:val="008F6A4A"/>
    <w:rsid w:val="008F7B4B"/>
    <w:rsid w:val="00900BBF"/>
    <w:rsid w:val="0090177A"/>
    <w:rsid w:val="00901C07"/>
    <w:rsid w:val="00901C3F"/>
    <w:rsid w:val="00902BC4"/>
    <w:rsid w:val="00903504"/>
    <w:rsid w:val="009038A8"/>
    <w:rsid w:val="00904046"/>
    <w:rsid w:val="0090504F"/>
    <w:rsid w:val="0090519E"/>
    <w:rsid w:val="00906AA3"/>
    <w:rsid w:val="00906C2C"/>
    <w:rsid w:val="00906DA8"/>
    <w:rsid w:val="00906F31"/>
    <w:rsid w:val="00910519"/>
    <w:rsid w:val="009105F2"/>
    <w:rsid w:val="00911451"/>
    <w:rsid w:val="00911F82"/>
    <w:rsid w:val="00912A6A"/>
    <w:rsid w:val="00913615"/>
    <w:rsid w:val="009137F0"/>
    <w:rsid w:val="009139D5"/>
    <w:rsid w:val="00914A51"/>
    <w:rsid w:val="00914B5B"/>
    <w:rsid w:val="00915060"/>
    <w:rsid w:val="009165E1"/>
    <w:rsid w:val="00917B6C"/>
    <w:rsid w:val="0092024A"/>
    <w:rsid w:val="0092157D"/>
    <w:rsid w:val="0092224A"/>
    <w:rsid w:val="009222C7"/>
    <w:rsid w:val="0092443D"/>
    <w:rsid w:val="009246A7"/>
    <w:rsid w:val="00925B6F"/>
    <w:rsid w:val="009267CE"/>
    <w:rsid w:val="00930182"/>
    <w:rsid w:val="00930984"/>
    <w:rsid w:val="009311F0"/>
    <w:rsid w:val="00932675"/>
    <w:rsid w:val="00936B3D"/>
    <w:rsid w:val="00936DDD"/>
    <w:rsid w:val="0093786A"/>
    <w:rsid w:val="0094054A"/>
    <w:rsid w:val="009406F3"/>
    <w:rsid w:val="00944CC1"/>
    <w:rsid w:val="009453DE"/>
    <w:rsid w:val="00946650"/>
    <w:rsid w:val="00946848"/>
    <w:rsid w:val="00946A94"/>
    <w:rsid w:val="00947321"/>
    <w:rsid w:val="00950738"/>
    <w:rsid w:val="00950B40"/>
    <w:rsid w:val="00950CD7"/>
    <w:rsid w:val="009516E5"/>
    <w:rsid w:val="00952ADD"/>
    <w:rsid w:val="00954368"/>
    <w:rsid w:val="00955129"/>
    <w:rsid w:val="009559D2"/>
    <w:rsid w:val="00955B45"/>
    <w:rsid w:val="00955DCC"/>
    <w:rsid w:val="00956A0B"/>
    <w:rsid w:val="0095776B"/>
    <w:rsid w:val="00961911"/>
    <w:rsid w:val="009640A4"/>
    <w:rsid w:val="009645F1"/>
    <w:rsid w:val="00964806"/>
    <w:rsid w:val="0096652A"/>
    <w:rsid w:val="00970760"/>
    <w:rsid w:val="00971028"/>
    <w:rsid w:val="0097116F"/>
    <w:rsid w:val="0097128C"/>
    <w:rsid w:val="00971E4D"/>
    <w:rsid w:val="00972565"/>
    <w:rsid w:val="00973958"/>
    <w:rsid w:val="00977529"/>
    <w:rsid w:val="00977C8B"/>
    <w:rsid w:val="0098159B"/>
    <w:rsid w:val="009817C9"/>
    <w:rsid w:val="00981A57"/>
    <w:rsid w:val="00982015"/>
    <w:rsid w:val="0098358F"/>
    <w:rsid w:val="00983875"/>
    <w:rsid w:val="009840B1"/>
    <w:rsid w:val="009847D2"/>
    <w:rsid w:val="00984C7F"/>
    <w:rsid w:val="009852F2"/>
    <w:rsid w:val="009856C2"/>
    <w:rsid w:val="00986BA4"/>
    <w:rsid w:val="00987145"/>
    <w:rsid w:val="0098771F"/>
    <w:rsid w:val="00990523"/>
    <w:rsid w:val="00990AF0"/>
    <w:rsid w:val="0099162C"/>
    <w:rsid w:val="00992992"/>
    <w:rsid w:val="00995A27"/>
    <w:rsid w:val="00995ECE"/>
    <w:rsid w:val="009974E9"/>
    <w:rsid w:val="00997729"/>
    <w:rsid w:val="00997948"/>
    <w:rsid w:val="009A08D6"/>
    <w:rsid w:val="009A110B"/>
    <w:rsid w:val="009A13A6"/>
    <w:rsid w:val="009A20F2"/>
    <w:rsid w:val="009A2D1C"/>
    <w:rsid w:val="009A2D7C"/>
    <w:rsid w:val="009A2E8C"/>
    <w:rsid w:val="009A2F2D"/>
    <w:rsid w:val="009A53A9"/>
    <w:rsid w:val="009A5479"/>
    <w:rsid w:val="009A6021"/>
    <w:rsid w:val="009A6057"/>
    <w:rsid w:val="009A62BA"/>
    <w:rsid w:val="009A6662"/>
    <w:rsid w:val="009A6846"/>
    <w:rsid w:val="009A78EF"/>
    <w:rsid w:val="009A79BE"/>
    <w:rsid w:val="009B1207"/>
    <w:rsid w:val="009B1246"/>
    <w:rsid w:val="009B2539"/>
    <w:rsid w:val="009B2976"/>
    <w:rsid w:val="009B3602"/>
    <w:rsid w:val="009B3929"/>
    <w:rsid w:val="009B4E51"/>
    <w:rsid w:val="009B5D30"/>
    <w:rsid w:val="009B60EE"/>
    <w:rsid w:val="009B6494"/>
    <w:rsid w:val="009B693C"/>
    <w:rsid w:val="009B7A53"/>
    <w:rsid w:val="009C19C2"/>
    <w:rsid w:val="009C1AC5"/>
    <w:rsid w:val="009C38EF"/>
    <w:rsid w:val="009C5630"/>
    <w:rsid w:val="009C575B"/>
    <w:rsid w:val="009C725F"/>
    <w:rsid w:val="009C76AF"/>
    <w:rsid w:val="009D0585"/>
    <w:rsid w:val="009D0605"/>
    <w:rsid w:val="009D1D42"/>
    <w:rsid w:val="009D2B0C"/>
    <w:rsid w:val="009D3028"/>
    <w:rsid w:val="009D460B"/>
    <w:rsid w:val="009D540B"/>
    <w:rsid w:val="009D5680"/>
    <w:rsid w:val="009D5738"/>
    <w:rsid w:val="009D5FD4"/>
    <w:rsid w:val="009E01C7"/>
    <w:rsid w:val="009E11CD"/>
    <w:rsid w:val="009E1ADE"/>
    <w:rsid w:val="009E1D2E"/>
    <w:rsid w:val="009E2D9A"/>
    <w:rsid w:val="009E320A"/>
    <w:rsid w:val="009E4245"/>
    <w:rsid w:val="009E53C2"/>
    <w:rsid w:val="009E5E14"/>
    <w:rsid w:val="009E62FD"/>
    <w:rsid w:val="009E79E0"/>
    <w:rsid w:val="009E7C4F"/>
    <w:rsid w:val="009F02E4"/>
    <w:rsid w:val="009F239E"/>
    <w:rsid w:val="009F23E7"/>
    <w:rsid w:val="009F3299"/>
    <w:rsid w:val="009F3345"/>
    <w:rsid w:val="009F4194"/>
    <w:rsid w:val="009F5625"/>
    <w:rsid w:val="009F58EF"/>
    <w:rsid w:val="009F7274"/>
    <w:rsid w:val="009F7B7A"/>
    <w:rsid w:val="00A0070C"/>
    <w:rsid w:val="00A01987"/>
    <w:rsid w:val="00A03EC3"/>
    <w:rsid w:val="00A0450F"/>
    <w:rsid w:val="00A049CE"/>
    <w:rsid w:val="00A07F87"/>
    <w:rsid w:val="00A10F5F"/>
    <w:rsid w:val="00A130ED"/>
    <w:rsid w:val="00A1408C"/>
    <w:rsid w:val="00A14FEC"/>
    <w:rsid w:val="00A16E68"/>
    <w:rsid w:val="00A17A81"/>
    <w:rsid w:val="00A17DE4"/>
    <w:rsid w:val="00A20207"/>
    <w:rsid w:val="00A203C9"/>
    <w:rsid w:val="00A220D1"/>
    <w:rsid w:val="00A22491"/>
    <w:rsid w:val="00A230B2"/>
    <w:rsid w:val="00A234A1"/>
    <w:rsid w:val="00A2398C"/>
    <w:rsid w:val="00A24BB0"/>
    <w:rsid w:val="00A26346"/>
    <w:rsid w:val="00A26FE8"/>
    <w:rsid w:val="00A272DC"/>
    <w:rsid w:val="00A302AD"/>
    <w:rsid w:val="00A31C4D"/>
    <w:rsid w:val="00A328C2"/>
    <w:rsid w:val="00A32EA8"/>
    <w:rsid w:val="00A32F76"/>
    <w:rsid w:val="00A35DBF"/>
    <w:rsid w:val="00A361FA"/>
    <w:rsid w:val="00A41023"/>
    <w:rsid w:val="00A411AF"/>
    <w:rsid w:val="00A41354"/>
    <w:rsid w:val="00A4453E"/>
    <w:rsid w:val="00A4555F"/>
    <w:rsid w:val="00A46424"/>
    <w:rsid w:val="00A474DB"/>
    <w:rsid w:val="00A47FDC"/>
    <w:rsid w:val="00A51591"/>
    <w:rsid w:val="00A51A2A"/>
    <w:rsid w:val="00A51E47"/>
    <w:rsid w:val="00A523CA"/>
    <w:rsid w:val="00A5324C"/>
    <w:rsid w:val="00A53A6C"/>
    <w:rsid w:val="00A55B30"/>
    <w:rsid w:val="00A567DE"/>
    <w:rsid w:val="00A56991"/>
    <w:rsid w:val="00A5714A"/>
    <w:rsid w:val="00A6002B"/>
    <w:rsid w:val="00A60884"/>
    <w:rsid w:val="00A62AB3"/>
    <w:rsid w:val="00A631B8"/>
    <w:rsid w:val="00A6424F"/>
    <w:rsid w:val="00A64C1D"/>
    <w:rsid w:val="00A64C95"/>
    <w:rsid w:val="00A64CD8"/>
    <w:rsid w:val="00A65BD4"/>
    <w:rsid w:val="00A65C5E"/>
    <w:rsid w:val="00A66D81"/>
    <w:rsid w:val="00A673D7"/>
    <w:rsid w:val="00A67780"/>
    <w:rsid w:val="00A7027D"/>
    <w:rsid w:val="00A70846"/>
    <w:rsid w:val="00A70D8E"/>
    <w:rsid w:val="00A71144"/>
    <w:rsid w:val="00A7231B"/>
    <w:rsid w:val="00A74225"/>
    <w:rsid w:val="00A752CD"/>
    <w:rsid w:val="00A75A90"/>
    <w:rsid w:val="00A76757"/>
    <w:rsid w:val="00A775B2"/>
    <w:rsid w:val="00A77865"/>
    <w:rsid w:val="00A77A5B"/>
    <w:rsid w:val="00A77BB2"/>
    <w:rsid w:val="00A81A37"/>
    <w:rsid w:val="00A81D63"/>
    <w:rsid w:val="00A82FDD"/>
    <w:rsid w:val="00A83AEE"/>
    <w:rsid w:val="00A83CD2"/>
    <w:rsid w:val="00A840A6"/>
    <w:rsid w:val="00A8439E"/>
    <w:rsid w:val="00A85818"/>
    <w:rsid w:val="00A85CBC"/>
    <w:rsid w:val="00A90626"/>
    <w:rsid w:val="00A90822"/>
    <w:rsid w:val="00A91270"/>
    <w:rsid w:val="00A931D4"/>
    <w:rsid w:val="00A93432"/>
    <w:rsid w:val="00A93556"/>
    <w:rsid w:val="00A9362E"/>
    <w:rsid w:val="00A936E7"/>
    <w:rsid w:val="00A94758"/>
    <w:rsid w:val="00A9502C"/>
    <w:rsid w:val="00A962A7"/>
    <w:rsid w:val="00A96DBB"/>
    <w:rsid w:val="00A96FFF"/>
    <w:rsid w:val="00A97D61"/>
    <w:rsid w:val="00AA0E19"/>
    <w:rsid w:val="00AA276B"/>
    <w:rsid w:val="00AA29A8"/>
    <w:rsid w:val="00AA2C1C"/>
    <w:rsid w:val="00AA3BB9"/>
    <w:rsid w:val="00AA46C6"/>
    <w:rsid w:val="00AA63ED"/>
    <w:rsid w:val="00AA70C2"/>
    <w:rsid w:val="00AB0693"/>
    <w:rsid w:val="00AB0B03"/>
    <w:rsid w:val="00AB1F76"/>
    <w:rsid w:val="00AB2489"/>
    <w:rsid w:val="00AB28DD"/>
    <w:rsid w:val="00AB299D"/>
    <w:rsid w:val="00AB2E53"/>
    <w:rsid w:val="00AB317E"/>
    <w:rsid w:val="00AB45F2"/>
    <w:rsid w:val="00AB4CA8"/>
    <w:rsid w:val="00AB506B"/>
    <w:rsid w:val="00AB54A2"/>
    <w:rsid w:val="00AB57EA"/>
    <w:rsid w:val="00AB5C50"/>
    <w:rsid w:val="00AC012D"/>
    <w:rsid w:val="00AC01B4"/>
    <w:rsid w:val="00AC1D6E"/>
    <w:rsid w:val="00AC1E5F"/>
    <w:rsid w:val="00AC2AFA"/>
    <w:rsid w:val="00AC2BD3"/>
    <w:rsid w:val="00AC2EDC"/>
    <w:rsid w:val="00AC35FF"/>
    <w:rsid w:val="00AC60D8"/>
    <w:rsid w:val="00AC6104"/>
    <w:rsid w:val="00AC74DF"/>
    <w:rsid w:val="00AC7A70"/>
    <w:rsid w:val="00AD02B3"/>
    <w:rsid w:val="00AD1D6F"/>
    <w:rsid w:val="00AD3F83"/>
    <w:rsid w:val="00AD4A08"/>
    <w:rsid w:val="00AD510D"/>
    <w:rsid w:val="00AD54CA"/>
    <w:rsid w:val="00AD5967"/>
    <w:rsid w:val="00AD6396"/>
    <w:rsid w:val="00AD7144"/>
    <w:rsid w:val="00AD738E"/>
    <w:rsid w:val="00AD7832"/>
    <w:rsid w:val="00AD7A79"/>
    <w:rsid w:val="00AE0CC8"/>
    <w:rsid w:val="00AE11D4"/>
    <w:rsid w:val="00AE1598"/>
    <w:rsid w:val="00AE1745"/>
    <w:rsid w:val="00AE430D"/>
    <w:rsid w:val="00AE6E90"/>
    <w:rsid w:val="00AE7A42"/>
    <w:rsid w:val="00AE7BE1"/>
    <w:rsid w:val="00AF01D3"/>
    <w:rsid w:val="00AF2C2C"/>
    <w:rsid w:val="00AF3981"/>
    <w:rsid w:val="00AF3BB6"/>
    <w:rsid w:val="00AF3DD9"/>
    <w:rsid w:val="00AF3F5F"/>
    <w:rsid w:val="00AF4632"/>
    <w:rsid w:val="00AF4E02"/>
    <w:rsid w:val="00AF5BF0"/>
    <w:rsid w:val="00AF5DED"/>
    <w:rsid w:val="00AF7B43"/>
    <w:rsid w:val="00AF7CAC"/>
    <w:rsid w:val="00B02FC0"/>
    <w:rsid w:val="00B0344B"/>
    <w:rsid w:val="00B042D1"/>
    <w:rsid w:val="00B0452F"/>
    <w:rsid w:val="00B04DA1"/>
    <w:rsid w:val="00B058F1"/>
    <w:rsid w:val="00B05AA4"/>
    <w:rsid w:val="00B06A96"/>
    <w:rsid w:val="00B07959"/>
    <w:rsid w:val="00B1108E"/>
    <w:rsid w:val="00B11AEF"/>
    <w:rsid w:val="00B11D27"/>
    <w:rsid w:val="00B1260C"/>
    <w:rsid w:val="00B13751"/>
    <w:rsid w:val="00B13B80"/>
    <w:rsid w:val="00B13BEE"/>
    <w:rsid w:val="00B1413F"/>
    <w:rsid w:val="00B16026"/>
    <w:rsid w:val="00B16A36"/>
    <w:rsid w:val="00B16CFC"/>
    <w:rsid w:val="00B20883"/>
    <w:rsid w:val="00B219C6"/>
    <w:rsid w:val="00B220BA"/>
    <w:rsid w:val="00B22862"/>
    <w:rsid w:val="00B22D5D"/>
    <w:rsid w:val="00B2427E"/>
    <w:rsid w:val="00B2439D"/>
    <w:rsid w:val="00B24515"/>
    <w:rsid w:val="00B24C8A"/>
    <w:rsid w:val="00B262CE"/>
    <w:rsid w:val="00B2724A"/>
    <w:rsid w:val="00B30837"/>
    <w:rsid w:val="00B30D15"/>
    <w:rsid w:val="00B31A7A"/>
    <w:rsid w:val="00B32FA7"/>
    <w:rsid w:val="00B33BA5"/>
    <w:rsid w:val="00B34211"/>
    <w:rsid w:val="00B3739B"/>
    <w:rsid w:val="00B3762B"/>
    <w:rsid w:val="00B3766D"/>
    <w:rsid w:val="00B376F3"/>
    <w:rsid w:val="00B37AD6"/>
    <w:rsid w:val="00B37D59"/>
    <w:rsid w:val="00B41026"/>
    <w:rsid w:val="00B410A5"/>
    <w:rsid w:val="00B41CA3"/>
    <w:rsid w:val="00B42423"/>
    <w:rsid w:val="00B42BE6"/>
    <w:rsid w:val="00B44EE9"/>
    <w:rsid w:val="00B460E7"/>
    <w:rsid w:val="00B46B94"/>
    <w:rsid w:val="00B47CC8"/>
    <w:rsid w:val="00B51E26"/>
    <w:rsid w:val="00B5286D"/>
    <w:rsid w:val="00B52C0C"/>
    <w:rsid w:val="00B53070"/>
    <w:rsid w:val="00B53EEC"/>
    <w:rsid w:val="00B540B2"/>
    <w:rsid w:val="00B544AF"/>
    <w:rsid w:val="00B55917"/>
    <w:rsid w:val="00B55A92"/>
    <w:rsid w:val="00B55ECC"/>
    <w:rsid w:val="00B5763E"/>
    <w:rsid w:val="00B60198"/>
    <w:rsid w:val="00B6060C"/>
    <w:rsid w:val="00B60AE7"/>
    <w:rsid w:val="00B614D7"/>
    <w:rsid w:val="00B62997"/>
    <w:rsid w:val="00B63510"/>
    <w:rsid w:val="00B6390A"/>
    <w:rsid w:val="00B63930"/>
    <w:rsid w:val="00B63A57"/>
    <w:rsid w:val="00B63B7A"/>
    <w:rsid w:val="00B63D95"/>
    <w:rsid w:val="00B63F17"/>
    <w:rsid w:val="00B64057"/>
    <w:rsid w:val="00B64337"/>
    <w:rsid w:val="00B64C8E"/>
    <w:rsid w:val="00B65304"/>
    <w:rsid w:val="00B65E71"/>
    <w:rsid w:val="00B664C6"/>
    <w:rsid w:val="00B671A3"/>
    <w:rsid w:val="00B704CC"/>
    <w:rsid w:val="00B705D3"/>
    <w:rsid w:val="00B7074B"/>
    <w:rsid w:val="00B71EFE"/>
    <w:rsid w:val="00B734D3"/>
    <w:rsid w:val="00B73EA8"/>
    <w:rsid w:val="00B74F90"/>
    <w:rsid w:val="00B75056"/>
    <w:rsid w:val="00B75274"/>
    <w:rsid w:val="00B754E6"/>
    <w:rsid w:val="00B757ED"/>
    <w:rsid w:val="00B7585B"/>
    <w:rsid w:val="00B765F9"/>
    <w:rsid w:val="00B81146"/>
    <w:rsid w:val="00B8303E"/>
    <w:rsid w:val="00B83532"/>
    <w:rsid w:val="00B83D03"/>
    <w:rsid w:val="00B84F65"/>
    <w:rsid w:val="00B852A3"/>
    <w:rsid w:val="00B85DE7"/>
    <w:rsid w:val="00B8613F"/>
    <w:rsid w:val="00B87443"/>
    <w:rsid w:val="00B87E11"/>
    <w:rsid w:val="00B900F1"/>
    <w:rsid w:val="00B90948"/>
    <w:rsid w:val="00B90B33"/>
    <w:rsid w:val="00B91392"/>
    <w:rsid w:val="00B91E24"/>
    <w:rsid w:val="00B9248C"/>
    <w:rsid w:val="00B92496"/>
    <w:rsid w:val="00B92875"/>
    <w:rsid w:val="00B93399"/>
    <w:rsid w:val="00B9392E"/>
    <w:rsid w:val="00B93EEC"/>
    <w:rsid w:val="00B96B4D"/>
    <w:rsid w:val="00B96CF8"/>
    <w:rsid w:val="00B97820"/>
    <w:rsid w:val="00B97E9E"/>
    <w:rsid w:val="00BA08EB"/>
    <w:rsid w:val="00BA0D03"/>
    <w:rsid w:val="00BA0F02"/>
    <w:rsid w:val="00BA1623"/>
    <w:rsid w:val="00BA1E55"/>
    <w:rsid w:val="00BA39BF"/>
    <w:rsid w:val="00BA44A4"/>
    <w:rsid w:val="00BA5142"/>
    <w:rsid w:val="00BA571D"/>
    <w:rsid w:val="00BA586C"/>
    <w:rsid w:val="00BA7B79"/>
    <w:rsid w:val="00BB0E1F"/>
    <w:rsid w:val="00BB0F80"/>
    <w:rsid w:val="00BB11F7"/>
    <w:rsid w:val="00BB365C"/>
    <w:rsid w:val="00BB3A32"/>
    <w:rsid w:val="00BB3D90"/>
    <w:rsid w:val="00BB476B"/>
    <w:rsid w:val="00BB4DE9"/>
    <w:rsid w:val="00BB6224"/>
    <w:rsid w:val="00BB7244"/>
    <w:rsid w:val="00BB75CA"/>
    <w:rsid w:val="00BB75CD"/>
    <w:rsid w:val="00BB7B91"/>
    <w:rsid w:val="00BC1207"/>
    <w:rsid w:val="00BC1539"/>
    <w:rsid w:val="00BC2009"/>
    <w:rsid w:val="00BC2B1C"/>
    <w:rsid w:val="00BC39A4"/>
    <w:rsid w:val="00BC3CA5"/>
    <w:rsid w:val="00BC5434"/>
    <w:rsid w:val="00BC595A"/>
    <w:rsid w:val="00BC5FDC"/>
    <w:rsid w:val="00BD0909"/>
    <w:rsid w:val="00BD2361"/>
    <w:rsid w:val="00BD2ECD"/>
    <w:rsid w:val="00BD43C0"/>
    <w:rsid w:val="00BD4587"/>
    <w:rsid w:val="00BD5CF9"/>
    <w:rsid w:val="00BD5F9A"/>
    <w:rsid w:val="00BD667B"/>
    <w:rsid w:val="00BD6F53"/>
    <w:rsid w:val="00BD74DD"/>
    <w:rsid w:val="00BE0253"/>
    <w:rsid w:val="00BE0557"/>
    <w:rsid w:val="00BE14BB"/>
    <w:rsid w:val="00BE1FC6"/>
    <w:rsid w:val="00BE2214"/>
    <w:rsid w:val="00BE2B69"/>
    <w:rsid w:val="00BE2DD8"/>
    <w:rsid w:val="00BE3385"/>
    <w:rsid w:val="00BE4CE8"/>
    <w:rsid w:val="00BE5B36"/>
    <w:rsid w:val="00BE702E"/>
    <w:rsid w:val="00BE74A4"/>
    <w:rsid w:val="00BE7877"/>
    <w:rsid w:val="00BF016E"/>
    <w:rsid w:val="00BF2203"/>
    <w:rsid w:val="00BF37BD"/>
    <w:rsid w:val="00BF3CBB"/>
    <w:rsid w:val="00BF3F36"/>
    <w:rsid w:val="00BF6651"/>
    <w:rsid w:val="00BF7B96"/>
    <w:rsid w:val="00BF7FA5"/>
    <w:rsid w:val="00C00852"/>
    <w:rsid w:val="00C00D11"/>
    <w:rsid w:val="00C00FB0"/>
    <w:rsid w:val="00C0225D"/>
    <w:rsid w:val="00C03262"/>
    <w:rsid w:val="00C03E29"/>
    <w:rsid w:val="00C04B2D"/>
    <w:rsid w:val="00C04E10"/>
    <w:rsid w:val="00C068BD"/>
    <w:rsid w:val="00C075CC"/>
    <w:rsid w:val="00C07F93"/>
    <w:rsid w:val="00C12E3E"/>
    <w:rsid w:val="00C133EA"/>
    <w:rsid w:val="00C136F5"/>
    <w:rsid w:val="00C138A1"/>
    <w:rsid w:val="00C13A7E"/>
    <w:rsid w:val="00C14D7D"/>
    <w:rsid w:val="00C15375"/>
    <w:rsid w:val="00C15CFE"/>
    <w:rsid w:val="00C17012"/>
    <w:rsid w:val="00C17159"/>
    <w:rsid w:val="00C200AF"/>
    <w:rsid w:val="00C20199"/>
    <w:rsid w:val="00C220C2"/>
    <w:rsid w:val="00C226F5"/>
    <w:rsid w:val="00C22D37"/>
    <w:rsid w:val="00C235EB"/>
    <w:rsid w:val="00C237A8"/>
    <w:rsid w:val="00C237B0"/>
    <w:rsid w:val="00C242B6"/>
    <w:rsid w:val="00C24593"/>
    <w:rsid w:val="00C24663"/>
    <w:rsid w:val="00C2494B"/>
    <w:rsid w:val="00C260A2"/>
    <w:rsid w:val="00C278C6"/>
    <w:rsid w:val="00C30747"/>
    <w:rsid w:val="00C307E6"/>
    <w:rsid w:val="00C30B00"/>
    <w:rsid w:val="00C313FC"/>
    <w:rsid w:val="00C31A5A"/>
    <w:rsid w:val="00C325B3"/>
    <w:rsid w:val="00C32F9E"/>
    <w:rsid w:val="00C33923"/>
    <w:rsid w:val="00C33DC2"/>
    <w:rsid w:val="00C3456D"/>
    <w:rsid w:val="00C34C3B"/>
    <w:rsid w:val="00C35CDE"/>
    <w:rsid w:val="00C361A8"/>
    <w:rsid w:val="00C3637E"/>
    <w:rsid w:val="00C369A7"/>
    <w:rsid w:val="00C3708A"/>
    <w:rsid w:val="00C370CC"/>
    <w:rsid w:val="00C3735B"/>
    <w:rsid w:val="00C37514"/>
    <w:rsid w:val="00C4018A"/>
    <w:rsid w:val="00C4066E"/>
    <w:rsid w:val="00C40937"/>
    <w:rsid w:val="00C422E4"/>
    <w:rsid w:val="00C42912"/>
    <w:rsid w:val="00C435D3"/>
    <w:rsid w:val="00C43891"/>
    <w:rsid w:val="00C43E8A"/>
    <w:rsid w:val="00C4523E"/>
    <w:rsid w:val="00C455FB"/>
    <w:rsid w:val="00C500F8"/>
    <w:rsid w:val="00C50960"/>
    <w:rsid w:val="00C5175E"/>
    <w:rsid w:val="00C523F5"/>
    <w:rsid w:val="00C52838"/>
    <w:rsid w:val="00C542A1"/>
    <w:rsid w:val="00C5454E"/>
    <w:rsid w:val="00C54B5C"/>
    <w:rsid w:val="00C54C34"/>
    <w:rsid w:val="00C5594E"/>
    <w:rsid w:val="00C57C1A"/>
    <w:rsid w:val="00C57F78"/>
    <w:rsid w:val="00C602EB"/>
    <w:rsid w:val="00C618AA"/>
    <w:rsid w:val="00C626CF"/>
    <w:rsid w:val="00C62A17"/>
    <w:rsid w:val="00C64742"/>
    <w:rsid w:val="00C65506"/>
    <w:rsid w:val="00C66C9A"/>
    <w:rsid w:val="00C6774E"/>
    <w:rsid w:val="00C705CB"/>
    <w:rsid w:val="00C72891"/>
    <w:rsid w:val="00C73E2D"/>
    <w:rsid w:val="00C74912"/>
    <w:rsid w:val="00C74941"/>
    <w:rsid w:val="00C7511E"/>
    <w:rsid w:val="00C754DB"/>
    <w:rsid w:val="00C75975"/>
    <w:rsid w:val="00C75A00"/>
    <w:rsid w:val="00C762CE"/>
    <w:rsid w:val="00C76413"/>
    <w:rsid w:val="00C765E0"/>
    <w:rsid w:val="00C76C3B"/>
    <w:rsid w:val="00C76E71"/>
    <w:rsid w:val="00C801FB"/>
    <w:rsid w:val="00C8088F"/>
    <w:rsid w:val="00C815BB"/>
    <w:rsid w:val="00C820B5"/>
    <w:rsid w:val="00C824A8"/>
    <w:rsid w:val="00C82752"/>
    <w:rsid w:val="00C82E23"/>
    <w:rsid w:val="00C83159"/>
    <w:rsid w:val="00C8323A"/>
    <w:rsid w:val="00C85022"/>
    <w:rsid w:val="00C8594A"/>
    <w:rsid w:val="00C921F5"/>
    <w:rsid w:val="00C92AF4"/>
    <w:rsid w:val="00C92ED2"/>
    <w:rsid w:val="00C94FD4"/>
    <w:rsid w:val="00C95099"/>
    <w:rsid w:val="00C95668"/>
    <w:rsid w:val="00C9581E"/>
    <w:rsid w:val="00C95C43"/>
    <w:rsid w:val="00C97EF0"/>
    <w:rsid w:val="00CA2D73"/>
    <w:rsid w:val="00CA2F24"/>
    <w:rsid w:val="00CA3B13"/>
    <w:rsid w:val="00CA44E9"/>
    <w:rsid w:val="00CA4C11"/>
    <w:rsid w:val="00CA4FB2"/>
    <w:rsid w:val="00CA5FA9"/>
    <w:rsid w:val="00CA62A1"/>
    <w:rsid w:val="00CA63CB"/>
    <w:rsid w:val="00CA6C01"/>
    <w:rsid w:val="00CA710D"/>
    <w:rsid w:val="00CA74BF"/>
    <w:rsid w:val="00CA77D8"/>
    <w:rsid w:val="00CA7CA3"/>
    <w:rsid w:val="00CB03A3"/>
    <w:rsid w:val="00CB1013"/>
    <w:rsid w:val="00CB2EFE"/>
    <w:rsid w:val="00CB30D9"/>
    <w:rsid w:val="00CB3CE8"/>
    <w:rsid w:val="00CB4B4D"/>
    <w:rsid w:val="00CB6175"/>
    <w:rsid w:val="00CB6D4B"/>
    <w:rsid w:val="00CB766E"/>
    <w:rsid w:val="00CB7AA2"/>
    <w:rsid w:val="00CC0349"/>
    <w:rsid w:val="00CC044C"/>
    <w:rsid w:val="00CC0A22"/>
    <w:rsid w:val="00CC1696"/>
    <w:rsid w:val="00CC2777"/>
    <w:rsid w:val="00CC5E62"/>
    <w:rsid w:val="00CC6591"/>
    <w:rsid w:val="00CD0545"/>
    <w:rsid w:val="00CD0AC5"/>
    <w:rsid w:val="00CD0E89"/>
    <w:rsid w:val="00CD19D2"/>
    <w:rsid w:val="00CD26C9"/>
    <w:rsid w:val="00CD27DE"/>
    <w:rsid w:val="00CD4194"/>
    <w:rsid w:val="00CD483D"/>
    <w:rsid w:val="00CD4DD1"/>
    <w:rsid w:val="00CD572C"/>
    <w:rsid w:val="00CD67BB"/>
    <w:rsid w:val="00CD70D2"/>
    <w:rsid w:val="00CD7213"/>
    <w:rsid w:val="00CD7671"/>
    <w:rsid w:val="00CE0497"/>
    <w:rsid w:val="00CE072B"/>
    <w:rsid w:val="00CE231C"/>
    <w:rsid w:val="00CE24F7"/>
    <w:rsid w:val="00CE3C2E"/>
    <w:rsid w:val="00CE4D43"/>
    <w:rsid w:val="00CE4F5A"/>
    <w:rsid w:val="00CE6789"/>
    <w:rsid w:val="00CE6FD4"/>
    <w:rsid w:val="00CE7A2D"/>
    <w:rsid w:val="00CE7E22"/>
    <w:rsid w:val="00CF1D34"/>
    <w:rsid w:val="00CF2099"/>
    <w:rsid w:val="00CF3ED6"/>
    <w:rsid w:val="00CF4097"/>
    <w:rsid w:val="00CF521A"/>
    <w:rsid w:val="00CF589B"/>
    <w:rsid w:val="00CF5EC0"/>
    <w:rsid w:val="00CF617A"/>
    <w:rsid w:val="00CF6719"/>
    <w:rsid w:val="00D001F0"/>
    <w:rsid w:val="00D00386"/>
    <w:rsid w:val="00D009CC"/>
    <w:rsid w:val="00D0170C"/>
    <w:rsid w:val="00D029A9"/>
    <w:rsid w:val="00D029F0"/>
    <w:rsid w:val="00D03537"/>
    <w:rsid w:val="00D03BED"/>
    <w:rsid w:val="00D03F49"/>
    <w:rsid w:val="00D056EA"/>
    <w:rsid w:val="00D06F95"/>
    <w:rsid w:val="00D07B8A"/>
    <w:rsid w:val="00D11FDC"/>
    <w:rsid w:val="00D1215A"/>
    <w:rsid w:val="00D128AB"/>
    <w:rsid w:val="00D15D03"/>
    <w:rsid w:val="00D15D8F"/>
    <w:rsid w:val="00D1611F"/>
    <w:rsid w:val="00D20611"/>
    <w:rsid w:val="00D20F11"/>
    <w:rsid w:val="00D21A2A"/>
    <w:rsid w:val="00D22626"/>
    <w:rsid w:val="00D23046"/>
    <w:rsid w:val="00D24459"/>
    <w:rsid w:val="00D25C9D"/>
    <w:rsid w:val="00D25D83"/>
    <w:rsid w:val="00D265F1"/>
    <w:rsid w:val="00D26635"/>
    <w:rsid w:val="00D27B97"/>
    <w:rsid w:val="00D30A8C"/>
    <w:rsid w:val="00D30DDF"/>
    <w:rsid w:val="00D311D5"/>
    <w:rsid w:val="00D31DBB"/>
    <w:rsid w:val="00D32693"/>
    <w:rsid w:val="00D33030"/>
    <w:rsid w:val="00D3350D"/>
    <w:rsid w:val="00D33BD6"/>
    <w:rsid w:val="00D34A36"/>
    <w:rsid w:val="00D34E4A"/>
    <w:rsid w:val="00D34E70"/>
    <w:rsid w:val="00D35900"/>
    <w:rsid w:val="00D35AE0"/>
    <w:rsid w:val="00D402D2"/>
    <w:rsid w:val="00D409CF"/>
    <w:rsid w:val="00D40BC3"/>
    <w:rsid w:val="00D40F80"/>
    <w:rsid w:val="00D41821"/>
    <w:rsid w:val="00D41896"/>
    <w:rsid w:val="00D41951"/>
    <w:rsid w:val="00D41C1F"/>
    <w:rsid w:val="00D42D60"/>
    <w:rsid w:val="00D44183"/>
    <w:rsid w:val="00D450C0"/>
    <w:rsid w:val="00D4518D"/>
    <w:rsid w:val="00D46199"/>
    <w:rsid w:val="00D462F6"/>
    <w:rsid w:val="00D4663C"/>
    <w:rsid w:val="00D468A4"/>
    <w:rsid w:val="00D46EB1"/>
    <w:rsid w:val="00D46EED"/>
    <w:rsid w:val="00D474CE"/>
    <w:rsid w:val="00D47E76"/>
    <w:rsid w:val="00D505F3"/>
    <w:rsid w:val="00D5212C"/>
    <w:rsid w:val="00D52324"/>
    <w:rsid w:val="00D5261C"/>
    <w:rsid w:val="00D530F8"/>
    <w:rsid w:val="00D578E9"/>
    <w:rsid w:val="00D57B6C"/>
    <w:rsid w:val="00D6081E"/>
    <w:rsid w:val="00D62512"/>
    <w:rsid w:val="00D64471"/>
    <w:rsid w:val="00D65668"/>
    <w:rsid w:val="00D659C9"/>
    <w:rsid w:val="00D666B6"/>
    <w:rsid w:val="00D67F53"/>
    <w:rsid w:val="00D70067"/>
    <w:rsid w:val="00D705DB"/>
    <w:rsid w:val="00D7236A"/>
    <w:rsid w:val="00D72C03"/>
    <w:rsid w:val="00D74850"/>
    <w:rsid w:val="00D7595B"/>
    <w:rsid w:val="00D7613E"/>
    <w:rsid w:val="00D7691A"/>
    <w:rsid w:val="00D76E05"/>
    <w:rsid w:val="00D80098"/>
    <w:rsid w:val="00D81FD2"/>
    <w:rsid w:val="00D82348"/>
    <w:rsid w:val="00D83B3F"/>
    <w:rsid w:val="00D851B7"/>
    <w:rsid w:val="00D864A3"/>
    <w:rsid w:val="00D90516"/>
    <w:rsid w:val="00D912D1"/>
    <w:rsid w:val="00D91AB5"/>
    <w:rsid w:val="00D91D19"/>
    <w:rsid w:val="00D930AA"/>
    <w:rsid w:val="00D9398D"/>
    <w:rsid w:val="00D945EA"/>
    <w:rsid w:val="00D94844"/>
    <w:rsid w:val="00D94855"/>
    <w:rsid w:val="00D95F48"/>
    <w:rsid w:val="00D97338"/>
    <w:rsid w:val="00D97A5D"/>
    <w:rsid w:val="00D97C3B"/>
    <w:rsid w:val="00DA0682"/>
    <w:rsid w:val="00DA0D29"/>
    <w:rsid w:val="00DA1773"/>
    <w:rsid w:val="00DA1E1E"/>
    <w:rsid w:val="00DA3E27"/>
    <w:rsid w:val="00DA43B9"/>
    <w:rsid w:val="00DA47B3"/>
    <w:rsid w:val="00DA754C"/>
    <w:rsid w:val="00DA7CA6"/>
    <w:rsid w:val="00DA7CD0"/>
    <w:rsid w:val="00DB01B5"/>
    <w:rsid w:val="00DB02AE"/>
    <w:rsid w:val="00DB11B2"/>
    <w:rsid w:val="00DB3298"/>
    <w:rsid w:val="00DB32CA"/>
    <w:rsid w:val="00DB3780"/>
    <w:rsid w:val="00DB3F1C"/>
    <w:rsid w:val="00DB4695"/>
    <w:rsid w:val="00DB6352"/>
    <w:rsid w:val="00DB64F9"/>
    <w:rsid w:val="00DB6724"/>
    <w:rsid w:val="00DB6789"/>
    <w:rsid w:val="00DB68BD"/>
    <w:rsid w:val="00DB767A"/>
    <w:rsid w:val="00DC0F6C"/>
    <w:rsid w:val="00DC1054"/>
    <w:rsid w:val="00DC10AD"/>
    <w:rsid w:val="00DC2C95"/>
    <w:rsid w:val="00DC4781"/>
    <w:rsid w:val="00DC4B41"/>
    <w:rsid w:val="00DC4B4F"/>
    <w:rsid w:val="00DC4E04"/>
    <w:rsid w:val="00DC55B8"/>
    <w:rsid w:val="00DC5B55"/>
    <w:rsid w:val="00DC6599"/>
    <w:rsid w:val="00DC6B03"/>
    <w:rsid w:val="00DC7F1D"/>
    <w:rsid w:val="00DC7FBE"/>
    <w:rsid w:val="00DD0D4A"/>
    <w:rsid w:val="00DD10B0"/>
    <w:rsid w:val="00DD1578"/>
    <w:rsid w:val="00DD2DC5"/>
    <w:rsid w:val="00DD2ED5"/>
    <w:rsid w:val="00DD31AD"/>
    <w:rsid w:val="00DD3684"/>
    <w:rsid w:val="00DD4205"/>
    <w:rsid w:val="00DD4FF9"/>
    <w:rsid w:val="00DD5485"/>
    <w:rsid w:val="00DD5814"/>
    <w:rsid w:val="00DD59D2"/>
    <w:rsid w:val="00DD5B49"/>
    <w:rsid w:val="00DD6EF3"/>
    <w:rsid w:val="00DD7322"/>
    <w:rsid w:val="00DE09D2"/>
    <w:rsid w:val="00DE13C6"/>
    <w:rsid w:val="00DE1780"/>
    <w:rsid w:val="00DE39C3"/>
    <w:rsid w:val="00DE3DE1"/>
    <w:rsid w:val="00DE3FBA"/>
    <w:rsid w:val="00DE407B"/>
    <w:rsid w:val="00DE4E39"/>
    <w:rsid w:val="00DE51BE"/>
    <w:rsid w:val="00DE5581"/>
    <w:rsid w:val="00DE6530"/>
    <w:rsid w:val="00DE6C22"/>
    <w:rsid w:val="00DE71C7"/>
    <w:rsid w:val="00DE7CDC"/>
    <w:rsid w:val="00DF138B"/>
    <w:rsid w:val="00DF1F9D"/>
    <w:rsid w:val="00DF2898"/>
    <w:rsid w:val="00DF3530"/>
    <w:rsid w:val="00DF43EF"/>
    <w:rsid w:val="00DF529F"/>
    <w:rsid w:val="00DF5535"/>
    <w:rsid w:val="00DF6F22"/>
    <w:rsid w:val="00DF7103"/>
    <w:rsid w:val="00E008A1"/>
    <w:rsid w:val="00E00AB0"/>
    <w:rsid w:val="00E00B30"/>
    <w:rsid w:val="00E01E9C"/>
    <w:rsid w:val="00E031C3"/>
    <w:rsid w:val="00E0429B"/>
    <w:rsid w:val="00E043B0"/>
    <w:rsid w:val="00E045F9"/>
    <w:rsid w:val="00E04DA3"/>
    <w:rsid w:val="00E069F1"/>
    <w:rsid w:val="00E0758C"/>
    <w:rsid w:val="00E079C6"/>
    <w:rsid w:val="00E1034E"/>
    <w:rsid w:val="00E103C1"/>
    <w:rsid w:val="00E10C96"/>
    <w:rsid w:val="00E11461"/>
    <w:rsid w:val="00E11C80"/>
    <w:rsid w:val="00E15551"/>
    <w:rsid w:val="00E1747B"/>
    <w:rsid w:val="00E236CD"/>
    <w:rsid w:val="00E23EFB"/>
    <w:rsid w:val="00E2414B"/>
    <w:rsid w:val="00E241FC"/>
    <w:rsid w:val="00E24324"/>
    <w:rsid w:val="00E2579E"/>
    <w:rsid w:val="00E2616A"/>
    <w:rsid w:val="00E268BA"/>
    <w:rsid w:val="00E26DF2"/>
    <w:rsid w:val="00E27D7F"/>
    <w:rsid w:val="00E3004D"/>
    <w:rsid w:val="00E30344"/>
    <w:rsid w:val="00E3044D"/>
    <w:rsid w:val="00E3083D"/>
    <w:rsid w:val="00E316A1"/>
    <w:rsid w:val="00E32FE9"/>
    <w:rsid w:val="00E34D51"/>
    <w:rsid w:val="00E35E2E"/>
    <w:rsid w:val="00E36138"/>
    <w:rsid w:val="00E363D6"/>
    <w:rsid w:val="00E363F3"/>
    <w:rsid w:val="00E365CD"/>
    <w:rsid w:val="00E36F28"/>
    <w:rsid w:val="00E377EA"/>
    <w:rsid w:val="00E378AE"/>
    <w:rsid w:val="00E37A5C"/>
    <w:rsid w:val="00E40308"/>
    <w:rsid w:val="00E413EF"/>
    <w:rsid w:val="00E41A2D"/>
    <w:rsid w:val="00E428F1"/>
    <w:rsid w:val="00E43420"/>
    <w:rsid w:val="00E44D21"/>
    <w:rsid w:val="00E45655"/>
    <w:rsid w:val="00E45810"/>
    <w:rsid w:val="00E50F9C"/>
    <w:rsid w:val="00E51D30"/>
    <w:rsid w:val="00E51F83"/>
    <w:rsid w:val="00E54216"/>
    <w:rsid w:val="00E551A9"/>
    <w:rsid w:val="00E5561D"/>
    <w:rsid w:val="00E560F4"/>
    <w:rsid w:val="00E56354"/>
    <w:rsid w:val="00E56501"/>
    <w:rsid w:val="00E56FB9"/>
    <w:rsid w:val="00E579C0"/>
    <w:rsid w:val="00E605E2"/>
    <w:rsid w:val="00E61D3A"/>
    <w:rsid w:val="00E62EAD"/>
    <w:rsid w:val="00E63343"/>
    <w:rsid w:val="00E642E1"/>
    <w:rsid w:val="00E648C2"/>
    <w:rsid w:val="00E672EB"/>
    <w:rsid w:val="00E6782C"/>
    <w:rsid w:val="00E70797"/>
    <w:rsid w:val="00E70882"/>
    <w:rsid w:val="00E711C1"/>
    <w:rsid w:val="00E715D2"/>
    <w:rsid w:val="00E71B54"/>
    <w:rsid w:val="00E71DA3"/>
    <w:rsid w:val="00E72547"/>
    <w:rsid w:val="00E727AA"/>
    <w:rsid w:val="00E728FD"/>
    <w:rsid w:val="00E72CD0"/>
    <w:rsid w:val="00E749EA"/>
    <w:rsid w:val="00E752FC"/>
    <w:rsid w:val="00E761BF"/>
    <w:rsid w:val="00E763E8"/>
    <w:rsid w:val="00E76478"/>
    <w:rsid w:val="00E7734D"/>
    <w:rsid w:val="00E77C1A"/>
    <w:rsid w:val="00E817A7"/>
    <w:rsid w:val="00E82077"/>
    <w:rsid w:val="00E82268"/>
    <w:rsid w:val="00E82D6D"/>
    <w:rsid w:val="00E83954"/>
    <w:rsid w:val="00E857FE"/>
    <w:rsid w:val="00E859E3"/>
    <w:rsid w:val="00E85AE4"/>
    <w:rsid w:val="00E86486"/>
    <w:rsid w:val="00E8719D"/>
    <w:rsid w:val="00E876A8"/>
    <w:rsid w:val="00E87D47"/>
    <w:rsid w:val="00E90DCD"/>
    <w:rsid w:val="00E91104"/>
    <w:rsid w:val="00E91222"/>
    <w:rsid w:val="00E919B0"/>
    <w:rsid w:val="00E91D72"/>
    <w:rsid w:val="00E934D1"/>
    <w:rsid w:val="00E94200"/>
    <w:rsid w:val="00E94369"/>
    <w:rsid w:val="00E9638C"/>
    <w:rsid w:val="00E9641B"/>
    <w:rsid w:val="00E964E3"/>
    <w:rsid w:val="00E974B2"/>
    <w:rsid w:val="00E974CF"/>
    <w:rsid w:val="00E975AD"/>
    <w:rsid w:val="00E97714"/>
    <w:rsid w:val="00E97DCE"/>
    <w:rsid w:val="00EA0368"/>
    <w:rsid w:val="00EA2E68"/>
    <w:rsid w:val="00EA2F0F"/>
    <w:rsid w:val="00EA3DE7"/>
    <w:rsid w:val="00EA4B25"/>
    <w:rsid w:val="00EA5371"/>
    <w:rsid w:val="00EA5CED"/>
    <w:rsid w:val="00EA6415"/>
    <w:rsid w:val="00EA75DB"/>
    <w:rsid w:val="00EA7C7A"/>
    <w:rsid w:val="00EA7CA0"/>
    <w:rsid w:val="00EA7F45"/>
    <w:rsid w:val="00EB0C1B"/>
    <w:rsid w:val="00EB2CE1"/>
    <w:rsid w:val="00EB3959"/>
    <w:rsid w:val="00EB3AFA"/>
    <w:rsid w:val="00EB3B61"/>
    <w:rsid w:val="00EB3C7D"/>
    <w:rsid w:val="00EB65D9"/>
    <w:rsid w:val="00EB6989"/>
    <w:rsid w:val="00EB7292"/>
    <w:rsid w:val="00EC030A"/>
    <w:rsid w:val="00EC09D0"/>
    <w:rsid w:val="00EC0F47"/>
    <w:rsid w:val="00EC10DB"/>
    <w:rsid w:val="00EC1261"/>
    <w:rsid w:val="00EC1F4E"/>
    <w:rsid w:val="00EC23A5"/>
    <w:rsid w:val="00EC2415"/>
    <w:rsid w:val="00EC2CE3"/>
    <w:rsid w:val="00EC4278"/>
    <w:rsid w:val="00EC45D1"/>
    <w:rsid w:val="00EC4DD0"/>
    <w:rsid w:val="00EC7778"/>
    <w:rsid w:val="00ED0A5A"/>
    <w:rsid w:val="00ED1840"/>
    <w:rsid w:val="00ED31B2"/>
    <w:rsid w:val="00ED373B"/>
    <w:rsid w:val="00ED3F93"/>
    <w:rsid w:val="00ED4E10"/>
    <w:rsid w:val="00ED530C"/>
    <w:rsid w:val="00ED69B6"/>
    <w:rsid w:val="00ED768D"/>
    <w:rsid w:val="00EE2987"/>
    <w:rsid w:val="00EE35FE"/>
    <w:rsid w:val="00EE3A79"/>
    <w:rsid w:val="00EE6689"/>
    <w:rsid w:val="00EE6F92"/>
    <w:rsid w:val="00EF0A1A"/>
    <w:rsid w:val="00EF263A"/>
    <w:rsid w:val="00EF3485"/>
    <w:rsid w:val="00EF42C3"/>
    <w:rsid w:val="00EF4A36"/>
    <w:rsid w:val="00EF4EB4"/>
    <w:rsid w:val="00EF525A"/>
    <w:rsid w:val="00EF5B20"/>
    <w:rsid w:val="00EF6273"/>
    <w:rsid w:val="00EF65A7"/>
    <w:rsid w:val="00F00D95"/>
    <w:rsid w:val="00F00F09"/>
    <w:rsid w:val="00F017D1"/>
    <w:rsid w:val="00F01B54"/>
    <w:rsid w:val="00F01CB9"/>
    <w:rsid w:val="00F01F5A"/>
    <w:rsid w:val="00F038BE"/>
    <w:rsid w:val="00F03FC8"/>
    <w:rsid w:val="00F041A2"/>
    <w:rsid w:val="00F042D8"/>
    <w:rsid w:val="00F04B8D"/>
    <w:rsid w:val="00F04D92"/>
    <w:rsid w:val="00F04DA0"/>
    <w:rsid w:val="00F05CCA"/>
    <w:rsid w:val="00F06244"/>
    <w:rsid w:val="00F06B3A"/>
    <w:rsid w:val="00F127F8"/>
    <w:rsid w:val="00F1282D"/>
    <w:rsid w:val="00F13C7A"/>
    <w:rsid w:val="00F15703"/>
    <w:rsid w:val="00F16090"/>
    <w:rsid w:val="00F1630F"/>
    <w:rsid w:val="00F1678B"/>
    <w:rsid w:val="00F17AD0"/>
    <w:rsid w:val="00F21192"/>
    <w:rsid w:val="00F22DA6"/>
    <w:rsid w:val="00F234BC"/>
    <w:rsid w:val="00F279C3"/>
    <w:rsid w:val="00F27CEB"/>
    <w:rsid w:val="00F27D68"/>
    <w:rsid w:val="00F300DB"/>
    <w:rsid w:val="00F313C8"/>
    <w:rsid w:val="00F31B6B"/>
    <w:rsid w:val="00F327B1"/>
    <w:rsid w:val="00F330BF"/>
    <w:rsid w:val="00F3367F"/>
    <w:rsid w:val="00F34BF4"/>
    <w:rsid w:val="00F34DF6"/>
    <w:rsid w:val="00F35410"/>
    <w:rsid w:val="00F36FCE"/>
    <w:rsid w:val="00F374DF"/>
    <w:rsid w:val="00F41BE8"/>
    <w:rsid w:val="00F448D0"/>
    <w:rsid w:val="00F449D2"/>
    <w:rsid w:val="00F4588A"/>
    <w:rsid w:val="00F46FA2"/>
    <w:rsid w:val="00F4712C"/>
    <w:rsid w:val="00F4747C"/>
    <w:rsid w:val="00F47F50"/>
    <w:rsid w:val="00F504B8"/>
    <w:rsid w:val="00F5140A"/>
    <w:rsid w:val="00F51432"/>
    <w:rsid w:val="00F519E3"/>
    <w:rsid w:val="00F51F5D"/>
    <w:rsid w:val="00F5312C"/>
    <w:rsid w:val="00F539A0"/>
    <w:rsid w:val="00F54077"/>
    <w:rsid w:val="00F54577"/>
    <w:rsid w:val="00F55572"/>
    <w:rsid w:val="00F56515"/>
    <w:rsid w:val="00F56EE0"/>
    <w:rsid w:val="00F5714F"/>
    <w:rsid w:val="00F60BFB"/>
    <w:rsid w:val="00F617DE"/>
    <w:rsid w:val="00F63008"/>
    <w:rsid w:val="00F6307F"/>
    <w:rsid w:val="00F638EE"/>
    <w:rsid w:val="00F6397F"/>
    <w:rsid w:val="00F63F01"/>
    <w:rsid w:val="00F64078"/>
    <w:rsid w:val="00F6416E"/>
    <w:rsid w:val="00F64A05"/>
    <w:rsid w:val="00F64F0A"/>
    <w:rsid w:val="00F658B3"/>
    <w:rsid w:val="00F659F6"/>
    <w:rsid w:val="00F65EDB"/>
    <w:rsid w:val="00F66544"/>
    <w:rsid w:val="00F677D2"/>
    <w:rsid w:val="00F70FEC"/>
    <w:rsid w:val="00F714E4"/>
    <w:rsid w:val="00F73AB1"/>
    <w:rsid w:val="00F73BE7"/>
    <w:rsid w:val="00F741BE"/>
    <w:rsid w:val="00F74C94"/>
    <w:rsid w:val="00F74EB4"/>
    <w:rsid w:val="00F75FF5"/>
    <w:rsid w:val="00F772C0"/>
    <w:rsid w:val="00F776B3"/>
    <w:rsid w:val="00F77AF0"/>
    <w:rsid w:val="00F81139"/>
    <w:rsid w:val="00F81DB7"/>
    <w:rsid w:val="00F8239A"/>
    <w:rsid w:val="00F82AB9"/>
    <w:rsid w:val="00F83FFD"/>
    <w:rsid w:val="00F86474"/>
    <w:rsid w:val="00F91089"/>
    <w:rsid w:val="00F9167C"/>
    <w:rsid w:val="00F92619"/>
    <w:rsid w:val="00F931BF"/>
    <w:rsid w:val="00F93963"/>
    <w:rsid w:val="00F94056"/>
    <w:rsid w:val="00F95481"/>
    <w:rsid w:val="00F95840"/>
    <w:rsid w:val="00F970BC"/>
    <w:rsid w:val="00F9747A"/>
    <w:rsid w:val="00F97BD8"/>
    <w:rsid w:val="00FA1283"/>
    <w:rsid w:val="00FA1F75"/>
    <w:rsid w:val="00FA2D8E"/>
    <w:rsid w:val="00FA2E02"/>
    <w:rsid w:val="00FA35B8"/>
    <w:rsid w:val="00FA368E"/>
    <w:rsid w:val="00FA37D2"/>
    <w:rsid w:val="00FA4D6D"/>
    <w:rsid w:val="00FA4D92"/>
    <w:rsid w:val="00FA5561"/>
    <w:rsid w:val="00FA7304"/>
    <w:rsid w:val="00FA7567"/>
    <w:rsid w:val="00FA7D51"/>
    <w:rsid w:val="00FA7EBD"/>
    <w:rsid w:val="00FB0EB1"/>
    <w:rsid w:val="00FB4382"/>
    <w:rsid w:val="00FB510F"/>
    <w:rsid w:val="00FB58B3"/>
    <w:rsid w:val="00FB631C"/>
    <w:rsid w:val="00FB6E90"/>
    <w:rsid w:val="00FB6FC8"/>
    <w:rsid w:val="00FB77C6"/>
    <w:rsid w:val="00FB7ED1"/>
    <w:rsid w:val="00FC0865"/>
    <w:rsid w:val="00FC148B"/>
    <w:rsid w:val="00FC1E6C"/>
    <w:rsid w:val="00FC3092"/>
    <w:rsid w:val="00FC3168"/>
    <w:rsid w:val="00FC3CFD"/>
    <w:rsid w:val="00FC590A"/>
    <w:rsid w:val="00FC5BC9"/>
    <w:rsid w:val="00FC5DE5"/>
    <w:rsid w:val="00FC6AD1"/>
    <w:rsid w:val="00FC6E94"/>
    <w:rsid w:val="00FD168F"/>
    <w:rsid w:val="00FD225F"/>
    <w:rsid w:val="00FD2B53"/>
    <w:rsid w:val="00FD3741"/>
    <w:rsid w:val="00FD39D4"/>
    <w:rsid w:val="00FD6460"/>
    <w:rsid w:val="00FD6EA4"/>
    <w:rsid w:val="00FD713A"/>
    <w:rsid w:val="00FD719F"/>
    <w:rsid w:val="00FD7508"/>
    <w:rsid w:val="00FD79B9"/>
    <w:rsid w:val="00FE040A"/>
    <w:rsid w:val="00FE4065"/>
    <w:rsid w:val="00FE427A"/>
    <w:rsid w:val="00FE4AB6"/>
    <w:rsid w:val="00FE4D1A"/>
    <w:rsid w:val="00FE63EC"/>
    <w:rsid w:val="00FE64B7"/>
    <w:rsid w:val="00FE6888"/>
    <w:rsid w:val="00FE7312"/>
    <w:rsid w:val="00FE7F42"/>
    <w:rsid w:val="00FF051C"/>
    <w:rsid w:val="00FF1C60"/>
    <w:rsid w:val="00FF1E29"/>
    <w:rsid w:val="00FF1FE0"/>
    <w:rsid w:val="00FF1FE7"/>
    <w:rsid w:val="00FF318E"/>
    <w:rsid w:val="00FF42EF"/>
    <w:rsid w:val="00FF439B"/>
    <w:rsid w:val="00FF517E"/>
    <w:rsid w:val="00FF562F"/>
    <w:rsid w:val="00FF5FBC"/>
    <w:rsid w:val="00FF6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C2D2B"/>
  <w15:docId w15:val="{50107352-DD5F-4C50-BC4D-70F4F1B2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E642E1"/>
    <w:rPr>
      <w:lang w:val="hr-HR"/>
    </w:rPr>
  </w:style>
  <w:style w:type="paragraph" w:styleId="Heading1">
    <w:name w:val="heading 1"/>
    <w:basedOn w:val="Normal"/>
    <w:next w:val="Normal"/>
    <w:link w:val="Heading1Char"/>
    <w:uiPriority w:val="9"/>
    <w:qFormat/>
    <w:rsid w:val="00955D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26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7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CC"/>
    <w:rPr>
      <w:color w:val="0000FF" w:themeColor="hyperlink"/>
      <w:u w:val="single"/>
    </w:rPr>
  </w:style>
  <w:style w:type="character" w:customStyle="1" w:styleId="Heading1Char">
    <w:name w:val="Heading 1 Char"/>
    <w:basedOn w:val="DefaultParagraphFont"/>
    <w:link w:val="Heading1"/>
    <w:uiPriority w:val="9"/>
    <w:rsid w:val="00955DCC"/>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955DCC"/>
    <w:pPr>
      <w:outlineLvl w:val="9"/>
    </w:pPr>
  </w:style>
  <w:style w:type="paragraph" w:styleId="TOC1">
    <w:name w:val="toc 1"/>
    <w:basedOn w:val="Normal"/>
    <w:next w:val="Normal"/>
    <w:autoRedefine/>
    <w:uiPriority w:val="39"/>
    <w:unhideWhenUsed/>
    <w:qFormat/>
    <w:rsid w:val="000251A2"/>
    <w:pPr>
      <w:tabs>
        <w:tab w:val="left" w:pos="440"/>
        <w:tab w:val="right" w:leader="dot" w:pos="9396"/>
      </w:tabs>
      <w:spacing w:after="100" w:line="240" w:lineRule="auto"/>
    </w:pPr>
    <w:rPr>
      <w:rFonts w:ascii="Arial" w:hAnsi="Arial" w:cs="Arial"/>
      <w:noProof/>
      <w:sz w:val="24"/>
      <w:szCs w:val="24"/>
      <w:lang w:val="bs-Latn-BA"/>
    </w:rPr>
  </w:style>
  <w:style w:type="paragraph" w:styleId="TOC2">
    <w:name w:val="toc 2"/>
    <w:basedOn w:val="Normal"/>
    <w:next w:val="Normal"/>
    <w:autoRedefine/>
    <w:uiPriority w:val="39"/>
    <w:unhideWhenUsed/>
    <w:qFormat/>
    <w:rsid w:val="00D7691A"/>
    <w:pPr>
      <w:tabs>
        <w:tab w:val="left" w:pos="880"/>
        <w:tab w:val="right" w:leader="dot" w:pos="9396"/>
      </w:tabs>
      <w:spacing w:after="100" w:line="240" w:lineRule="auto"/>
      <w:ind w:left="220"/>
    </w:pPr>
  </w:style>
  <w:style w:type="paragraph" w:styleId="TOC3">
    <w:name w:val="toc 3"/>
    <w:basedOn w:val="Normal"/>
    <w:next w:val="Normal"/>
    <w:autoRedefine/>
    <w:uiPriority w:val="39"/>
    <w:unhideWhenUsed/>
    <w:qFormat/>
    <w:rsid w:val="008F67FE"/>
    <w:pPr>
      <w:tabs>
        <w:tab w:val="left" w:pos="993"/>
        <w:tab w:val="right" w:leader="dot" w:pos="9356"/>
      </w:tabs>
      <w:spacing w:after="100"/>
      <w:ind w:left="440" w:hanging="298"/>
    </w:pPr>
  </w:style>
  <w:style w:type="paragraph" w:styleId="BalloonText">
    <w:name w:val="Balloon Text"/>
    <w:basedOn w:val="Normal"/>
    <w:link w:val="BalloonTextChar"/>
    <w:uiPriority w:val="99"/>
    <w:semiHidden/>
    <w:unhideWhenUsed/>
    <w:rsid w:val="00955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DCC"/>
    <w:rPr>
      <w:rFonts w:ascii="Tahoma" w:hAnsi="Tahoma" w:cs="Tahoma"/>
      <w:sz w:val="16"/>
      <w:szCs w:val="16"/>
      <w:lang w:val="en-US"/>
    </w:rPr>
  </w:style>
  <w:style w:type="paragraph" w:styleId="NoSpacing">
    <w:name w:val="No Spacing"/>
    <w:link w:val="NoSpacingChar"/>
    <w:uiPriority w:val="1"/>
    <w:qFormat/>
    <w:rsid w:val="00955DCC"/>
    <w:pPr>
      <w:spacing w:after="0" w:line="240" w:lineRule="auto"/>
    </w:pPr>
    <w:rPr>
      <w:lang w:val="en-US"/>
    </w:rPr>
  </w:style>
  <w:style w:type="character" w:styleId="CommentReference">
    <w:name w:val="annotation reference"/>
    <w:basedOn w:val="DefaultParagraphFont"/>
    <w:uiPriority w:val="99"/>
    <w:semiHidden/>
    <w:unhideWhenUsed/>
    <w:rsid w:val="00955DCC"/>
    <w:rPr>
      <w:sz w:val="16"/>
      <w:szCs w:val="16"/>
    </w:rPr>
  </w:style>
  <w:style w:type="paragraph" w:styleId="CommentText">
    <w:name w:val="annotation text"/>
    <w:basedOn w:val="Normal"/>
    <w:link w:val="CommentTextChar"/>
    <w:uiPriority w:val="99"/>
    <w:semiHidden/>
    <w:unhideWhenUsed/>
    <w:rsid w:val="00955DCC"/>
    <w:pPr>
      <w:spacing w:line="240" w:lineRule="auto"/>
    </w:pPr>
    <w:rPr>
      <w:sz w:val="20"/>
      <w:szCs w:val="20"/>
    </w:rPr>
  </w:style>
  <w:style w:type="character" w:customStyle="1" w:styleId="CommentTextChar">
    <w:name w:val="Comment Text Char"/>
    <w:basedOn w:val="DefaultParagraphFont"/>
    <w:link w:val="CommentText"/>
    <w:uiPriority w:val="99"/>
    <w:semiHidden/>
    <w:rsid w:val="00955DCC"/>
    <w:rPr>
      <w:sz w:val="20"/>
      <w:szCs w:val="20"/>
      <w:lang w:val="en-US"/>
    </w:rPr>
  </w:style>
  <w:style w:type="character" w:customStyle="1" w:styleId="Heading2Char">
    <w:name w:val="Heading 2 Char"/>
    <w:basedOn w:val="DefaultParagraphFont"/>
    <w:link w:val="Heading2"/>
    <w:uiPriority w:val="9"/>
    <w:rsid w:val="000926BE"/>
    <w:rPr>
      <w:rFonts w:asciiTheme="majorHAnsi" w:eastAsiaTheme="majorEastAsia" w:hAnsiTheme="majorHAnsi" w:cstheme="majorBidi"/>
      <w:b/>
      <w:bCs/>
      <w:color w:val="4F81BD" w:themeColor="accent1"/>
      <w:sz w:val="26"/>
      <w:szCs w:val="26"/>
      <w:lang w:val="en-US"/>
    </w:rPr>
  </w:style>
  <w:style w:type="character" w:styleId="FootnoteReference">
    <w:name w:val="footnote reference"/>
    <w:aliases w:val="ftref,16 Point,Superscript 6 Point,Ref. de nota al pie.,fr, BVI fnr,BVI fnr,Footnote Reference Number,Footnote Reference_LVL6,Footnote Reference_LVL61,Footnote Reference_LVL62,Footnote Reference_LVL63,Footnote Reference_LVL64,4_G,Ref"/>
    <w:link w:val="BVIfnrZchnCharZchnCharCharCharChar"/>
    <w:uiPriority w:val="99"/>
    <w:qFormat/>
    <w:rsid w:val="00C50960"/>
    <w:rPr>
      <w:vertAlign w:val="superscript"/>
    </w:rPr>
  </w:style>
  <w:style w:type="paragraph" w:styleId="FootnoteText">
    <w:name w:val="footnote text"/>
    <w:aliases w:val="fn,Footnote Text Char1,Footnote Text Char Char,FOOTNOTES,single space,ALTS FOOTNOTE,Fodnotetekst Tegn,Footnote Text Char Char Char Char Char Char,ADB,WB-Fußnotentext,Footnote,Fußnote,WB-Fuﬂnotentext,Fuﬂnote,footnote text,Footnote Text 1,f"/>
    <w:basedOn w:val="Normal"/>
    <w:link w:val="FootnoteTextChar2"/>
    <w:uiPriority w:val="99"/>
    <w:qFormat/>
    <w:rsid w:val="00C50960"/>
    <w:pPr>
      <w:spacing w:after="120" w:line="264" w:lineRule="auto"/>
    </w:pPr>
    <w:rPr>
      <w:rFonts w:ascii="Times New Roman" w:eastAsia="SimSun" w:hAnsi="Times New Roman" w:cs="Times New Roman"/>
      <w:sz w:val="20"/>
      <w:szCs w:val="20"/>
    </w:rPr>
  </w:style>
  <w:style w:type="character" w:customStyle="1" w:styleId="FootnoteTextChar">
    <w:name w:val="Footnote Text Char"/>
    <w:aliases w:val="Footnote Text Blue Char,Footnote Text1 Char,Char Char,footnote text Char,Footnote Text Char Char Char Char,Footnote Text Char Char Char1,ft Char,Tegn1 Char1,Tegn1 Char Char, Ch Char, Char Char, Char Char Char Char, Char1 Char Char1"/>
    <w:basedOn w:val="DefaultParagraphFont"/>
    <w:uiPriority w:val="99"/>
    <w:rsid w:val="00C50960"/>
    <w:rPr>
      <w:sz w:val="20"/>
      <w:szCs w:val="20"/>
      <w:lang w:val="en-US"/>
    </w:rPr>
  </w:style>
  <w:style w:type="character" w:customStyle="1" w:styleId="FootnoteTextChar2">
    <w:name w:val="Footnote Text Char2"/>
    <w:aliases w:val="fn Char,Footnote Text Char1 Char,Footnote Text Char Char Char,FOOTNOTES Char,single space Char,ALTS FOOTNOTE Char,Fodnotetekst Tegn Char,Footnote Text Char Char Char Char Char Char Char,ADB Char,WB-Fußnotentext Char,Footnote Char"/>
    <w:link w:val="FootnoteText"/>
    <w:uiPriority w:val="8"/>
    <w:locked/>
    <w:rsid w:val="00C50960"/>
    <w:rPr>
      <w:rFonts w:ascii="Times New Roman" w:eastAsia="SimSun" w:hAnsi="Times New Roman" w:cs="Times New Roman"/>
      <w:sz w:val="20"/>
      <w:szCs w:val="20"/>
      <w:lang w:val="en-US"/>
    </w:rPr>
  </w:style>
  <w:style w:type="table" w:customStyle="1" w:styleId="GridTable4-Accent11">
    <w:name w:val="Grid Table 4 - Accent 11"/>
    <w:basedOn w:val="TableNormal"/>
    <w:uiPriority w:val="49"/>
    <w:rsid w:val="00C50960"/>
    <w:pPr>
      <w:spacing w:after="0" w:line="240" w:lineRule="auto"/>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Numbering">
    <w:name w:val="Paragraph Numbering"/>
    <w:basedOn w:val="Normal"/>
    <w:link w:val="ParagraphNumberingChar"/>
    <w:uiPriority w:val="1"/>
    <w:qFormat/>
    <w:rsid w:val="00130D09"/>
    <w:pPr>
      <w:numPr>
        <w:numId w:val="3"/>
      </w:numPr>
      <w:spacing w:after="240" w:line="264" w:lineRule="auto"/>
    </w:pPr>
    <w:rPr>
      <w:rFonts w:ascii="Times New Roman" w:eastAsia="SimSun" w:hAnsi="Times New Roman" w:cs="Times New Roman"/>
      <w:sz w:val="24"/>
      <w:szCs w:val="24"/>
    </w:rPr>
  </w:style>
  <w:style w:type="character" w:customStyle="1" w:styleId="ParagraphNumberingChar">
    <w:name w:val="Paragraph Numbering Char"/>
    <w:link w:val="ParagraphNumbering"/>
    <w:uiPriority w:val="1"/>
    <w:locked/>
    <w:rsid w:val="00130D09"/>
    <w:rPr>
      <w:rFonts w:ascii="Times New Roman" w:eastAsia="SimSun" w:hAnsi="Times New Roman" w:cs="Times New Roman"/>
      <w:sz w:val="24"/>
      <w:szCs w:val="24"/>
      <w:lang w:val="en-US"/>
    </w:rPr>
  </w:style>
  <w:style w:type="table" w:customStyle="1" w:styleId="GridTable5Dark-Accent11">
    <w:name w:val="Grid Table 5 Dark - Accent 11"/>
    <w:basedOn w:val="TableNormal"/>
    <w:uiPriority w:val="50"/>
    <w:rsid w:val="00130D09"/>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MPAHeading2">
    <w:name w:val="DeMPA Heading 2"/>
    <w:basedOn w:val="Heading2"/>
    <w:qFormat/>
    <w:rsid w:val="00130D09"/>
    <w:pPr>
      <w:spacing w:before="480" w:after="200" w:line="240" w:lineRule="auto"/>
      <w:jc w:val="both"/>
    </w:pPr>
    <w:rPr>
      <w:rFonts w:ascii="Times New Roman" w:eastAsia="Times New Roman" w:hAnsi="Times New Roman" w:cs="Times New Roman"/>
      <w:bCs w:val="0"/>
      <w:color w:val="000000"/>
      <w:sz w:val="24"/>
      <w:szCs w:val="24"/>
    </w:rPr>
  </w:style>
  <w:style w:type="character" w:customStyle="1" w:styleId="Heading3Char">
    <w:name w:val="Heading 3 Char"/>
    <w:basedOn w:val="DefaultParagraphFont"/>
    <w:link w:val="Heading3"/>
    <w:uiPriority w:val="9"/>
    <w:rsid w:val="000E2785"/>
    <w:rPr>
      <w:rFonts w:asciiTheme="majorHAnsi" w:eastAsiaTheme="majorEastAsia" w:hAnsiTheme="majorHAnsi" w:cstheme="majorBidi"/>
      <w:b/>
      <w:bCs/>
      <w:color w:val="4F81BD" w:themeColor="accent1"/>
      <w:lang w:val="en-US"/>
    </w:rPr>
  </w:style>
  <w:style w:type="paragraph" w:styleId="Header">
    <w:name w:val="header"/>
    <w:basedOn w:val="Normal"/>
    <w:link w:val="HeaderChar"/>
    <w:uiPriority w:val="99"/>
    <w:unhideWhenUsed/>
    <w:rsid w:val="00CF3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ED6"/>
    <w:rPr>
      <w:lang w:val="en-US"/>
    </w:rPr>
  </w:style>
  <w:style w:type="paragraph" w:styleId="Footer">
    <w:name w:val="footer"/>
    <w:basedOn w:val="Normal"/>
    <w:link w:val="FooterChar"/>
    <w:uiPriority w:val="99"/>
    <w:unhideWhenUsed/>
    <w:rsid w:val="00CF3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ED6"/>
    <w:rPr>
      <w:lang w:val="en-US"/>
    </w:rPr>
  </w:style>
  <w:style w:type="paragraph" w:styleId="Caption">
    <w:name w:val="caption"/>
    <w:basedOn w:val="Normal"/>
    <w:next w:val="Normal"/>
    <w:uiPriority w:val="35"/>
    <w:unhideWhenUsed/>
    <w:qFormat/>
    <w:rsid w:val="00CD7671"/>
    <w:pPr>
      <w:spacing w:line="240" w:lineRule="auto"/>
    </w:pPr>
    <w:rPr>
      <w:b/>
      <w:bCs/>
      <w:color w:val="4F81BD" w:themeColor="accent1"/>
      <w:sz w:val="18"/>
      <w:szCs w:val="18"/>
    </w:rPr>
  </w:style>
  <w:style w:type="paragraph" w:styleId="ListParagraph">
    <w:name w:val="List Paragraph"/>
    <w:basedOn w:val="Normal"/>
    <w:link w:val="ListParagraphChar"/>
    <w:uiPriority w:val="34"/>
    <w:qFormat/>
    <w:rsid w:val="0005082F"/>
    <w:pPr>
      <w:ind w:left="720"/>
      <w:contextualSpacing/>
    </w:pPr>
  </w:style>
  <w:style w:type="table" w:styleId="LightShading-Accent1">
    <w:name w:val="Light Shading Accent 1"/>
    <w:basedOn w:val="TableNormal"/>
    <w:uiPriority w:val="60"/>
    <w:rsid w:val="00544A4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link w:val="NoSpacing"/>
    <w:uiPriority w:val="1"/>
    <w:locked/>
    <w:rsid w:val="00B11AEF"/>
    <w:rPr>
      <w:lang w:val="en-US"/>
    </w:rPr>
  </w:style>
  <w:style w:type="character" w:customStyle="1" w:styleId="ListParagraphChar">
    <w:name w:val="List Paragraph Char"/>
    <w:link w:val="ListParagraph"/>
    <w:uiPriority w:val="34"/>
    <w:locked/>
    <w:rsid w:val="00B11AEF"/>
    <w:rPr>
      <w:lang w:val="en-US"/>
    </w:rPr>
  </w:style>
  <w:style w:type="character" w:styleId="FollowedHyperlink">
    <w:name w:val="FollowedHyperlink"/>
    <w:basedOn w:val="DefaultParagraphFont"/>
    <w:uiPriority w:val="99"/>
    <w:semiHidden/>
    <w:unhideWhenUsed/>
    <w:rsid w:val="004D72DC"/>
    <w:rPr>
      <w:color w:val="800080" w:themeColor="followedHyperlink"/>
      <w:u w:val="single"/>
    </w:rPr>
  </w:style>
  <w:style w:type="paragraph" w:customStyle="1" w:styleId="Default">
    <w:name w:val="Default"/>
    <w:rsid w:val="0029662A"/>
    <w:pPr>
      <w:autoSpaceDE w:val="0"/>
      <w:autoSpaceDN w:val="0"/>
      <w:adjustRightInd w:val="0"/>
      <w:spacing w:after="0" w:line="240" w:lineRule="auto"/>
    </w:pPr>
    <w:rPr>
      <w:rFonts w:ascii="Times New Roman" w:hAnsi="Times New Roman" w:cs="Times New Roman"/>
      <w:color w:val="000000"/>
      <w:sz w:val="24"/>
      <w:szCs w:val="24"/>
      <w:lang w:val="bs-Latn-BA"/>
    </w:rPr>
  </w:style>
  <w:style w:type="paragraph" w:styleId="NormalWeb">
    <w:name w:val="Normal (Web)"/>
    <w:basedOn w:val="Normal"/>
    <w:uiPriority w:val="99"/>
    <w:semiHidden/>
    <w:unhideWhenUsed/>
    <w:rsid w:val="009165E1"/>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CommentSubject">
    <w:name w:val="annotation subject"/>
    <w:basedOn w:val="CommentText"/>
    <w:next w:val="CommentText"/>
    <w:link w:val="CommentSubjectChar"/>
    <w:uiPriority w:val="99"/>
    <w:semiHidden/>
    <w:unhideWhenUsed/>
    <w:rsid w:val="007355D8"/>
    <w:rPr>
      <w:b/>
      <w:bCs/>
    </w:rPr>
  </w:style>
  <w:style w:type="character" w:customStyle="1" w:styleId="CommentSubjectChar">
    <w:name w:val="Comment Subject Char"/>
    <w:basedOn w:val="CommentTextChar"/>
    <w:link w:val="CommentSubject"/>
    <w:uiPriority w:val="99"/>
    <w:semiHidden/>
    <w:rsid w:val="007355D8"/>
    <w:rPr>
      <w:b/>
      <w:bCs/>
      <w:sz w:val="20"/>
      <w:szCs w:val="20"/>
      <w:lang w:val="en-US"/>
    </w:rPr>
  </w:style>
  <w:style w:type="paragraph" w:styleId="EndnoteText">
    <w:name w:val="endnote text"/>
    <w:basedOn w:val="Normal"/>
    <w:link w:val="EndnoteTextChar"/>
    <w:uiPriority w:val="99"/>
    <w:semiHidden/>
    <w:unhideWhenUsed/>
    <w:rsid w:val="00290B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0B34"/>
    <w:rPr>
      <w:sz w:val="20"/>
      <w:szCs w:val="20"/>
      <w:lang w:val="en-US"/>
    </w:rPr>
  </w:style>
  <w:style w:type="character" w:styleId="EndnoteReference">
    <w:name w:val="endnote reference"/>
    <w:basedOn w:val="DefaultParagraphFont"/>
    <w:uiPriority w:val="99"/>
    <w:semiHidden/>
    <w:unhideWhenUsed/>
    <w:rsid w:val="00290B34"/>
    <w:rPr>
      <w:vertAlign w:val="superscript"/>
    </w:rPr>
  </w:style>
  <w:style w:type="paragraph" w:styleId="Revision">
    <w:name w:val="Revision"/>
    <w:hidden/>
    <w:uiPriority w:val="99"/>
    <w:semiHidden/>
    <w:rsid w:val="00201322"/>
    <w:pPr>
      <w:spacing w:after="0" w:line="240" w:lineRule="auto"/>
    </w:pPr>
    <w:rPr>
      <w:lang w:val="hr-BA"/>
    </w:rPr>
  </w:style>
  <w:style w:type="table" w:styleId="GridTable4-Accent3">
    <w:name w:val="Grid Table 4 Accent 3"/>
    <w:basedOn w:val="TableNormal"/>
    <w:uiPriority w:val="49"/>
    <w:rsid w:val="00E378AE"/>
    <w:pPr>
      <w:spacing w:after="0" w:line="240" w:lineRule="auto"/>
    </w:pPr>
    <w:rPr>
      <w:lang w:val="bs-Latn-BA"/>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51">
    <w:name w:val="List Table 6 Colorful - Accent 51"/>
    <w:basedOn w:val="TableNormal"/>
    <w:uiPriority w:val="51"/>
    <w:rsid w:val="00383540"/>
    <w:pPr>
      <w:spacing w:after="0" w:line="240" w:lineRule="auto"/>
    </w:pPr>
    <w:rPr>
      <w:color w:val="31849B" w:themeColor="accent5" w:themeShade="BF"/>
      <w:lang w:val="bs-Latn-BA"/>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
    <w:name w:val="Table Grid"/>
    <w:basedOn w:val="TableNormal"/>
    <w:uiPriority w:val="59"/>
    <w:rsid w:val="00B85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35AE0"/>
    <w:rPr>
      <w:b/>
      <w:bCs/>
    </w:rPr>
  </w:style>
  <w:style w:type="paragraph" w:customStyle="1" w:styleId="BVIfnrZchnCharZchnCharCharCharChar">
    <w:name w:val="BVI fnr Zchn Char Zchn Char Char Char Char"/>
    <w:aliases w:val="BVI fnr Car Car Zchn Char Zchn Char Char Char Char,BVI fnr Car Zchn Char Zchn Char Char Char Char"/>
    <w:basedOn w:val="Normal"/>
    <w:link w:val="FootnoteReference"/>
    <w:uiPriority w:val="99"/>
    <w:rsid w:val="005B244F"/>
    <w:pPr>
      <w:spacing w:after="120" w:line="240" w:lineRule="exact"/>
    </w:pPr>
    <w:rPr>
      <w:vertAlign w:val="superscript"/>
      <w:lang w:val="en-GB"/>
    </w:rPr>
  </w:style>
  <w:style w:type="paragraph" w:styleId="IntenseQuote">
    <w:name w:val="Intense Quote"/>
    <w:basedOn w:val="Normal"/>
    <w:next w:val="Normal"/>
    <w:link w:val="IntenseQuoteChar"/>
    <w:uiPriority w:val="30"/>
    <w:qFormat/>
    <w:rsid w:val="005B244F"/>
    <w:pPr>
      <w:pBdr>
        <w:left w:val="single" w:sz="18" w:space="12" w:color="4F81BD" w:themeColor="accent1"/>
      </w:pBdr>
      <w:spacing w:before="100" w:beforeAutospacing="1" w:after="120"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B244F"/>
    <w:rPr>
      <w:rFonts w:asciiTheme="majorHAnsi" w:eastAsiaTheme="majorEastAsia" w:hAnsiTheme="majorHAnsi" w:cstheme="majorBidi"/>
      <w:color w:val="4F81BD" w:themeColor="accent1"/>
      <w:sz w:val="28"/>
      <w:szCs w:val="28"/>
      <w:lang w:val="hr-HR"/>
    </w:rPr>
  </w:style>
  <w:style w:type="character" w:styleId="IntenseReference">
    <w:name w:val="Intense Reference"/>
    <w:basedOn w:val="DefaultParagraphFont"/>
    <w:uiPriority w:val="32"/>
    <w:qFormat/>
    <w:rsid w:val="005B244F"/>
    <w:rPr>
      <w:b/>
      <w:bCs/>
      <w:smallCaps/>
      <w:spacing w:val="5"/>
      <w:u w:val="single"/>
    </w:rPr>
  </w:style>
  <w:style w:type="character" w:styleId="Emphasis">
    <w:name w:val="Emphasis"/>
    <w:basedOn w:val="DefaultParagraphFont"/>
    <w:uiPriority w:val="20"/>
    <w:rsid w:val="00066D60"/>
    <w:rPr>
      <w:i/>
      <w:iCs/>
    </w:rPr>
  </w:style>
  <w:style w:type="character" w:styleId="SubtleEmphasis">
    <w:name w:val="Subtle Emphasis"/>
    <w:basedOn w:val="DefaultParagraphFont"/>
    <w:uiPriority w:val="19"/>
    <w:qFormat/>
    <w:rsid w:val="005B200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2992">
      <w:bodyDiv w:val="1"/>
      <w:marLeft w:val="0"/>
      <w:marRight w:val="0"/>
      <w:marTop w:val="0"/>
      <w:marBottom w:val="0"/>
      <w:divBdr>
        <w:top w:val="none" w:sz="0" w:space="0" w:color="auto"/>
        <w:left w:val="none" w:sz="0" w:space="0" w:color="auto"/>
        <w:bottom w:val="none" w:sz="0" w:space="0" w:color="auto"/>
        <w:right w:val="none" w:sz="0" w:space="0" w:color="auto"/>
      </w:divBdr>
    </w:div>
    <w:div w:id="11344646">
      <w:bodyDiv w:val="1"/>
      <w:marLeft w:val="0"/>
      <w:marRight w:val="0"/>
      <w:marTop w:val="0"/>
      <w:marBottom w:val="0"/>
      <w:divBdr>
        <w:top w:val="none" w:sz="0" w:space="0" w:color="auto"/>
        <w:left w:val="none" w:sz="0" w:space="0" w:color="auto"/>
        <w:bottom w:val="none" w:sz="0" w:space="0" w:color="auto"/>
        <w:right w:val="none" w:sz="0" w:space="0" w:color="auto"/>
      </w:divBdr>
    </w:div>
    <w:div w:id="21369547">
      <w:bodyDiv w:val="1"/>
      <w:marLeft w:val="0"/>
      <w:marRight w:val="0"/>
      <w:marTop w:val="0"/>
      <w:marBottom w:val="0"/>
      <w:divBdr>
        <w:top w:val="none" w:sz="0" w:space="0" w:color="auto"/>
        <w:left w:val="none" w:sz="0" w:space="0" w:color="auto"/>
        <w:bottom w:val="none" w:sz="0" w:space="0" w:color="auto"/>
        <w:right w:val="none" w:sz="0" w:space="0" w:color="auto"/>
      </w:divBdr>
    </w:div>
    <w:div w:id="34280174">
      <w:bodyDiv w:val="1"/>
      <w:marLeft w:val="0"/>
      <w:marRight w:val="0"/>
      <w:marTop w:val="0"/>
      <w:marBottom w:val="0"/>
      <w:divBdr>
        <w:top w:val="none" w:sz="0" w:space="0" w:color="auto"/>
        <w:left w:val="none" w:sz="0" w:space="0" w:color="auto"/>
        <w:bottom w:val="none" w:sz="0" w:space="0" w:color="auto"/>
        <w:right w:val="none" w:sz="0" w:space="0" w:color="auto"/>
      </w:divBdr>
    </w:div>
    <w:div w:id="67771484">
      <w:bodyDiv w:val="1"/>
      <w:marLeft w:val="0"/>
      <w:marRight w:val="0"/>
      <w:marTop w:val="0"/>
      <w:marBottom w:val="0"/>
      <w:divBdr>
        <w:top w:val="none" w:sz="0" w:space="0" w:color="auto"/>
        <w:left w:val="none" w:sz="0" w:space="0" w:color="auto"/>
        <w:bottom w:val="none" w:sz="0" w:space="0" w:color="auto"/>
        <w:right w:val="none" w:sz="0" w:space="0" w:color="auto"/>
      </w:divBdr>
    </w:div>
    <w:div w:id="76446129">
      <w:bodyDiv w:val="1"/>
      <w:marLeft w:val="0"/>
      <w:marRight w:val="0"/>
      <w:marTop w:val="0"/>
      <w:marBottom w:val="0"/>
      <w:divBdr>
        <w:top w:val="none" w:sz="0" w:space="0" w:color="auto"/>
        <w:left w:val="none" w:sz="0" w:space="0" w:color="auto"/>
        <w:bottom w:val="none" w:sz="0" w:space="0" w:color="auto"/>
        <w:right w:val="none" w:sz="0" w:space="0" w:color="auto"/>
      </w:divBdr>
    </w:div>
    <w:div w:id="131795165">
      <w:bodyDiv w:val="1"/>
      <w:marLeft w:val="0"/>
      <w:marRight w:val="0"/>
      <w:marTop w:val="0"/>
      <w:marBottom w:val="0"/>
      <w:divBdr>
        <w:top w:val="none" w:sz="0" w:space="0" w:color="auto"/>
        <w:left w:val="none" w:sz="0" w:space="0" w:color="auto"/>
        <w:bottom w:val="none" w:sz="0" w:space="0" w:color="auto"/>
        <w:right w:val="none" w:sz="0" w:space="0" w:color="auto"/>
      </w:divBdr>
    </w:div>
    <w:div w:id="245115257">
      <w:bodyDiv w:val="1"/>
      <w:marLeft w:val="0"/>
      <w:marRight w:val="0"/>
      <w:marTop w:val="0"/>
      <w:marBottom w:val="0"/>
      <w:divBdr>
        <w:top w:val="none" w:sz="0" w:space="0" w:color="auto"/>
        <w:left w:val="none" w:sz="0" w:space="0" w:color="auto"/>
        <w:bottom w:val="none" w:sz="0" w:space="0" w:color="auto"/>
        <w:right w:val="none" w:sz="0" w:space="0" w:color="auto"/>
      </w:divBdr>
    </w:div>
    <w:div w:id="270401607">
      <w:bodyDiv w:val="1"/>
      <w:marLeft w:val="0"/>
      <w:marRight w:val="0"/>
      <w:marTop w:val="0"/>
      <w:marBottom w:val="0"/>
      <w:divBdr>
        <w:top w:val="none" w:sz="0" w:space="0" w:color="auto"/>
        <w:left w:val="none" w:sz="0" w:space="0" w:color="auto"/>
        <w:bottom w:val="none" w:sz="0" w:space="0" w:color="auto"/>
        <w:right w:val="none" w:sz="0" w:space="0" w:color="auto"/>
      </w:divBdr>
    </w:div>
    <w:div w:id="316226472">
      <w:bodyDiv w:val="1"/>
      <w:marLeft w:val="0"/>
      <w:marRight w:val="0"/>
      <w:marTop w:val="0"/>
      <w:marBottom w:val="0"/>
      <w:divBdr>
        <w:top w:val="none" w:sz="0" w:space="0" w:color="auto"/>
        <w:left w:val="none" w:sz="0" w:space="0" w:color="auto"/>
        <w:bottom w:val="none" w:sz="0" w:space="0" w:color="auto"/>
        <w:right w:val="none" w:sz="0" w:space="0" w:color="auto"/>
      </w:divBdr>
    </w:div>
    <w:div w:id="344211528">
      <w:bodyDiv w:val="1"/>
      <w:marLeft w:val="0"/>
      <w:marRight w:val="0"/>
      <w:marTop w:val="0"/>
      <w:marBottom w:val="0"/>
      <w:divBdr>
        <w:top w:val="none" w:sz="0" w:space="0" w:color="auto"/>
        <w:left w:val="none" w:sz="0" w:space="0" w:color="auto"/>
        <w:bottom w:val="none" w:sz="0" w:space="0" w:color="auto"/>
        <w:right w:val="none" w:sz="0" w:space="0" w:color="auto"/>
      </w:divBdr>
    </w:div>
    <w:div w:id="372660108">
      <w:bodyDiv w:val="1"/>
      <w:marLeft w:val="0"/>
      <w:marRight w:val="0"/>
      <w:marTop w:val="0"/>
      <w:marBottom w:val="0"/>
      <w:divBdr>
        <w:top w:val="none" w:sz="0" w:space="0" w:color="auto"/>
        <w:left w:val="none" w:sz="0" w:space="0" w:color="auto"/>
        <w:bottom w:val="none" w:sz="0" w:space="0" w:color="auto"/>
        <w:right w:val="none" w:sz="0" w:space="0" w:color="auto"/>
      </w:divBdr>
    </w:div>
    <w:div w:id="396637243">
      <w:bodyDiv w:val="1"/>
      <w:marLeft w:val="0"/>
      <w:marRight w:val="0"/>
      <w:marTop w:val="0"/>
      <w:marBottom w:val="0"/>
      <w:divBdr>
        <w:top w:val="none" w:sz="0" w:space="0" w:color="auto"/>
        <w:left w:val="none" w:sz="0" w:space="0" w:color="auto"/>
        <w:bottom w:val="none" w:sz="0" w:space="0" w:color="auto"/>
        <w:right w:val="none" w:sz="0" w:space="0" w:color="auto"/>
      </w:divBdr>
    </w:div>
    <w:div w:id="399670705">
      <w:bodyDiv w:val="1"/>
      <w:marLeft w:val="0"/>
      <w:marRight w:val="0"/>
      <w:marTop w:val="0"/>
      <w:marBottom w:val="0"/>
      <w:divBdr>
        <w:top w:val="none" w:sz="0" w:space="0" w:color="auto"/>
        <w:left w:val="none" w:sz="0" w:space="0" w:color="auto"/>
        <w:bottom w:val="none" w:sz="0" w:space="0" w:color="auto"/>
        <w:right w:val="none" w:sz="0" w:space="0" w:color="auto"/>
      </w:divBdr>
    </w:div>
    <w:div w:id="402140984">
      <w:bodyDiv w:val="1"/>
      <w:marLeft w:val="0"/>
      <w:marRight w:val="0"/>
      <w:marTop w:val="0"/>
      <w:marBottom w:val="0"/>
      <w:divBdr>
        <w:top w:val="none" w:sz="0" w:space="0" w:color="auto"/>
        <w:left w:val="none" w:sz="0" w:space="0" w:color="auto"/>
        <w:bottom w:val="none" w:sz="0" w:space="0" w:color="auto"/>
        <w:right w:val="none" w:sz="0" w:space="0" w:color="auto"/>
      </w:divBdr>
    </w:div>
    <w:div w:id="458645557">
      <w:bodyDiv w:val="1"/>
      <w:marLeft w:val="0"/>
      <w:marRight w:val="0"/>
      <w:marTop w:val="0"/>
      <w:marBottom w:val="0"/>
      <w:divBdr>
        <w:top w:val="none" w:sz="0" w:space="0" w:color="auto"/>
        <w:left w:val="none" w:sz="0" w:space="0" w:color="auto"/>
        <w:bottom w:val="none" w:sz="0" w:space="0" w:color="auto"/>
        <w:right w:val="none" w:sz="0" w:space="0" w:color="auto"/>
      </w:divBdr>
    </w:div>
    <w:div w:id="475297054">
      <w:bodyDiv w:val="1"/>
      <w:marLeft w:val="0"/>
      <w:marRight w:val="0"/>
      <w:marTop w:val="0"/>
      <w:marBottom w:val="0"/>
      <w:divBdr>
        <w:top w:val="none" w:sz="0" w:space="0" w:color="auto"/>
        <w:left w:val="none" w:sz="0" w:space="0" w:color="auto"/>
        <w:bottom w:val="none" w:sz="0" w:space="0" w:color="auto"/>
        <w:right w:val="none" w:sz="0" w:space="0" w:color="auto"/>
      </w:divBdr>
    </w:div>
    <w:div w:id="480006019">
      <w:bodyDiv w:val="1"/>
      <w:marLeft w:val="0"/>
      <w:marRight w:val="0"/>
      <w:marTop w:val="0"/>
      <w:marBottom w:val="0"/>
      <w:divBdr>
        <w:top w:val="none" w:sz="0" w:space="0" w:color="auto"/>
        <w:left w:val="none" w:sz="0" w:space="0" w:color="auto"/>
        <w:bottom w:val="none" w:sz="0" w:space="0" w:color="auto"/>
        <w:right w:val="none" w:sz="0" w:space="0" w:color="auto"/>
      </w:divBdr>
    </w:div>
    <w:div w:id="494999477">
      <w:bodyDiv w:val="1"/>
      <w:marLeft w:val="0"/>
      <w:marRight w:val="0"/>
      <w:marTop w:val="0"/>
      <w:marBottom w:val="0"/>
      <w:divBdr>
        <w:top w:val="none" w:sz="0" w:space="0" w:color="auto"/>
        <w:left w:val="none" w:sz="0" w:space="0" w:color="auto"/>
        <w:bottom w:val="none" w:sz="0" w:space="0" w:color="auto"/>
        <w:right w:val="none" w:sz="0" w:space="0" w:color="auto"/>
      </w:divBdr>
    </w:div>
    <w:div w:id="496069124">
      <w:bodyDiv w:val="1"/>
      <w:marLeft w:val="0"/>
      <w:marRight w:val="0"/>
      <w:marTop w:val="0"/>
      <w:marBottom w:val="0"/>
      <w:divBdr>
        <w:top w:val="none" w:sz="0" w:space="0" w:color="auto"/>
        <w:left w:val="none" w:sz="0" w:space="0" w:color="auto"/>
        <w:bottom w:val="none" w:sz="0" w:space="0" w:color="auto"/>
        <w:right w:val="none" w:sz="0" w:space="0" w:color="auto"/>
      </w:divBdr>
    </w:div>
    <w:div w:id="522940851">
      <w:bodyDiv w:val="1"/>
      <w:marLeft w:val="0"/>
      <w:marRight w:val="0"/>
      <w:marTop w:val="0"/>
      <w:marBottom w:val="0"/>
      <w:divBdr>
        <w:top w:val="none" w:sz="0" w:space="0" w:color="auto"/>
        <w:left w:val="none" w:sz="0" w:space="0" w:color="auto"/>
        <w:bottom w:val="none" w:sz="0" w:space="0" w:color="auto"/>
        <w:right w:val="none" w:sz="0" w:space="0" w:color="auto"/>
      </w:divBdr>
    </w:div>
    <w:div w:id="531461603">
      <w:bodyDiv w:val="1"/>
      <w:marLeft w:val="0"/>
      <w:marRight w:val="0"/>
      <w:marTop w:val="0"/>
      <w:marBottom w:val="0"/>
      <w:divBdr>
        <w:top w:val="none" w:sz="0" w:space="0" w:color="auto"/>
        <w:left w:val="none" w:sz="0" w:space="0" w:color="auto"/>
        <w:bottom w:val="none" w:sz="0" w:space="0" w:color="auto"/>
        <w:right w:val="none" w:sz="0" w:space="0" w:color="auto"/>
      </w:divBdr>
    </w:div>
    <w:div w:id="534737486">
      <w:bodyDiv w:val="1"/>
      <w:marLeft w:val="0"/>
      <w:marRight w:val="0"/>
      <w:marTop w:val="0"/>
      <w:marBottom w:val="0"/>
      <w:divBdr>
        <w:top w:val="none" w:sz="0" w:space="0" w:color="auto"/>
        <w:left w:val="none" w:sz="0" w:space="0" w:color="auto"/>
        <w:bottom w:val="none" w:sz="0" w:space="0" w:color="auto"/>
        <w:right w:val="none" w:sz="0" w:space="0" w:color="auto"/>
      </w:divBdr>
    </w:div>
    <w:div w:id="591856632">
      <w:bodyDiv w:val="1"/>
      <w:marLeft w:val="0"/>
      <w:marRight w:val="0"/>
      <w:marTop w:val="0"/>
      <w:marBottom w:val="0"/>
      <w:divBdr>
        <w:top w:val="none" w:sz="0" w:space="0" w:color="auto"/>
        <w:left w:val="none" w:sz="0" w:space="0" w:color="auto"/>
        <w:bottom w:val="none" w:sz="0" w:space="0" w:color="auto"/>
        <w:right w:val="none" w:sz="0" w:space="0" w:color="auto"/>
      </w:divBdr>
    </w:div>
    <w:div w:id="631450149">
      <w:bodyDiv w:val="1"/>
      <w:marLeft w:val="0"/>
      <w:marRight w:val="0"/>
      <w:marTop w:val="0"/>
      <w:marBottom w:val="0"/>
      <w:divBdr>
        <w:top w:val="none" w:sz="0" w:space="0" w:color="auto"/>
        <w:left w:val="none" w:sz="0" w:space="0" w:color="auto"/>
        <w:bottom w:val="none" w:sz="0" w:space="0" w:color="auto"/>
        <w:right w:val="none" w:sz="0" w:space="0" w:color="auto"/>
      </w:divBdr>
    </w:div>
    <w:div w:id="632444836">
      <w:bodyDiv w:val="1"/>
      <w:marLeft w:val="0"/>
      <w:marRight w:val="0"/>
      <w:marTop w:val="0"/>
      <w:marBottom w:val="0"/>
      <w:divBdr>
        <w:top w:val="none" w:sz="0" w:space="0" w:color="auto"/>
        <w:left w:val="none" w:sz="0" w:space="0" w:color="auto"/>
        <w:bottom w:val="none" w:sz="0" w:space="0" w:color="auto"/>
        <w:right w:val="none" w:sz="0" w:space="0" w:color="auto"/>
      </w:divBdr>
    </w:div>
    <w:div w:id="651494369">
      <w:bodyDiv w:val="1"/>
      <w:marLeft w:val="0"/>
      <w:marRight w:val="0"/>
      <w:marTop w:val="0"/>
      <w:marBottom w:val="0"/>
      <w:divBdr>
        <w:top w:val="none" w:sz="0" w:space="0" w:color="auto"/>
        <w:left w:val="none" w:sz="0" w:space="0" w:color="auto"/>
        <w:bottom w:val="none" w:sz="0" w:space="0" w:color="auto"/>
        <w:right w:val="none" w:sz="0" w:space="0" w:color="auto"/>
      </w:divBdr>
    </w:div>
    <w:div w:id="653530252">
      <w:bodyDiv w:val="1"/>
      <w:marLeft w:val="0"/>
      <w:marRight w:val="0"/>
      <w:marTop w:val="0"/>
      <w:marBottom w:val="0"/>
      <w:divBdr>
        <w:top w:val="none" w:sz="0" w:space="0" w:color="auto"/>
        <w:left w:val="none" w:sz="0" w:space="0" w:color="auto"/>
        <w:bottom w:val="none" w:sz="0" w:space="0" w:color="auto"/>
        <w:right w:val="none" w:sz="0" w:space="0" w:color="auto"/>
      </w:divBdr>
    </w:div>
    <w:div w:id="666906875">
      <w:bodyDiv w:val="1"/>
      <w:marLeft w:val="0"/>
      <w:marRight w:val="0"/>
      <w:marTop w:val="0"/>
      <w:marBottom w:val="0"/>
      <w:divBdr>
        <w:top w:val="none" w:sz="0" w:space="0" w:color="auto"/>
        <w:left w:val="none" w:sz="0" w:space="0" w:color="auto"/>
        <w:bottom w:val="none" w:sz="0" w:space="0" w:color="auto"/>
        <w:right w:val="none" w:sz="0" w:space="0" w:color="auto"/>
      </w:divBdr>
    </w:div>
    <w:div w:id="710153975">
      <w:bodyDiv w:val="1"/>
      <w:marLeft w:val="0"/>
      <w:marRight w:val="0"/>
      <w:marTop w:val="0"/>
      <w:marBottom w:val="0"/>
      <w:divBdr>
        <w:top w:val="none" w:sz="0" w:space="0" w:color="auto"/>
        <w:left w:val="none" w:sz="0" w:space="0" w:color="auto"/>
        <w:bottom w:val="none" w:sz="0" w:space="0" w:color="auto"/>
        <w:right w:val="none" w:sz="0" w:space="0" w:color="auto"/>
      </w:divBdr>
    </w:div>
    <w:div w:id="733507963">
      <w:bodyDiv w:val="1"/>
      <w:marLeft w:val="0"/>
      <w:marRight w:val="0"/>
      <w:marTop w:val="0"/>
      <w:marBottom w:val="0"/>
      <w:divBdr>
        <w:top w:val="none" w:sz="0" w:space="0" w:color="auto"/>
        <w:left w:val="none" w:sz="0" w:space="0" w:color="auto"/>
        <w:bottom w:val="none" w:sz="0" w:space="0" w:color="auto"/>
        <w:right w:val="none" w:sz="0" w:space="0" w:color="auto"/>
      </w:divBdr>
    </w:div>
    <w:div w:id="770123657">
      <w:bodyDiv w:val="1"/>
      <w:marLeft w:val="0"/>
      <w:marRight w:val="0"/>
      <w:marTop w:val="0"/>
      <w:marBottom w:val="0"/>
      <w:divBdr>
        <w:top w:val="none" w:sz="0" w:space="0" w:color="auto"/>
        <w:left w:val="none" w:sz="0" w:space="0" w:color="auto"/>
        <w:bottom w:val="none" w:sz="0" w:space="0" w:color="auto"/>
        <w:right w:val="none" w:sz="0" w:space="0" w:color="auto"/>
      </w:divBdr>
    </w:div>
    <w:div w:id="788934585">
      <w:bodyDiv w:val="1"/>
      <w:marLeft w:val="0"/>
      <w:marRight w:val="0"/>
      <w:marTop w:val="0"/>
      <w:marBottom w:val="0"/>
      <w:divBdr>
        <w:top w:val="none" w:sz="0" w:space="0" w:color="auto"/>
        <w:left w:val="none" w:sz="0" w:space="0" w:color="auto"/>
        <w:bottom w:val="none" w:sz="0" w:space="0" w:color="auto"/>
        <w:right w:val="none" w:sz="0" w:space="0" w:color="auto"/>
      </w:divBdr>
    </w:div>
    <w:div w:id="828375047">
      <w:bodyDiv w:val="1"/>
      <w:marLeft w:val="0"/>
      <w:marRight w:val="0"/>
      <w:marTop w:val="0"/>
      <w:marBottom w:val="0"/>
      <w:divBdr>
        <w:top w:val="none" w:sz="0" w:space="0" w:color="auto"/>
        <w:left w:val="none" w:sz="0" w:space="0" w:color="auto"/>
        <w:bottom w:val="none" w:sz="0" w:space="0" w:color="auto"/>
        <w:right w:val="none" w:sz="0" w:space="0" w:color="auto"/>
      </w:divBdr>
    </w:div>
    <w:div w:id="840855906">
      <w:bodyDiv w:val="1"/>
      <w:marLeft w:val="0"/>
      <w:marRight w:val="0"/>
      <w:marTop w:val="0"/>
      <w:marBottom w:val="0"/>
      <w:divBdr>
        <w:top w:val="none" w:sz="0" w:space="0" w:color="auto"/>
        <w:left w:val="none" w:sz="0" w:space="0" w:color="auto"/>
        <w:bottom w:val="none" w:sz="0" w:space="0" w:color="auto"/>
        <w:right w:val="none" w:sz="0" w:space="0" w:color="auto"/>
      </w:divBdr>
    </w:div>
    <w:div w:id="872501056">
      <w:bodyDiv w:val="1"/>
      <w:marLeft w:val="0"/>
      <w:marRight w:val="0"/>
      <w:marTop w:val="0"/>
      <w:marBottom w:val="0"/>
      <w:divBdr>
        <w:top w:val="none" w:sz="0" w:space="0" w:color="auto"/>
        <w:left w:val="none" w:sz="0" w:space="0" w:color="auto"/>
        <w:bottom w:val="none" w:sz="0" w:space="0" w:color="auto"/>
        <w:right w:val="none" w:sz="0" w:space="0" w:color="auto"/>
      </w:divBdr>
    </w:div>
    <w:div w:id="939069986">
      <w:bodyDiv w:val="1"/>
      <w:marLeft w:val="0"/>
      <w:marRight w:val="0"/>
      <w:marTop w:val="0"/>
      <w:marBottom w:val="0"/>
      <w:divBdr>
        <w:top w:val="none" w:sz="0" w:space="0" w:color="auto"/>
        <w:left w:val="none" w:sz="0" w:space="0" w:color="auto"/>
        <w:bottom w:val="none" w:sz="0" w:space="0" w:color="auto"/>
        <w:right w:val="none" w:sz="0" w:space="0" w:color="auto"/>
      </w:divBdr>
    </w:div>
    <w:div w:id="949163242">
      <w:bodyDiv w:val="1"/>
      <w:marLeft w:val="0"/>
      <w:marRight w:val="0"/>
      <w:marTop w:val="0"/>
      <w:marBottom w:val="0"/>
      <w:divBdr>
        <w:top w:val="none" w:sz="0" w:space="0" w:color="auto"/>
        <w:left w:val="none" w:sz="0" w:space="0" w:color="auto"/>
        <w:bottom w:val="none" w:sz="0" w:space="0" w:color="auto"/>
        <w:right w:val="none" w:sz="0" w:space="0" w:color="auto"/>
      </w:divBdr>
    </w:div>
    <w:div w:id="949505703">
      <w:bodyDiv w:val="1"/>
      <w:marLeft w:val="0"/>
      <w:marRight w:val="0"/>
      <w:marTop w:val="0"/>
      <w:marBottom w:val="0"/>
      <w:divBdr>
        <w:top w:val="none" w:sz="0" w:space="0" w:color="auto"/>
        <w:left w:val="none" w:sz="0" w:space="0" w:color="auto"/>
        <w:bottom w:val="none" w:sz="0" w:space="0" w:color="auto"/>
        <w:right w:val="none" w:sz="0" w:space="0" w:color="auto"/>
      </w:divBdr>
    </w:div>
    <w:div w:id="1060396800">
      <w:bodyDiv w:val="1"/>
      <w:marLeft w:val="0"/>
      <w:marRight w:val="0"/>
      <w:marTop w:val="0"/>
      <w:marBottom w:val="0"/>
      <w:divBdr>
        <w:top w:val="none" w:sz="0" w:space="0" w:color="auto"/>
        <w:left w:val="none" w:sz="0" w:space="0" w:color="auto"/>
        <w:bottom w:val="none" w:sz="0" w:space="0" w:color="auto"/>
        <w:right w:val="none" w:sz="0" w:space="0" w:color="auto"/>
      </w:divBdr>
      <w:divsChild>
        <w:div w:id="35351343">
          <w:marLeft w:val="0"/>
          <w:marRight w:val="0"/>
          <w:marTop w:val="0"/>
          <w:marBottom w:val="0"/>
          <w:divBdr>
            <w:top w:val="none" w:sz="0" w:space="0" w:color="auto"/>
            <w:left w:val="none" w:sz="0" w:space="0" w:color="auto"/>
            <w:bottom w:val="none" w:sz="0" w:space="0" w:color="auto"/>
            <w:right w:val="none" w:sz="0" w:space="0" w:color="auto"/>
          </w:divBdr>
        </w:div>
        <w:div w:id="561058296">
          <w:marLeft w:val="0"/>
          <w:marRight w:val="0"/>
          <w:marTop w:val="0"/>
          <w:marBottom w:val="0"/>
          <w:divBdr>
            <w:top w:val="none" w:sz="0" w:space="0" w:color="auto"/>
            <w:left w:val="none" w:sz="0" w:space="0" w:color="auto"/>
            <w:bottom w:val="none" w:sz="0" w:space="0" w:color="auto"/>
            <w:right w:val="none" w:sz="0" w:space="0" w:color="auto"/>
          </w:divBdr>
        </w:div>
        <w:div w:id="1817837576">
          <w:marLeft w:val="0"/>
          <w:marRight w:val="0"/>
          <w:marTop w:val="0"/>
          <w:marBottom w:val="0"/>
          <w:divBdr>
            <w:top w:val="none" w:sz="0" w:space="0" w:color="auto"/>
            <w:left w:val="none" w:sz="0" w:space="0" w:color="auto"/>
            <w:bottom w:val="none" w:sz="0" w:space="0" w:color="auto"/>
            <w:right w:val="none" w:sz="0" w:space="0" w:color="auto"/>
          </w:divBdr>
        </w:div>
        <w:div w:id="1241253731">
          <w:marLeft w:val="0"/>
          <w:marRight w:val="0"/>
          <w:marTop w:val="0"/>
          <w:marBottom w:val="0"/>
          <w:divBdr>
            <w:top w:val="none" w:sz="0" w:space="0" w:color="auto"/>
            <w:left w:val="none" w:sz="0" w:space="0" w:color="auto"/>
            <w:bottom w:val="none" w:sz="0" w:space="0" w:color="auto"/>
            <w:right w:val="none" w:sz="0" w:space="0" w:color="auto"/>
          </w:divBdr>
        </w:div>
        <w:div w:id="1816682917">
          <w:marLeft w:val="0"/>
          <w:marRight w:val="0"/>
          <w:marTop w:val="0"/>
          <w:marBottom w:val="0"/>
          <w:divBdr>
            <w:top w:val="none" w:sz="0" w:space="0" w:color="auto"/>
            <w:left w:val="none" w:sz="0" w:space="0" w:color="auto"/>
            <w:bottom w:val="none" w:sz="0" w:space="0" w:color="auto"/>
            <w:right w:val="none" w:sz="0" w:space="0" w:color="auto"/>
          </w:divBdr>
        </w:div>
        <w:div w:id="477459929">
          <w:marLeft w:val="0"/>
          <w:marRight w:val="0"/>
          <w:marTop w:val="0"/>
          <w:marBottom w:val="0"/>
          <w:divBdr>
            <w:top w:val="none" w:sz="0" w:space="0" w:color="auto"/>
            <w:left w:val="none" w:sz="0" w:space="0" w:color="auto"/>
            <w:bottom w:val="none" w:sz="0" w:space="0" w:color="auto"/>
            <w:right w:val="none" w:sz="0" w:space="0" w:color="auto"/>
          </w:divBdr>
        </w:div>
        <w:div w:id="518617812">
          <w:marLeft w:val="0"/>
          <w:marRight w:val="0"/>
          <w:marTop w:val="0"/>
          <w:marBottom w:val="0"/>
          <w:divBdr>
            <w:top w:val="none" w:sz="0" w:space="0" w:color="auto"/>
            <w:left w:val="none" w:sz="0" w:space="0" w:color="auto"/>
            <w:bottom w:val="none" w:sz="0" w:space="0" w:color="auto"/>
            <w:right w:val="none" w:sz="0" w:space="0" w:color="auto"/>
          </w:divBdr>
        </w:div>
        <w:div w:id="1039430714">
          <w:marLeft w:val="0"/>
          <w:marRight w:val="0"/>
          <w:marTop w:val="0"/>
          <w:marBottom w:val="0"/>
          <w:divBdr>
            <w:top w:val="none" w:sz="0" w:space="0" w:color="auto"/>
            <w:left w:val="none" w:sz="0" w:space="0" w:color="auto"/>
            <w:bottom w:val="none" w:sz="0" w:space="0" w:color="auto"/>
            <w:right w:val="none" w:sz="0" w:space="0" w:color="auto"/>
          </w:divBdr>
        </w:div>
        <w:div w:id="290474810">
          <w:marLeft w:val="0"/>
          <w:marRight w:val="0"/>
          <w:marTop w:val="0"/>
          <w:marBottom w:val="0"/>
          <w:divBdr>
            <w:top w:val="none" w:sz="0" w:space="0" w:color="auto"/>
            <w:left w:val="none" w:sz="0" w:space="0" w:color="auto"/>
            <w:bottom w:val="none" w:sz="0" w:space="0" w:color="auto"/>
            <w:right w:val="none" w:sz="0" w:space="0" w:color="auto"/>
          </w:divBdr>
        </w:div>
        <w:div w:id="303198023">
          <w:marLeft w:val="0"/>
          <w:marRight w:val="0"/>
          <w:marTop w:val="0"/>
          <w:marBottom w:val="0"/>
          <w:divBdr>
            <w:top w:val="none" w:sz="0" w:space="0" w:color="auto"/>
            <w:left w:val="none" w:sz="0" w:space="0" w:color="auto"/>
            <w:bottom w:val="none" w:sz="0" w:space="0" w:color="auto"/>
            <w:right w:val="none" w:sz="0" w:space="0" w:color="auto"/>
          </w:divBdr>
        </w:div>
        <w:div w:id="380784059">
          <w:marLeft w:val="0"/>
          <w:marRight w:val="0"/>
          <w:marTop w:val="0"/>
          <w:marBottom w:val="0"/>
          <w:divBdr>
            <w:top w:val="none" w:sz="0" w:space="0" w:color="auto"/>
            <w:left w:val="none" w:sz="0" w:space="0" w:color="auto"/>
            <w:bottom w:val="none" w:sz="0" w:space="0" w:color="auto"/>
            <w:right w:val="none" w:sz="0" w:space="0" w:color="auto"/>
          </w:divBdr>
        </w:div>
        <w:div w:id="719748905">
          <w:marLeft w:val="0"/>
          <w:marRight w:val="0"/>
          <w:marTop w:val="0"/>
          <w:marBottom w:val="0"/>
          <w:divBdr>
            <w:top w:val="none" w:sz="0" w:space="0" w:color="auto"/>
            <w:left w:val="none" w:sz="0" w:space="0" w:color="auto"/>
            <w:bottom w:val="none" w:sz="0" w:space="0" w:color="auto"/>
            <w:right w:val="none" w:sz="0" w:space="0" w:color="auto"/>
          </w:divBdr>
        </w:div>
        <w:div w:id="3939034">
          <w:marLeft w:val="0"/>
          <w:marRight w:val="0"/>
          <w:marTop w:val="0"/>
          <w:marBottom w:val="0"/>
          <w:divBdr>
            <w:top w:val="none" w:sz="0" w:space="0" w:color="auto"/>
            <w:left w:val="none" w:sz="0" w:space="0" w:color="auto"/>
            <w:bottom w:val="none" w:sz="0" w:space="0" w:color="auto"/>
            <w:right w:val="none" w:sz="0" w:space="0" w:color="auto"/>
          </w:divBdr>
        </w:div>
        <w:div w:id="547764147">
          <w:marLeft w:val="0"/>
          <w:marRight w:val="0"/>
          <w:marTop w:val="0"/>
          <w:marBottom w:val="0"/>
          <w:divBdr>
            <w:top w:val="none" w:sz="0" w:space="0" w:color="auto"/>
            <w:left w:val="none" w:sz="0" w:space="0" w:color="auto"/>
            <w:bottom w:val="none" w:sz="0" w:space="0" w:color="auto"/>
            <w:right w:val="none" w:sz="0" w:space="0" w:color="auto"/>
          </w:divBdr>
        </w:div>
        <w:div w:id="1927959390">
          <w:marLeft w:val="0"/>
          <w:marRight w:val="0"/>
          <w:marTop w:val="0"/>
          <w:marBottom w:val="0"/>
          <w:divBdr>
            <w:top w:val="none" w:sz="0" w:space="0" w:color="auto"/>
            <w:left w:val="none" w:sz="0" w:space="0" w:color="auto"/>
            <w:bottom w:val="none" w:sz="0" w:space="0" w:color="auto"/>
            <w:right w:val="none" w:sz="0" w:space="0" w:color="auto"/>
          </w:divBdr>
        </w:div>
        <w:div w:id="1269503046">
          <w:marLeft w:val="0"/>
          <w:marRight w:val="0"/>
          <w:marTop w:val="0"/>
          <w:marBottom w:val="0"/>
          <w:divBdr>
            <w:top w:val="none" w:sz="0" w:space="0" w:color="auto"/>
            <w:left w:val="none" w:sz="0" w:space="0" w:color="auto"/>
            <w:bottom w:val="none" w:sz="0" w:space="0" w:color="auto"/>
            <w:right w:val="none" w:sz="0" w:space="0" w:color="auto"/>
          </w:divBdr>
        </w:div>
        <w:div w:id="1507473465">
          <w:marLeft w:val="0"/>
          <w:marRight w:val="0"/>
          <w:marTop w:val="0"/>
          <w:marBottom w:val="0"/>
          <w:divBdr>
            <w:top w:val="none" w:sz="0" w:space="0" w:color="auto"/>
            <w:left w:val="none" w:sz="0" w:space="0" w:color="auto"/>
            <w:bottom w:val="none" w:sz="0" w:space="0" w:color="auto"/>
            <w:right w:val="none" w:sz="0" w:space="0" w:color="auto"/>
          </w:divBdr>
        </w:div>
        <w:div w:id="61491729">
          <w:marLeft w:val="0"/>
          <w:marRight w:val="0"/>
          <w:marTop w:val="0"/>
          <w:marBottom w:val="0"/>
          <w:divBdr>
            <w:top w:val="none" w:sz="0" w:space="0" w:color="auto"/>
            <w:left w:val="none" w:sz="0" w:space="0" w:color="auto"/>
            <w:bottom w:val="none" w:sz="0" w:space="0" w:color="auto"/>
            <w:right w:val="none" w:sz="0" w:space="0" w:color="auto"/>
          </w:divBdr>
        </w:div>
        <w:div w:id="506557706">
          <w:marLeft w:val="0"/>
          <w:marRight w:val="0"/>
          <w:marTop w:val="0"/>
          <w:marBottom w:val="0"/>
          <w:divBdr>
            <w:top w:val="none" w:sz="0" w:space="0" w:color="auto"/>
            <w:left w:val="none" w:sz="0" w:space="0" w:color="auto"/>
            <w:bottom w:val="none" w:sz="0" w:space="0" w:color="auto"/>
            <w:right w:val="none" w:sz="0" w:space="0" w:color="auto"/>
          </w:divBdr>
        </w:div>
        <w:div w:id="900601601">
          <w:marLeft w:val="0"/>
          <w:marRight w:val="0"/>
          <w:marTop w:val="0"/>
          <w:marBottom w:val="0"/>
          <w:divBdr>
            <w:top w:val="none" w:sz="0" w:space="0" w:color="auto"/>
            <w:left w:val="none" w:sz="0" w:space="0" w:color="auto"/>
            <w:bottom w:val="none" w:sz="0" w:space="0" w:color="auto"/>
            <w:right w:val="none" w:sz="0" w:space="0" w:color="auto"/>
          </w:divBdr>
        </w:div>
        <w:div w:id="364911158">
          <w:marLeft w:val="0"/>
          <w:marRight w:val="0"/>
          <w:marTop w:val="0"/>
          <w:marBottom w:val="0"/>
          <w:divBdr>
            <w:top w:val="none" w:sz="0" w:space="0" w:color="auto"/>
            <w:left w:val="none" w:sz="0" w:space="0" w:color="auto"/>
            <w:bottom w:val="none" w:sz="0" w:space="0" w:color="auto"/>
            <w:right w:val="none" w:sz="0" w:space="0" w:color="auto"/>
          </w:divBdr>
        </w:div>
        <w:div w:id="414136580">
          <w:marLeft w:val="0"/>
          <w:marRight w:val="0"/>
          <w:marTop w:val="0"/>
          <w:marBottom w:val="0"/>
          <w:divBdr>
            <w:top w:val="none" w:sz="0" w:space="0" w:color="auto"/>
            <w:left w:val="none" w:sz="0" w:space="0" w:color="auto"/>
            <w:bottom w:val="none" w:sz="0" w:space="0" w:color="auto"/>
            <w:right w:val="none" w:sz="0" w:space="0" w:color="auto"/>
          </w:divBdr>
        </w:div>
        <w:div w:id="1991592699">
          <w:marLeft w:val="0"/>
          <w:marRight w:val="0"/>
          <w:marTop w:val="0"/>
          <w:marBottom w:val="0"/>
          <w:divBdr>
            <w:top w:val="none" w:sz="0" w:space="0" w:color="auto"/>
            <w:left w:val="none" w:sz="0" w:space="0" w:color="auto"/>
            <w:bottom w:val="none" w:sz="0" w:space="0" w:color="auto"/>
            <w:right w:val="none" w:sz="0" w:space="0" w:color="auto"/>
          </w:divBdr>
        </w:div>
        <w:div w:id="193226351">
          <w:marLeft w:val="0"/>
          <w:marRight w:val="0"/>
          <w:marTop w:val="0"/>
          <w:marBottom w:val="0"/>
          <w:divBdr>
            <w:top w:val="none" w:sz="0" w:space="0" w:color="auto"/>
            <w:left w:val="none" w:sz="0" w:space="0" w:color="auto"/>
            <w:bottom w:val="none" w:sz="0" w:space="0" w:color="auto"/>
            <w:right w:val="none" w:sz="0" w:space="0" w:color="auto"/>
          </w:divBdr>
        </w:div>
        <w:div w:id="1723944405">
          <w:marLeft w:val="0"/>
          <w:marRight w:val="0"/>
          <w:marTop w:val="0"/>
          <w:marBottom w:val="0"/>
          <w:divBdr>
            <w:top w:val="none" w:sz="0" w:space="0" w:color="auto"/>
            <w:left w:val="none" w:sz="0" w:space="0" w:color="auto"/>
            <w:bottom w:val="none" w:sz="0" w:space="0" w:color="auto"/>
            <w:right w:val="none" w:sz="0" w:space="0" w:color="auto"/>
          </w:divBdr>
        </w:div>
        <w:div w:id="30423876">
          <w:marLeft w:val="0"/>
          <w:marRight w:val="0"/>
          <w:marTop w:val="0"/>
          <w:marBottom w:val="0"/>
          <w:divBdr>
            <w:top w:val="none" w:sz="0" w:space="0" w:color="auto"/>
            <w:left w:val="none" w:sz="0" w:space="0" w:color="auto"/>
            <w:bottom w:val="none" w:sz="0" w:space="0" w:color="auto"/>
            <w:right w:val="none" w:sz="0" w:space="0" w:color="auto"/>
          </w:divBdr>
        </w:div>
        <w:div w:id="948121343">
          <w:marLeft w:val="0"/>
          <w:marRight w:val="0"/>
          <w:marTop w:val="0"/>
          <w:marBottom w:val="0"/>
          <w:divBdr>
            <w:top w:val="none" w:sz="0" w:space="0" w:color="auto"/>
            <w:left w:val="none" w:sz="0" w:space="0" w:color="auto"/>
            <w:bottom w:val="none" w:sz="0" w:space="0" w:color="auto"/>
            <w:right w:val="none" w:sz="0" w:space="0" w:color="auto"/>
          </w:divBdr>
        </w:div>
        <w:div w:id="282342976">
          <w:marLeft w:val="0"/>
          <w:marRight w:val="0"/>
          <w:marTop w:val="0"/>
          <w:marBottom w:val="0"/>
          <w:divBdr>
            <w:top w:val="none" w:sz="0" w:space="0" w:color="auto"/>
            <w:left w:val="none" w:sz="0" w:space="0" w:color="auto"/>
            <w:bottom w:val="none" w:sz="0" w:space="0" w:color="auto"/>
            <w:right w:val="none" w:sz="0" w:space="0" w:color="auto"/>
          </w:divBdr>
        </w:div>
        <w:div w:id="1592087467">
          <w:marLeft w:val="0"/>
          <w:marRight w:val="0"/>
          <w:marTop w:val="0"/>
          <w:marBottom w:val="0"/>
          <w:divBdr>
            <w:top w:val="none" w:sz="0" w:space="0" w:color="auto"/>
            <w:left w:val="none" w:sz="0" w:space="0" w:color="auto"/>
            <w:bottom w:val="none" w:sz="0" w:space="0" w:color="auto"/>
            <w:right w:val="none" w:sz="0" w:space="0" w:color="auto"/>
          </w:divBdr>
        </w:div>
        <w:div w:id="1631403463">
          <w:marLeft w:val="0"/>
          <w:marRight w:val="0"/>
          <w:marTop w:val="0"/>
          <w:marBottom w:val="0"/>
          <w:divBdr>
            <w:top w:val="none" w:sz="0" w:space="0" w:color="auto"/>
            <w:left w:val="none" w:sz="0" w:space="0" w:color="auto"/>
            <w:bottom w:val="none" w:sz="0" w:space="0" w:color="auto"/>
            <w:right w:val="none" w:sz="0" w:space="0" w:color="auto"/>
          </w:divBdr>
        </w:div>
        <w:div w:id="85880094">
          <w:marLeft w:val="0"/>
          <w:marRight w:val="0"/>
          <w:marTop w:val="0"/>
          <w:marBottom w:val="0"/>
          <w:divBdr>
            <w:top w:val="none" w:sz="0" w:space="0" w:color="auto"/>
            <w:left w:val="none" w:sz="0" w:space="0" w:color="auto"/>
            <w:bottom w:val="none" w:sz="0" w:space="0" w:color="auto"/>
            <w:right w:val="none" w:sz="0" w:space="0" w:color="auto"/>
          </w:divBdr>
        </w:div>
        <w:div w:id="1034699333">
          <w:marLeft w:val="0"/>
          <w:marRight w:val="0"/>
          <w:marTop w:val="0"/>
          <w:marBottom w:val="0"/>
          <w:divBdr>
            <w:top w:val="none" w:sz="0" w:space="0" w:color="auto"/>
            <w:left w:val="none" w:sz="0" w:space="0" w:color="auto"/>
            <w:bottom w:val="none" w:sz="0" w:space="0" w:color="auto"/>
            <w:right w:val="none" w:sz="0" w:space="0" w:color="auto"/>
          </w:divBdr>
        </w:div>
        <w:div w:id="1893148070">
          <w:marLeft w:val="0"/>
          <w:marRight w:val="0"/>
          <w:marTop w:val="0"/>
          <w:marBottom w:val="0"/>
          <w:divBdr>
            <w:top w:val="none" w:sz="0" w:space="0" w:color="auto"/>
            <w:left w:val="none" w:sz="0" w:space="0" w:color="auto"/>
            <w:bottom w:val="none" w:sz="0" w:space="0" w:color="auto"/>
            <w:right w:val="none" w:sz="0" w:space="0" w:color="auto"/>
          </w:divBdr>
        </w:div>
        <w:div w:id="1790657898">
          <w:marLeft w:val="0"/>
          <w:marRight w:val="0"/>
          <w:marTop w:val="0"/>
          <w:marBottom w:val="0"/>
          <w:divBdr>
            <w:top w:val="none" w:sz="0" w:space="0" w:color="auto"/>
            <w:left w:val="none" w:sz="0" w:space="0" w:color="auto"/>
            <w:bottom w:val="none" w:sz="0" w:space="0" w:color="auto"/>
            <w:right w:val="none" w:sz="0" w:space="0" w:color="auto"/>
          </w:divBdr>
        </w:div>
        <w:div w:id="455223485">
          <w:marLeft w:val="0"/>
          <w:marRight w:val="0"/>
          <w:marTop w:val="0"/>
          <w:marBottom w:val="0"/>
          <w:divBdr>
            <w:top w:val="none" w:sz="0" w:space="0" w:color="auto"/>
            <w:left w:val="none" w:sz="0" w:space="0" w:color="auto"/>
            <w:bottom w:val="none" w:sz="0" w:space="0" w:color="auto"/>
            <w:right w:val="none" w:sz="0" w:space="0" w:color="auto"/>
          </w:divBdr>
        </w:div>
        <w:div w:id="1916356711">
          <w:marLeft w:val="0"/>
          <w:marRight w:val="0"/>
          <w:marTop w:val="0"/>
          <w:marBottom w:val="0"/>
          <w:divBdr>
            <w:top w:val="none" w:sz="0" w:space="0" w:color="auto"/>
            <w:left w:val="none" w:sz="0" w:space="0" w:color="auto"/>
            <w:bottom w:val="none" w:sz="0" w:space="0" w:color="auto"/>
            <w:right w:val="none" w:sz="0" w:space="0" w:color="auto"/>
          </w:divBdr>
        </w:div>
        <w:div w:id="929198126">
          <w:marLeft w:val="0"/>
          <w:marRight w:val="0"/>
          <w:marTop w:val="0"/>
          <w:marBottom w:val="0"/>
          <w:divBdr>
            <w:top w:val="none" w:sz="0" w:space="0" w:color="auto"/>
            <w:left w:val="none" w:sz="0" w:space="0" w:color="auto"/>
            <w:bottom w:val="none" w:sz="0" w:space="0" w:color="auto"/>
            <w:right w:val="none" w:sz="0" w:space="0" w:color="auto"/>
          </w:divBdr>
        </w:div>
        <w:div w:id="735280950">
          <w:marLeft w:val="0"/>
          <w:marRight w:val="0"/>
          <w:marTop w:val="0"/>
          <w:marBottom w:val="0"/>
          <w:divBdr>
            <w:top w:val="none" w:sz="0" w:space="0" w:color="auto"/>
            <w:left w:val="none" w:sz="0" w:space="0" w:color="auto"/>
            <w:bottom w:val="none" w:sz="0" w:space="0" w:color="auto"/>
            <w:right w:val="none" w:sz="0" w:space="0" w:color="auto"/>
          </w:divBdr>
        </w:div>
        <w:div w:id="2038197652">
          <w:marLeft w:val="0"/>
          <w:marRight w:val="0"/>
          <w:marTop w:val="0"/>
          <w:marBottom w:val="0"/>
          <w:divBdr>
            <w:top w:val="none" w:sz="0" w:space="0" w:color="auto"/>
            <w:left w:val="none" w:sz="0" w:space="0" w:color="auto"/>
            <w:bottom w:val="none" w:sz="0" w:space="0" w:color="auto"/>
            <w:right w:val="none" w:sz="0" w:space="0" w:color="auto"/>
          </w:divBdr>
        </w:div>
        <w:div w:id="1689867253">
          <w:marLeft w:val="0"/>
          <w:marRight w:val="0"/>
          <w:marTop w:val="0"/>
          <w:marBottom w:val="0"/>
          <w:divBdr>
            <w:top w:val="none" w:sz="0" w:space="0" w:color="auto"/>
            <w:left w:val="none" w:sz="0" w:space="0" w:color="auto"/>
            <w:bottom w:val="none" w:sz="0" w:space="0" w:color="auto"/>
            <w:right w:val="none" w:sz="0" w:space="0" w:color="auto"/>
          </w:divBdr>
        </w:div>
        <w:div w:id="209461349">
          <w:marLeft w:val="0"/>
          <w:marRight w:val="0"/>
          <w:marTop w:val="0"/>
          <w:marBottom w:val="0"/>
          <w:divBdr>
            <w:top w:val="none" w:sz="0" w:space="0" w:color="auto"/>
            <w:left w:val="none" w:sz="0" w:space="0" w:color="auto"/>
            <w:bottom w:val="none" w:sz="0" w:space="0" w:color="auto"/>
            <w:right w:val="none" w:sz="0" w:space="0" w:color="auto"/>
          </w:divBdr>
        </w:div>
        <w:div w:id="1395082028">
          <w:marLeft w:val="0"/>
          <w:marRight w:val="0"/>
          <w:marTop w:val="0"/>
          <w:marBottom w:val="0"/>
          <w:divBdr>
            <w:top w:val="none" w:sz="0" w:space="0" w:color="auto"/>
            <w:left w:val="none" w:sz="0" w:space="0" w:color="auto"/>
            <w:bottom w:val="none" w:sz="0" w:space="0" w:color="auto"/>
            <w:right w:val="none" w:sz="0" w:space="0" w:color="auto"/>
          </w:divBdr>
        </w:div>
        <w:div w:id="51660796">
          <w:marLeft w:val="0"/>
          <w:marRight w:val="0"/>
          <w:marTop w:val="0"/>
          <w:marBottom w:val="0"/>
          <w:divBdr>
            <w:top w:val="none" w:sz="0" w:space="0" w:color="auto"/>
            <w:left w:val="none" w:sz="0" w:space="0" w:color="auto"/>
            <w:bottom w:val="none" w:sz="0" w:space="0" w:color="auto"/>
            <w:right w:val="none" w:sz="0" w:space="0" w:color="auto"/>
          </w:divBdr>
        </w:div>
        <w:div w:id="836654231">
          <w:marLeft w:val="0"/>
          <w:marRight w:val="0"/>
          <w:marTop w:val="0"/>
          <w:marBottom w:val="0"/>
          <w:divBdr>
            <w:top w:val="none" w:sz="0" w:space="0" w:color="auto"/>
            <w:left w:val="none" w:sz="0" w:space="0" w:color="auto"/>
            <w:bottom w:val="none" w:sz="0" w:space="0" w:color="auto"/>
            <w:right w:val="none" w:sz="0" w:space="0" w:color="auto"/>
          </w:divBdr>
        </w:div>
        <w:div w:id="1297953916">
          <w:marLeft w:val="0"/>
          <w:marRight w:val="0"/>
          <w:marTop w:val="0"/>
          <w:marBottom w:val="0"/>
          <w:divBdr>
            <w:top w:val="none" w:sz="0" w:space="0" w:color="auto"/>
            <w:left w:val="none" w:sz="0" w:space="0" w:color="auto"/>
            <w:bottom w:val="none" w:sz="0" w:space="0" w:color="auto"/>
            <w:right w:val="none" w:sz="0" w:space="0" w:color="auto"/>
          </w:divBdr>
        </w:div>
        <w:div w:id="92824673">
          <w:marLeft w:val="0"/>
          <w:marRight w:val="0"/>
          <w:marTop w:val="0"/>
          <w:marBottom w:val="0"/>
          <w:divBdr>
            <w:top w:val="none" w:sz="0" w:space="0" w:color="auto"/>
            <w:left w:val="none" w:sz="0" w:space="0" w:color="auto"/>
            <w:bottom w:val="none" w:sz="0" w:space="0" w:color="auto"/>
            <w:right w:val="none" w:sz="0" w:space="0" w:color="auto"/>
          </w:divBdr>
        </w:div>
        <w:div w:id="1901016291">
          <w:marLeft w:val="0"/>
          <w:marRight w:val="0"/>
          <w:marTop w:val="0"/>
          <w:marBottom w:val="0"/>
          <w:divBdr>
            <w:top w:val="none" w:sz="0" w:space="0" w:color="auto"/>
            <w:left w:val="none" w:sz="0" w:space="0" w:color="auto"/>
            <w:bottom w:val="none" w:sz="0" w:space="0" w:color="auto"/>
            <w:right w:val="none" w:sz="0" w:space="0" w:color="auto"/>
          </w:divBdr>
        </w:div>
        <w:div w:id="239682920">
          <w:marLeft w:val="0"/>
          <w:marRight w:val="0"/>
          <w:marTop w:val="0"/>
          <w:marBottom w:val="0"/>
          <w:divBdr>
            <w:top w:val="none" w:sz="0" w:space="0" w:color="auto"/>
            <w:left w:val="none" w:sz="0" w:space="0" w:color="auto"/>
            <w:bottom w:val="none" w:sz="0" w:space="0" w:color="auto"/>
            <w:right w:val="none" w:sz="0" w:space="0" w:color="auto"/>
          </w:divBdr>
        </w:div>
      </w:divsChild>
    </w:div>
    <w:div w:id="1139613764">
      <w:bodyDiv w:val="1"/>
      <w:marLeft w:val="0"/>
      <w:marRight w:val="0"/>
      <w:marTop w:val="0"/>
      <w:marBottom w:val="0"/>
      <w:divBdr>
        <w:top w:val="none" w:sz="0" w:space="0" w:color="auto"/>
        <w:left w:val="none" w:sz="0" w:space="0" w:color="auto"/>
        <w:bottom w:val="none" w:sz="0" w:space="0" w:color="auto"/>
        <w:right w:val="none" w:sz="0" w:space="0" w:color="auto"/>
      </w:divBdr>
    </w:div>
    <w:div w:id="1147436427">
      <w:bodyDiv w:val="1"/>
      <w:marLeft w:val="0"/>
      <w:marRight w:val="0"/>
      <w:marTop w:val="0"/>
      <w:marBottom w:val="0"/>
      <w:divBdr>
        <w:top w:val="none" w:sz="0" w:space="0" w:color="auto"/>
        <w:left w:val="none" w:sz="0" w:space="0" w:color="auto"/>
        <w:bottom w:val="none" w:sz="0" w:space="0" w:color="auto"/>
        <w:right w:val="none" w:sz="0" w:space="0" w:color="auto"/>
      </w:divBdr>
    </w:div>
    <w:div w:id="1151287577">
      <w:bodyDiv w:val="1"/>
      <w:marLeft w:val="0"/>
      <w:marRight w:val="0"/>
      <w:marTop w:val="0"/>
      <w:marBottom w:val="0"/>
      <w:divBdr>
        <w:top w:val="none" w:sz="0" w:space="0" w:color="auto"/>
        <w:left w:val="none" w:sz="0" w:space="0" w:color="auto"/>
        <w:bottom w:val="none" w:sz="0" w:space="0" w:color="auto"/>
        <w:right w:val="none" w:sz="0" w:space="0" w:color="auto"/>
      </w:divBdr>
    </w:div>
    <w:div w:id="1171990973">
      <w:bodyDiv w:val="1"/>
      <w:marLeft w:val="0"/>
      <w:marRight w:val="0"/>
      <w:marTop w:val="0"/>
      <w:marBottom w:val="0"/>
      <w:divBdr>
        <w:top w:val="none" w:sz="0" w:space="0" w:color="auto"/>
        <w:left w:val="none" w:sz="0" w:space="0" w:color="auto"/>
        <w:bottom w:val="none" w:sz="0" w:space="0" w:color="auto"/>
        <w:right w:val="none" w:sz="0" w:space="0" w:color="auto"/>
      </w:divBdr>
    </w:div>
    <w:div w:id="1184900724">
      <w:bodyDiv w:val="1"/>
      <w:marLeft w:val="0"/>
      <w:marRight w:val="0"/>
      <w:marTop w:val="0"/>
      <w:marBottom w:val="0"/>
      <w:divBdr>
        <w:top w:val="none" w:sz="0" w:space="0" w:color="auto"/>
        <w:left w:val="none" w:sz="0" w:space="0" w:color="auto"/>
        <w:bottom w:val="none" w:sz="0" w:space="0" w:color="auto"/>
        <w:right w:val="none" w:sz="0" w:space="0" w:color="auto"/>
      </w:divBdr>
    </w:div>
    <w:div w:id="1188759636">
      <w:bodyDiv w:val="1"/>
      <w:marLeft w:val="0"/>
      <w:marRight w:val="0"/>
      <w:marTop w:val="0"/>
      <w:marBottom w:val="0"/>
      <w:divBdr>
        <w:top w:val="none" w:sz="0" w:space="0" w:color="auto"/>
        <w:left w:val="none" w:sz="0" w:space="0" w:color="auto"/>
        <w:bottom w:val="none" w:sz="0" w:space="0" w:color="auto"/>
        <w:right w:val="none" w:sz="0" w:space="0" w:color="auto"/>
      </w:divBdr>
    </w:div>
    <w:div w:id="1215576846">
      <w:bodyDiv w:val="1"/>
      <w:marLeft w:val="0"/>
      <w:marRight w:val="0"/>
      <w:marTop w:val="0"/>
      <w:marBottom w:val="0"/>
      <w:divBdr>
        <w:top w:val="none" w:sz="0" w:space="0" w:color="auto"/>
        <w:left w:val="none" w:sz="0" w:space="0" w:color="auto"/>
        <w:bottom w:val="none" w:sz="0" w:space="0" w:color="auto"/>
        <w:right w:val="none" w:sz="0" w:space="0" w:color="auto"/>
      </w:divBdr>
    </w:div>
    <w:div w:id="1243179534">
      <w:bodyDiv w:val="1"/>
      <w:marLeft w:val="0"/>
      <w:marRight w:val="0"/>
      <w:marTop w:val="0"/>
      <w:marBottom w:val="0"/>
      <w:divBdr>
        <w:top w:val="none" w:sz="0" w:space="0" w:color="auto"/>
        <w:left w:val="none" w:sz="0" w:space="0" w:color="auto"/>
        <w:bottom w:val="none" w:sz="0" w:space="0" w:color="auto"/>
        <w:right w:val="none" w:sz="0" w:space="0" w:color="auto"/>
      </w:divBdr>
    </w:div>
    <w:div w:id="1275357559">
      <w:bodyDiv w:val="1"/>
      <w:marLeft w:val="0"/>
      <w:marRight w:val="0"/>
      <w:marTop w:val="0"/>
      <w:marBottom w:val="0"/>
      <w:divBdr>
        <w:top w:val="none" w:sz="0" w:space="0" w:color="auto"/>
        <w:left w:val="none" w:sz="0" w:space="0" w:color="auto"/>
        <w:bottom w:val="none" w:sz="0" w:space="0" w:color="auto"/>
        <w:right w:val="none" w:sz="0" w:space="0" w:color="auto"/>
      </w:divBdr>
    </w:div>
    <w:div w:id="1341930321">
      <w:bodyDiv w:val="1"/>
      <w:marLeft w:val="0"/>
      <w:marRight w:val="0"/>
      <w:marTop w:val="0"/>
      <w:marBottom w:val="0"/>
      <w:divBdr>
        <w:top w:val="none" w:sz="0" w:space="0" w:color="auto"/>
        <w:left w:val="none" w:sz="0" w:space="0" w:color="auto"/>
        <w:bottom w:val="none" w:sz="0" w:space="0" w:color="auto"/>
        <w:right w:val="none" w:sz="0" w:space="0" w:color="auto"/>
      </w:divBdr>
    </w:div>
    <w:div w:id="1356805887">
      <w:bodyDiv w:val="1"/>
      <w:marLeft w:val="0"/>
      <w:marRight w:val="0"/>
      <w:marTop w:val="0"/>
      <w:marBottom w:val="0"/>
      <w:divBdr>
        <w:top w:val="none" w:sz="0" w:space="0" w:color="auto"/>
        <w:left w:val="none" w:sz="0" w:space="0" w:color="auto"/>
        <w:bottom w:val="none" w:sz="0" w:space="0" w:color="auto"/>
        <w:right w:val="none" w:sz="0" w:space="0" w:color="auto"/>
      </w:divBdr>
    </w:div>
    <w:div w:id="1362898051">
      <w:bodyDiv w:val="1"/>
      <w:marLeft w:val="0"/>
      <w:marRight w:val="0"/>
      <w:marTop w:val="0"/>
      <w:marBottom w:val="0"/>
      <w:divBdr>
        <w:top w:val="none" w:sz="0" w:space="0" w:color="auto"/>
        <w:left w:val="none" w:sz="0" w:space="0" w:color="auto"/>
        <w:bottom w:val="none" w:sz="0" w:space="0" w:color="auto"/>
        <w:right w:val="none" w:sz="0" w:space="0" w:color="auto"/>
      </w:divBdr>
    </w:div>
    <w:div w:id="1378166356">
      <w:bodyDiv w:val="1"/>
      <w:marLeft w:val="0"/>
      <w:marRight w:val="0"/>
      <w:marTop w:val="0"/>
      <w:marBottom w:val="0"/>
      <w:divBdr>
        <w:top w:val="none" w:sz="0" w:space="0" w:color="auto"/>
        <w:left w:val="none" w:sz="0" w:space="0" w:color="auto"/>
        <w:bottom w:val="none" w:sz="0" w:space="0" w:color="auto"/>
        <w:right w:val="none" w:sz="0" w:space="0" w:color="auto"/>
      </w:divBdr>
    </w:div>
    <w:div w:id="1430924594">
      <w:bodyDiv w:val="1"/>
      <w:marLeft w:val="0"/>
      <w:marRight w:val="0"/>
      <w:marTop w:val="0"/>
      <w:marBottom w:val="0"/>
      <w:divBdr>
        <w:top w:val="none" w:sz="0" w:space="0" w:color="auto"/>
        <w:left w:val="none" w:sz="0" w:space="0" w:color="auto"/>
        <w:bottom w:val="none" w:sz="0" w:space="0" w:color="auto"/>
        <w:right w:val="none" w:sz="0" w:space="0" w:color="auto"/>
      </w:divBdr>
    </w:div>
    <w:div w:id="1461799408">
      <w:bodyDiv w:val="1"/>
      <w:marLeft w:val="0"/>
      <w:marRight w:val="0"/>
      <w:marTop w:val="0"/>
      <w:marBottom w:val="0"/>
      <w:divBdr>
        <w:top w:val="none" w:sz="0" w:space="0" w:color="auto"/>
        <w:left w:val="none" w:sz="0" w:space="0" w:color="auto"/>
        <w:bottom w:val="none" w:sz="0" w:space="0" w:color="auto"/>
        <w:right w:val="none" w:sz="0" w:space="0" w:color="auto"/>
      </w:divBdr>
    </w:div>
    <w:div w:id="1537425898">
      <w:bodyDiv w:val="1"/>
      <w:marLeft w:val="0"/>
      <w:marRight w:val="0"/>
      <w:marTop w:val="0"/>
      <w:marBottom w:val="0"/>
      <w:divBdr>
        <w:top w:val="none" w:sz="0" w:space="0" w:color="auto"/>
        <w:left w:val="none" w:sz="0" w:space="0" w:color="auto"/>
        <w:bottom w:val="none" w:sz="0" w:space="0" w:color="auto"/>
        <w:right w:val="none" w:sz="0" w:space="0" w:color="auto"/>
      </w:divBdr>
    </w:div>
    <w:div w:id="1562717914">
      <w:bodyDiv w:val="1"/>
      <w:marLeft w:val="0"/>
      <w:marRight w:val="0"/>
      <w:marTop w:val="0"/>
      <w:marBottom w:val="0"/>
      <w:divBdr>
        <w:top w:val="none" w:sz="0" w:space="0" w:color="auto"/>
        <w:left w:val="none" w:sz="0" w:space="0" w:color="auto"/>
        <w:bottom w:val="none" w:sz="0" w:space="0" w:color="auto"/>
        <w:right w:val="none" w:sz="0" w:space="0" w:color="auto"/>
      </w:divBdr>
    </w:div>
    <w:div w:id="1589146945">
      <w:bodyDiv w:val="1"/>
      <w:marLeft w:val="0"/>
      <w:marRight w:val="0"/>
      <w:marTop w:val="0"/>
      <w:marBottom w:val="0"/>
      <w:divBdr>
        <w:top w:val="none" w:sz="0" w:space="0" w:color="auto"/>
        <w:left w:val="none" w:sz="0" w:space="0" w:color="auto"/>
        <w:bottom w:val="none" w:sz="0" w:space="0" w:color="auto"/>
        <w:right w:val="none" w:sz="0" w:space="0" w:color="auto"/>
      </w:divBdr>
    </w:div>
    <w:div w:id="1609921340">
      <w:bodyDiv w:val="1"/>
      <w:marLeft w:val="0"/>
      <w:marRight w:val="0"/>
      <w:marTop w:val="0"/>
      <w:marBottom w:val="0"/>
      <w:divBdr>
        <w:top w:val="none" w:sz="0" w:space="0" w:color="auto"/>
        <w:left w:val="none" w:sz="0" w:space="0" w:color="auto"/>
        <w:bottom w:val="none" w:sz="0" w:space="0" w:color="auto"/>
        <w:right w:val="none" w:sz="0" w:space="0" w:color="auto"/>
      </w:divBdr>
    </w:div>
    <w:div w:id="1626617397">
      <w:bodyDiv w:val="1"/>
      <w:marLeft w:val="0"/>
      <w:marRight w:val="0"/>
      <w:marTop w:val="0"/>
      <w:marBottom w:val="0"/>
      <w:divBdr>
        <w:top w:val="none" w:sz="0" w:space="0" w:color="auto"/>
        <w:left w:val="none" w:sz="0" w:space="0" w:color="auto"/>
        <w:bottom w:val="none" w:sz="0" w:space="0" w:color="auto"/>
        <w:right w:val="none" w:sz="0" w:space="0" w:color="auto"/>
      </w:divBdr>
    </w:div>
    <w:div w:id="1644888263">
      <w:bodyDiv w:val="1"/>
      <w:marLeft w:val="0"/>
      <w:marRight w:val="0"/>
      <w:marTop w:val="0"/>
      <w:marBottom w:val="0"/>
      <w:divBdr>
        <w:top w:val="none" w:sz="0" w:space="0" w:color="auto"/>
        <w:left w:val="none" w:sz="0" w:space="0" w:color="auto"/>
        <w:bottom w:val="none" w:sz="0" w:space="0" w:color="auto"/>
        <w:right w:val="none" w:sz="0" w:space="0" w:color="auto"/>
      </w:divBdr>
    </w:div>
    <w:div w:id="1645232096">
      <w:bodyDiv w:val="1"/>
      <w:marLeft w:val="0"/>
      <w:marRight w:val="0"/>
      <w:marTop w:val="0"/>
      <w:marBottom w:val="0"/>
      <w:divBdr>
        <w:top w:val="none" w:sz="0" w:space="0" w:color="auto"/>
        <w:left w:val="none" w:sz="0" w:space="0" w:color="auto"/>
        <w:bottom w:val="none" w:sz="0" w:space="0" w:color="auto"/>
        <w:right w:val="none" w:sz="0" w:space="0" w:color="auto"/>
      </w:divBdr>
    </w:div>
    <w:div w:id="1665353060">
      <w:bodyDiv w:val="1"/>
      <w:marLeft w:val="0"/>
      <w:marRight w:val="0"/>
      <w:marTop w:val="0"/>
      <w:marBottom w:val="0"/>
      <w:divBdr>
        <w:top w:val="none" w:sz="0" w:space="0" w:color="auto"/>
        <w:left w:val="none" w:sz="0" w:space="0" w:color="auto"/>
        <w:bottom w:val="none" w:sz="0" w:space="0" w:color="auto"/>
        <w:right w:val="none" w:sz="0" w:space="0" w:color="auto"/>
      </w:divBdr>
    </w:div>
    <w:div w:id="1698237448">
      <w:bodyDiv w:val="1"/>
      <w:marLeft w:val="0"/>
      <w:marRight w:val="0"/>
      <w:marTop w:val="0"/>
      <w:marBottom w:val="0"/>
      <w:divBdr>
        <w:top w:val="none" w:sz="0" w:space="0" w:color="auto"/>
        <w:left w:val="none" w:sz="0" w:space="0" w:color="auto"/>
        <w:bottom w:val="none" w:sz="0" w:space="0" w:color="auto"/>
        <w:right w:val="none" w:sz="0" w:space="0" w:color="auto"/>
      </w:divBdr>
    </w:div>
    <w:div w:id="1719165874">
      <w:bodyDiv w:val="1"/>
      <w:marLeft w:val="0"/>
      <w:marRight w:val="0"/>
      <w:marTop w:val="0"/>
      <w:marBottom w:val="0"/>
      <w:divBdr>
        <w:top w:val="none" w:sz="0" w:space="0" w:color="auto"/>
        <w:left w:val="none" w:sz="0" w:space="0" w:color="auto"/>
        <w:bottom w:val="none" w:sz="0" w:space="0" w:color="auto"/>
        <w:right w:val="none" w:sz="0" w:space="0" w:color="auto"/>
      </w:divBdr>
    </w:div>
    <w:div w:id="1750149514">
      <w:bodyDiv w:val="1"/>
      <w:marLeft w:val="0"/>
      <w:marRight w:val="0"/>
      <w:marTop w:val="0"/>
      <w:marBottom w:val="0"/>
      <w:divBdr>
        <w:top w:val="none" w:sz="0" w:space="0" w:color="auto"/>
        <w:left w:val="none" w:sz="0" w:space="0" w:color="auto"/>
        <w:bottom w:val="none" w:sz="0" w:space="0" w:color="auto"/>
        <w:right w:val="none" w:sz="0" w:space="0" w:color="auto"/>
      </w:divBdr>
    </w:div>
    <w:div w:id="1753241202">
      <w:bodyDiv w:val="1"/>
      <w:marLeft w:val="0"/>
      <w:marRight w:val="0"/>
      <w:marTop w:val="0"/>
      <w:marBottom w:val="0"/>
      <w:divBdr>
        <w:top w:val="none" w:sz="0" w:space="0" w:color="auto"/>
        <w:left w:val="none" w:sz="0" w:space="0" w:color="auto"/>
        <w:bottom w:val="none" w:sz="0" w:space="0" w:color="auto"/>
        <w:right w:val="none" w:sz="0" w:space="0" w:color="auto"/>
      </w:divBdr>
    </w:div>
    <w:div w:id="1797916162">
      <w:bodyDiv w:val="1"/>
      <w:marLeft w:val="0"/>
      <w:marRight w:val="0"/>
      <w:marTop w:val="0"/>
      <w:marBottom w:val="0"/>
      <w:divBdr>
        <w:top w:val="none" w:sz="0" w:space="0" w:color="auto"/>
        <w:left w:val="none" w:sz="0" w:space="0" w:color="auto"/>
        <w:bottom w:val="none" w:sz="0" w:space="0" w:color="auto"/>
        <w:right w:val="none" w:sz="0" w:space="0" w:color="auto"/>
      </w:divBdr>
    </w:div>
    <w:div w:id="1798915390">
      <w:bodyDiv w:val="1"/>
      <w:marLeft w:val="0"/>
      <w:marRight w:val="0"/>
      <w:marTop w:val="0"/>
      <w:marBottom w:val="0"/>
      <w:divBdr>
        <w:top w:val="none" w:sz="0" w:space="0" w:color="auto"/>
        <w:left w:val="none" w:sz="0" w:space="0" w:color="auto"/>
        <w:bottom w:val="none" w:sz="0" w:space="0" w:color="auto"/>
        <w:right w:val="none" w:sz="0" w:space="0" w:color="auto"/>
      </w:divBdr>
    </w:div>
    <w:div w:id="1842769243">
      <w:bodyDiv w:val="1"/>
      <w:marLeft w:val="0"/>
      <w:marRight w:val="0"/>
      <w:marTop w:val="0"/>
      <w:marBottom w:val="0"/>
      <w:divBdr>
        <w:top w:val="none" w:sz="0" w:space="0" w:color="auto"/>
        <w:left w:val="none" w:sz="0" w:space="0" w:color="auto"/>
        <w:bottom w:val="none" w:sz="0" w:space="0" w:color="auto"/>
        <w:right w:val="none" w:sz="0" w:space="0" w:color="auto"/>
      </w:divBdr>
    </w:div>
    <w:div w:id="1907449808">
      <w:bodyDiv w:val="1"/>
      <w:marLeft w:val="0"/>
      <w:marRight w:val="0"/>
      <w:marTop w:val="0"/>
      <w:marBottom w:val="0"/>
      <w:divBdr>
        <w:top w:val="none" w:sz="0" w:space="0" w:color="auto"/>
        <w:left w:val="none" w:sz="0" w:space="0" w:color="auto"/>
        <w:bottom w:val="none" w:sz="0" w:space="0" w:color="auto"/>
        <w:right w:val="none" w:sz="0" w:space="0" w:color="auto"/>
      </w:divBdr>
    </w:div>
    <w:div w:id="1945459826">
      <w:bodyDiv w:val="1"/>
      <w:marLeft w:val="0"/>
      <w:marRight w:val="0"/>
      <w:marTop w:val="0"/>
      <w:marBottom w:val="0"/>
      <w:divBdr>
        <w:top w:val="none" w:sz="0" w:space="0" w:color="auto"/>
        <w:left w:val="none" w:sz="0" w:space="0" w:color="auto"/>
        <w:bottom w:val="none" w:sz="0" w:space="0" w:color="auto"/>
        <w:right w:val="none" w:sz="0" w:space="0" w:color="auto"/>
      </w:divBdr>
    </w:div>
    <w:div w:id="2028411793">
      <w:bodyDiv w:val="1"/>
      <w:marLeft w:val="0"/>
      <w:marRight w:val="0"/>
      <w:marTop w:val="0"/>
      <w:marBottom w:val="0"/>
      <w:divBdr>
        <w:top w:val="none" w:sz="0" w:space="0" w:color="auto"/>
        <w:left w:val="none" w:sz="0" w:space="0" w:color="auto"/>
        <w:bottom w:val="none" w:sz="0" w:space="0" w:color="auto"/>
        <w:right w:val="none" w:sz="0" w:space="0" w:color="auto"/>
      </w:divBdr>
    </w:div>
    <w:div w:id="2053192551">
      <w:bodyDiv w:val="1"/>
      <w:marLeft w:val="0"/>
      <w:marRight w:val="0"/>
      <w:marTop w:val="0"/>
      <w:marBottom w:val="0"/>
      <w:divBdr>
        <w:top w:val="none" w:sz="0" w:space="0" w:color="auto"/>
        <w:left w:val="none" w:sz="0" w:space="0" w:color="auto"/>
        <w:bottom w:val="none" w:sz="0" w:space="0" w:color="auto"/>
        <w:right w:val="none" w:sz="0" w:space="0" w:color="auto"/>
      </w:divBdr>
      <w:divsChild>
        <w:div w:id="268707745">
          <w:marLeft w:val="0"/>
          <w:marRight w:val="0"/>
          <w:marTop w:val="0"/>
          <w:marBottom w:val="0"/>
          <w:divBdr>
            <w:top w:val="none" w:sz="0" w:space="0" w:color="auto"/>
            <w:left w:val="none" w:sz="0" w:space="0" w:color="auto"/>
            <w:bottom w:val="none" w:sz="0" w:space="0" w:color="auto"/>
            <w:right w:val="none" w:sz="0" w:space="0" w:color="auto"/>
          </w:divBdr>
        </w:div>
        <w:div w:id="1869489655">
          <w:marLeft w:val="0"/>
          <w:marRight w:val="0"/>
          <w:marTop w:val="0"/>
          <w:marBottom w:val="0"/>
          <w:divBdr>
            <w:top w:val="none" w:sz="0" w:space="0" w:color="auto"/>
            <w:left w:val="none" w:sz="0" w:space="0" w:color="auto"/>
            <w:bottom w:val="none" w:sz="0" w:space="0" w:color="auto"/>
            <w:right w:val="none" w:sz="0" w:space="0" w:color="auto"/>
          </w:divBdr>
        </w:div>
        <w:div w:id="55712859">
          <w:marLeft w:val="0"/>
          <w:marRight w:val="0"/>
          <w:marTop w:val="0"/>
          <w:marBottom w:val="0"/>
          <w:divBdr>
            <w:top w:val="none" w:sz="0" w:space="0" w:color="auto"/>
            <w:left w:val="none" w:sz="0" w:space="0" w:color="auto"/>
            <w:bottom w:val="none" w:sz="0" w:space="0" w:color="auto"/>
            <w:right w:val="none" w:sz="0" w:space="0" w:color="auto"/>
          </w:divBdr>
        </w:div>
        <w:div w:id="1667587872">
          <w:marLeft w:val="0"/>
          <w:marRight w:val="0"/>
          <w:marTop w:val="0"/>
          <w:marBottom w:val="0"/>
          <w:divBdr>
            <w:top w:val="none" w:sz="0" w:space="0" w:color="auto"/>
            <w:left w:val="none" w:sz="0" w:space="0" w:color="auto"/>
            <w:bottom w:val="none" w:sz="0" w:space="0" w:color="auto"/>
            <w:right w:val="none" w:sz="0" w:space="0" w:color="auto"/>
          </w:divBdr>
        </w:div>
        <w:div w:id="1954247637">
          <w:marLeft w:val="0"/>
          <w:marRight w:val="0"/>
          <w:marTop w:val="0"/>
          <w:marBottom w:val="0"/>
          <w:divBdr>
            <w:top w:val="none" w:sz="0" w:space="0" w:color="auto"/>
            <w:left w:val="none" w:sz="0" w:space="0" w:color="auto"/>
            <w:bottom w:val="none" w:sz="0" w:space="0" w:color="auto"/>
            <w:right w:val="none" w:sz="0" w:space="0" w:color="auto"/>
          </w:divBdr>
        </w:div>
        <w:div w:id="1769495770">
          <w:marLeft w:val="0"/>
          <w:marRight w:val="0"/>
          <w:marTop w:val="0"/>
          <w:marBottom w:val="0"/>
          <w:divBdr>
            <w:top w:val="none" w:sz="0" w:space="0" w:color="auto"/>
            <w:left w:val="none" w:sz="0" w:space="0" w:color="auto"/>
            <w:bottom w:val="none" w:sz="0" w:space="0" w:color="auto"/>
            <w:right w:val="none" w:sz="0" w:space="0" w:color="auto"/>
          </w:divBdr>
        </w:div>
        <w:div w:id="794561747">
          <w:marLeft w:val="0"/>
          <w:marRight w:val="0"/>
          <w:marTop w:val="0"/>
          <w:marBottom w:val="0"/>
          <w:divBdr>
            <w:top w:val="none" w:sz="0" w:space="0" w:color="auto"/>
            <w:left w:val="none" w:sz="0" w:space="0" w:color="auto"/>
            <w:bottom w:val="none" w:sz="0" w:space="0" w:color="auto"/>
            <w:right w:val="none" w:sz="0" w:space="0" w:color="auto"/>
          </w:divBdr>
        </w:div>
      </w:divsChild>
    </w:div>
    <w:div w:id="2127965725">
      <w:bodyDiv w:val="1"/>
      <w:marLeft w:val="0"/>
      <w:marRight w:val="0"/>
      <w:marTop w:val="0"/>
      <w:marBottom w:val="0"/>
      <w:divBdr>
        <w:top w:val="none" w:sz="0" w:space="0" w:color="auto"/>
        <w:left w:val="none" w:sz="0" w:space="0" w:color="auto"/>
        <w:bottom w:val="none" w:sz="0" w:space="0" w:color="auto"/>
        <w:right w:val="none" w:sz="0" w:space="0" w:color="auto"/>
      </w:divBdr>
    </w:div>
    <w:div w:id="21407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www.mft.gov.ba"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hyperlink" Target="https://www.macrotrends.net/2548/euro-dollar-exchange-rate-historical-chart%20" TargetMode="External"/><Relationship Id="rId27"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oleObject" Target="file:///D:\I.LJ\10.%20BILTEN\2021\Q4%202021\Grafikon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I.LJ\13.%20MTDS%20FBiH\Book3.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I.LJ\13.%20MTDS%20FBiH\FINALNO\Copy%20of%20MTDSAT%20%202022_2024%20FINAL.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I.LJ\13.%20MTDS%20FBiH\FINALNO\Copy%20of%20MTDSAT%20%202022_2024%20FINAL.xlsm"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I.LJ\10.%20BILTEN\2021\Q4%202021\Copy%20of%20LOAN%20data%20End%20Dec_2021%20Bilten%2025.01.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I.LJ\10.%20BILTEN\2021\Q4%202021\Copy%20of%20LOAN%20data%20End%20Dec_2021%20Bilten%2025.01.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I.LJ\10.%20BILTEN\2021\Q4%202021\Copy%20of%20LOAN%20data%20End%20Dec_2021%20Bilten%2001.02.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I.LJ\10.%20BILTEN\2021\Q4%202021\Grafikon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I.LJ\13.%20MTDS%20FBiH\Grafikoni\Grafikoni%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I.LJ\10.%20BILTEN\2021\Q4%202021\Grafikon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I.LJ\13.%20MTDS%20FBiH\Book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I.LJ\13.%20MTDS%20FBiH\Book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VANJSKI!$W$5</c:f>
              <c:strCache>
                <c:ptCount val="1"/>
                <c:pt idx="0">
                  <c:v>KM</c:v>
                </c:pt>
              </c:strCache>
            </c:strRef>
          </c:tx>
          <c:spPr>
            <a:solidFill>
              <a:schemeClr val="accent1"/>
            </a:solidFill>
            <a:ln>
              <a:noFill/>
            </a:ln>
            <a:effectLst/>
          </c:spPr>
          <c:invertIfNegative val="0"/>
          <c:cat>
            <c:strRef>
              <c:f>VANJSKI!$S$6:$S$14</c:f>
              <c:strCache>
                <c:ptCount val="9"/>
                <c:pt idx="0">
                  <c:v>Svjetska banka  (WB IDA)</c:v>
                </c:pt>
                <c:pt idx="1">
                  <c:v>Europska Investicijska banka</c:v>
                </c:pt>
                <c:pt idx="2">
                  <c:v>Međunarodni monetarni fond</c:v>
                </c:pt>
                <c:pt idx="3">
                  <c:v>EBRD</c:v>
                </c:pt>
                <c:pt idx="4">
                  <c:v>Pariški klub</c:v>
                </c:pt>
                <c:pt idx="5">
                  <c:v>Svjetska banka  (WB IBRD)</c:v>
                </c:pt>
                <c:pt idx="6">
                  <c:v>Europska Komisija</c:v>
                </c:pt>
                <c:pt idx="7">
                  <c:v>Vlada Kraljevine Španjolske</c:v>
                </c:pt>
                <c:pt idx="8">
                  <c:v>Ostali kreditori</c:v>
                </c:pt>
              </c:strCache>
            </c:strRef>
          </c:cat>
          <c:val>
            <c:numRef>
              <c:f>VANJSKI!$W$6:$W$14</c:f>
              <c:numCache>
                <c:formatCode>0.00</c:formatCode>
                <c:ptCount val="9"/>
                <c:pt idx="0">
                  <c:v>974.85018924906512</c:v>
                </c:pt>
                <c:pt idx="1">
                  <c:v>1069.8296569775291</c:v>
                </c:pt>
                <c:pt idx="2">
                  <c:v>582.32966539226697</c:v>
                </c:pt>
                <c:pt idx="3">
                  <c:v>611.92841996238997</c:v>
                </c:pt>
                <c:pt idx="4">
                  <c:v>337.39877058713188</c:v>
                </c:pt>
                <c:pt idx="5">
                  <c:v>674.47057049052501</c:v>
                </c:pt>
                <c:pt idx="6">
                  <c:v>232.49929125</c:v>
                </c:pt>
                <c:pt idx="7">
                  <c:v>63.395448259739993</c:v>
                </c:pt>
                <c:pt idx="8">
                  <c:v>855.30355723588571</c:v>
                </c:pt>
              </c:numCache>
            </c:numRef>
          </c:val>
          <c:extLst xmlns:c16r2="http://schemas.microsoft.com/office/drawing/2015/06/chart">
            <c:ext xmlns:c16="http://schemas.microsoft.com/office/drawing/2014/chart" uri="{C3380CC4-5D6E-409C-BE32-E72D297353CC}">
              <c16:uniqueId val="{00000000-E7D1-4B7B-8674-A4250D7E34E8}"/>
            </c:ext>
          </c:extLst>
        </c:ser>
        <c:dLbls>
          <c:showLegendKey val="0"/>
          <c:showVal val="0"/>
          <c:showCatName val="0"/>
          <c:showSerName val="0"/>
          <c:showPercent val="0"/>
          <c:showBubbleSize val="0"/>
        </c:dLbls>
        <c:gapWidth val="182"/>
        <c:axId val="646182512"/>
        <c:axId val="646192312"/>
      </c:barChart>
      <c:catAx>
        <c:axId val="646182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646192312"/>
        <c:crosses val="autoZero"/>
        <c:auto val="1"/>
        <c:lblAlgn val="ctr"/>
        <c:lblOffset val="100"/>
        <c:noMultiLvlLbl val="0"/>
      </c:catAx>
      <c:valAx>
        <c:axId val="6461923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1825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6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Sheet8!$H$28</c:f>
              <c:strCache>
                <c:ptCount val="1"/>
                <c:pt idx="0">
                  <c:v>Trezorski zapisi</c:v>
                </c:pt>
              </c:strCache>
            </c:strRef>
          </c:tx>
          <c:spPr>
            <a:pattFill prst="wdUpDiag">
              <a:fgClr>
                <a:schemeClr val="accent1"/>
              </a:fgClr>
              <a:bgClr>
                <a:schemeClr val="bg1"/>
              </a:bgClr>
            </a:pattFill>
            <a:ln>
              <a:solidFill>
                <a:schemeClr val="accent1"/>
              </a:solidFill>
            </a:ln>
            <a:effectLst/>
          </c:spPr>
          <c:invertIfNegative val="0"/>
          <c:cat>
            <c:numRef>
              <c:f>Sheet8!$G$29:$G$38</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Sheet8!$H$29:$H$38</c:f>
              <c:numCache>
                <c:formatCode>General</c:formatCode>
                <c:ptCount val="10"/>
                <c:pt idx="0">
                  <c:v>60</c:v>
                </c:pt>
                <c:pt idx="1">
                  <c:v>50</c:v>
                </c:pt>
                <c:pt idx="2">
                  <c:v>100</c:v>
                </c:pt>
                <c:pt idx="3">
                  <c:v>100</c:v>
                </c:pt>
                <c:pt idx="4">
                  <c:v>120.8</c:v>
                </c:pt>
                <c:pt idx="5">
                  <c:v>100</c:v>
                </c:pt>
                <c:pt idx="6">
                  <c:v>40</c:v>
                </c:pt>
                <c:pt idx="7">
                  <c:v>20</c:v>
                </c:pt>
                <c:pt idx="8">
                  <c:v>100</c:v>
                </c:pt>
                <c:pt idx="9">
                  <c:v>50</c:v>
                </c:pt>
              </c:numCache>
            </c:numRef>
          </c:val>
          <c:extLst xmlns:c16r2="http://schemas.microsoft.com/office/drawing/2015/06/chart">
            <c:ext xmlns:c16="http://schemas.microsoft.com/office/drawing/2014/chart" uri="{C3380CC4-5D6E-409C-BE32-E72D297353CC}">
              <c16:uniqueId val="{00000000-6E4F-4B0B-B076-69C1C994D38F}"/>
            </c:ext>
          </c:extLst>
        </c:ser>
        <c:ser>
          <c:idx val="1"/>
          <c:order val="1"/>
          <c:tx>
            <c:strRef>
              <c:f>Sheet8!$I$28</c:f>
              <c:strCache>
                <c:ptCount val="1"/>
                <c:pt idx="0">
                  <c:v>Trezorske obveznice</c:v>
                </c:pt>
              </c:strCache>
            </c:strRef>
          </c:tx>
          <c:spPr>
            <a:noFill/>
            <a:ln>
              <a:solidFill>
                <a:schemeClr val="accent1"/>
              </a:solidFill>
            </a:ln>
            <a:effectLst/>
          </c:spPr>
          <c:invertIfNegative val="0"/>
          <c:cat>
            <c:numRef>
              <c:f>Sheet8!$G$29:$G$38</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Sheet8!$I$29:$I$38</c:f>
              <c:numCache>
                <c:formatCode>General</c:formatCode>
                <c:ptCount val="10"/>
                <c:pt idx="0">
                  <c:v>130</c:v>
                </c:pt>
                <c:pt idx="1">
                  <c:v>170</c:v>
                </c:pt>
                <c:pt idx="2">
                  <c:v>290</c:v>
                </c:pt>
                <c:pt idx="3">
                  <c:v>520</c:v>
                </c:pt>
                <c:pt idx="4">
                  <c:v>620</c:v>
                </c:pt>
                <c:pt idx="5">
                  <c:v>530</c:v>
                </c:pt>
                <c:pt idx="6">
                  <c:v>430</c:v>
                </c:pt>
                <c:pt idx="7">
                  <c:v>540</c:v>
                </c:pt>
                <c:pt idx="8">
                  <c:v>640</c:v>
                </c:pt>
                <c:pt idx="9">
                  <c:v>630</c:v>
                </c:pt>
              </c:numCache>
            </c:numRef>
          </c:val>
          <c:extLst xmlns:c16r2="http://schemas.microsoft.com/office/drawing/2015/06/chart">
            <c:ext xmlns:c16="http://schemas.microsoft.com/office/drawing/2014/chart" uri="{C3380CC4-5D6E-409C-BE32-E72D297353CC}">
              <c16:uniqueId val="{00000001-6E4F-4B0B-B076-69C1C994D38F}"/>
            </c:ext>
          </c:extLst>
        </c:ser>
        <c:dLbls>
          <c:showLegendKey val="0"/>
          <c:showVal val="0"/>
          <c:showCatName val="0"/>
          <c:showSerName val="0"/>
          <c:showPercent val="0"/>
          <c:showBubbleSize val="0"/>
        </c:dLbls>
        <c:gapWidth val="150"/>
        <c:overlap val="100"/>
        <c:axId val="646194664"/>
        <c:axId val="646195056"/>
      </c:barChart>
      <c:catAx>
        <c:axId val="646194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195056"/>
        <c:crosses val="autoZero"/>
        <c:auto val="1"/>
        <c:lblAlgn val="ctr"/>
        <c:lblOffset val="100"/>
        <c:noMultiLvlLbl val="0"/>
      </c:catAx>
      <c:valAx>
        <c:axId val="646195056"/>
        <c:scaling>
          <c:orientation val="minMax"/>
          <c:max val="8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194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11491450492489"/>
          <c:y val="0.16368130858519822"/>
          <c:w val="0.80062816428336014"/>
          <c:h val="0.65414825319460757"/>
        </c:manualLayout>
      </c:layout>
      <c:scatterChart>
        <c:scatterStyle val="lineMarker"/>
        <c:varyColors val="0"/>
        <c:ser>
          <c:idx val="0"/>
          <c:order val="0"/>
          <c:tx>
            <c:strRef>
              <c:f>Tables!$C$192</c:f>
              <c:strCache>
                <c:ptCount val="1"/>
                <c:pt idx="0">
                  <c:v>S1</c:v>
                </c:pt>
              </c:strCache>
            </c:strRef>
          </c:tx>
          <c:spPr>
            <a:ln w="25400">
              <a:noFill/>
            </a:ln>
            <a:effectLst/>
          </c:spPr>
          <c:marker>
            <c:symbol val="circle"/>
            <c:size val="5"/>
            <c:spPr>
              <a:solidFill>
                <a:srgbClr val="4B8CAD"/>
              </a:solidFill>
              <a:ln w="9525">
                <a:noFill/>
              </a:ln>
            </c:spPr>
          </c:marker>
          <c:dLbls>
            <c:dLbl>
              <c:idx val="0"/>
              <c:layout>
                <c:manualLayout>
                  <c:x val="-5.658940037000762E-2"/>
                  <c:y val="-7.621951219512195E-2"/>
                </c:manualLayout>
              </c:layout>
              <c:spPr>
                <a:noFill/>
                <a:ln w="25400">
                  <a:noFill/>
                </a:ln>
              </c:spPr>
              <c:txPr>
                <a:bodyPr/>
                <a:lstStyle/>
                <a:p>
                  <a:pPr>
                    <a:defRPr sz="9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0-4755-413A-A2BD-9A124CDD10EE}"/>
                </c:ext>
                <c:ext xmlns:c15="http://schemas.microsoft.com/office/drawing/2012/chart" uri="{CE6537A1-D6FC-4f65-9D91-7224C49458BB}"/>
              </c:extLst>
            </c:dLbl>
            <c:spPr>
              <a:noFill/>
              <a:ln w="25400">
                <a:noFill/>
              </a:ln>
            </c:spPr>
            <c:txPr>
              <a:bodyPr/>
              <a:lstStyle/>
              <a:p>
                <a:pPr>
                  <a:defRPr sz="105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Tables!$C$198</c:f>
              <c:numCache>
                <c:formatCode>0.0000_);[Red]\(0.0000\)</c:formatCode>
                <c:ptCount val="1"/>
                <c:pt idx="0">
                  <c:v>0.44882977067031593</c:v>
                </c:pt>
              </c:numCache>
            </c:numRef>
          </c:xVal>
          <c:yVal>
            <c:numRef>
              <c:f>Tables!$C$193</c:f>
              <c:numCache>
                <c:formatCode>0.0000_);[Red]\(0.0000\)</c:formatCode>
                <c:ptCount val="1"/>
                <c:pt idx="0">
                  <c:v>0.30934542985109592</c:v>
                </c:pt>
              </c:numCache>
            </c:numRef>
          </c:yVal>
          <c:smooth val="0"/>
          <c:extLst xmlns:c16r2="http://schemas.microsoft.com/office/drawing/2015/06/chart">
            <c:ext xmlns:c16="http://schemas.microsoft.com/office/drawing/2014/chart" uri="{C3380CC4-5D6E-409C-BE32-E72D297353CC}">
              <c16:uniqueId val="{00000000-7627-475C-AEC0-6AD4148B66F3}"/>
            </c:ext>
          </c:extLst>
        </c:ser>
        <c:ser>
          <c:idx val="1"/>
          <c:order val="1"/>
          <c:tx>
            <c:strRef>
              <c:f>Tables!$D$192</c:f>
              <c:strCache>
                <c:ptCount val="1"/>
                <c:pt idx="0">
                  <c:v>S2</c:v>
                </c:pt>
              </c:strCache>
            </c:strRef>
          </c:tx>
          <c:spPr>
            <a:ln w="25400">
              <a:noFill/>
            </a:ln>
            <a:effectLst/>
          </c:spPr>
          <c:marker>
            <c:symbol val="diamond"/>
            <c:size val="5"/>
            <c:spPr>
              <a:solidFill>
                <a:srgbClr val="C00000"/>
              </a:solidFill>
              <a:ln w="9525">
                <a:noFill/>
              </a:ln>
            </c:spPr>
          </c:marker>
          <c:dLbls>
            <c:spPr>
              <a:noFill/>
              <a:ln w="25400">
                <a:noFill/>
              </a:ln>
            </c:spPr>
            <c:txPr>
              <a:bodyPr/>
              <a:lstStyle/>
              <a:p>
                <a:pPr>
                  <a:defRPr sz="9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Tables!$D$198</c:f>
              <c:numCache>
                <c:formatCode>0.0000_);[Red]\(0.0000\)</c:formatCode>
                <c:ptCount val="1"/>
                <c:pt idx="0">
                  <c:v>0.44968234967334414</c:v>
                </c:pt>
              </c:numCache>
            </c:numRef>
          </c:xVal>
          <c:yVal>
            <c:numRef>
              <c:f>Tables!$D$193</c:f>
              <c:numCache>
                <c:formatCode>0.0000_);[Red]\(0.0000\)</c:formatCode>
                <c:ptCount val="1"/>
                <c:pt idx="0">
                  <c:v>0.30110340950127296</c:v>
                </c:pt>
              </c:numCache>
            </c:numRef>
          </c:yVal>
          <c:smooth val="0"/>
          <c:extLst xmlns:c16r2="http://schemas.microsoft.com/office/drawing/2015/06/chart">
            <c:ext xmlns:c16="http://schemas.microsoft.com/office/drawing/2014/chart" uri="{C3380CC4-5D6E-409C-BE32-E72D297353CC}">
              <c16:uniqueId val="{00000001-7627-475C-AEC0-6AD4148B66F3}"/>
            </c:ext>
          </c:extLst>
        </c:ser>
        <c:ser>
          <c:idx val="3"/>
          <c:order val="2"/>
          <c:tx>
            <c:strRef>
              <c:f>Tables!$E$192</c:f>
              <c:strCache>
                <c:ptCount val="1"/>
                <c:pt idx="0">
                  <c:v>S3</c:v>
                </c:pt>
              </c:strCache>
            </c:strRef>
          </c:tx>
          <c:spPr>
            <a:ln w="25400">
              <a:noFill/>
            </a:ln>
            <a:effectLst/>
          </c:spPr>
          <c:marker>
            <c:symbol val="square"/>
            <c:size val="5"/>
            <c:spPr>
              <a:solidFill>
                <a:srgbClr val="231F20"/>
              </a:solidFill>
              <a:ln w="9525">
                <a:noFill/>
              </a:ln>
            </c:spPr>
          </c:marker>
          <c:dLbls>
            <c:spPr>
              <a:noFill/>
              <a:ln w="25400">
                <a:noFill/>
              </a:ln>
            </c:spPr>
            <c:txPr>
              <a:bodyPr/>
              <a:lstStyle/>
              <a:p>
                <a:pPr>
                  <a:defRPr sz="9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Tables!$E$198</c:f>
              <c:numCache>
                <c:formatCode>0.0000_);[Red]\(0.0000\)</c:formatCode>
                <c:ptCount val="1"/>
                <c:pt idx="0">
                  <c:v>0.43531319293022841</c:v>
                </c:pt>
              </c:numCache>
            </c:numRef>
          </c:xVal>
          <c:yVal>
            <c:numRef>
              <c:f>Tables!$E$193</c:f>
              <c:numCache>
                <c:formatCode>0.0000_);[Red]\(0.0000\)</c:formatCode>
                <c:ptCount val="1"/>
                <c:pt idx="0">
                  <c:v>0.32413301012163287</c:v>
                </c:pt>
              </c:numCache>
            </c:numRef>
          </c:yVal>
          <c:smooth val="0"/>
          <c:extLst xmlns:c16r2="http://schemas.microsoft.com/office/drawing/2015/06/chart">
            <c:ext xmlns:c16="http://schemas.microsoft.com/office/drawing/2014/chart" uri="{C3380CC4-5D6E-409C-BE32-E72D297353CC}">
              <c16:uniqueId val="{00000002-7627-475C-AEC0-6AD4148B66F3}"/>
            </c:ext>
          </c:extLst>
        </c:ser>
        <c:ser>
          <c:idx val="2"/>
          <c:order val="3"/>
          <c:tx>
            <c:strRef>
              <c:f>Tables!$F$192</c:f>
              <c:strCache>
                <c:ptCount val="1"/>
                <c:pt idx="0">
                  <c:v>S4</c:v>
                </c:pt>
              </c:strCache>
            </c:strRef>
          </c:tx>
          <c:spPr>
            <a:ln w="25400">
              <a:noFill/>
            </a:ln>
            <a:effectLst/>
          </c:spPr>
          <c:marker>
            <c:symbol val="triangle"/>
            <c:size val="5"/>
            <c:spPr>
              <a:solidFill>
                <a:srgbClr val="96BA79"/>
              </a:solidFill>
              <a:ln w="9525">
                <a:noFill/>
              </a:ln>
            </c:spPr>
          </c:marker>
          <c:dLbls>
            <c:spPr>
              <a:noFill/>
              <a:ln w="25400">
                <a:noFill/>
              </a:ln>
            </c:spPr>
            <c:txPr>
              <a:bodyPr/>
              <a:lstStyle/>
              <a:p>
                <a:pPr>
                  <a:defRPr sz="900" b="0" i="0" u="none" strike="noStrike" baseline="0">
                    <a:solidFill>
                      <a:srgbClr val="000000"/>
                    </a:solidFill>
                    <a:latin typeface="Segoe UI"/>
                    <a:ea typeface="Segoe UI"/>
                    <a:cs typeface="Segoe UI"/>
                  </a:defRPr>
                </a:pPr>
                <a:endParaRPr lang="en-US"/>
              </a:p>
            </c:txPr>
            <c:dLblPos val="l"/>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Tables!$F$198</c:f>
              <c:numCache>
                <c:formatCode>0.0000_);[Red]\(0.0000\)</c:formatCode>
                <c:ptCount val="1"/>
                <c:pt idx="0">
                  <c:v>0.42861708513625252</c:v>
                </c:pt>
              </c:numCache>
            </c:numRef>
          </c:xVal>
          <c:yVal>
            <c:numRef>
              <c:f>Tables!$F$193</c:f>
              <c:numCache>
                <c:formatCode>0.0000_);[Red]\(0.0000\)</c:formatCode>
                <c:ptCount val="1"/>
                <c:pt idx="0">
                  <c:v>0.41905537309020424</c:v>
                </c:pt>
              </c:numCache>
            </c:numRef>
          </c:yVal>
          <c:smooth val="0"/>
          <c:extLst xmlns:c16r2="http://schemas.microsoft.com/office/drawing/2015/06/chart">
            <c:ext xmlns:c16="http://schemas.microsoft.com/office/drawing/2014/chart" uri="{C3380CC4-5D6E-409C-BE32-E72D297353CC}">
              <c16:uniqueId val="{00000003-7627-475C-AEC0-6AD4148B66F3}"/>
            </c:ext>
          </c:extLst>
        </c:ser>
        <c:dLbls>
          <c:showLegendKey val="0"/>
          <c:showVal val="0"/>
          <c:showCatName val="0"/>
          <c:showSerName val="0"/>
          <c:showPercent val="0"/>
          <c:showBubbleSize val="0"/>
        </c:dLbls>
        <c:axId val="646195840"/>
        <c:axId val="212767920"/>
      </c:scatterChart>
      <c:valAx>
        <c:axId val="646195840"/>
        <c:scaling>
          <c:orientation val="minMax"/>
        </c:scaling>
        <c:delete val="0"/>
        <c:axPos val="b"/>
        <c:title>
          <c:tx>
            <c:rich>
              <a:bodyPr/>
              <a:lstStyle/>
              <a:p>
                <a:pPr>
                  <a:defRPr sz="1000" b="1" i="0" u="none" strike="noStrike" baseline="0">
                    <a:solidFill>
                      <a:srgbClr val="000000"/>
                    </a:solidFill>
                    <a:latin typeface="Arial Narrow" pitchFamily="34" charset="0"/>
                    <a:ea typeface="Calibri"/>
                    <a:cs typeface="Calibri"/>
                  </a:defRPr>
                </a:pPr>
                <a:r>
                  <a:rPr lang="bs-Latn-BA" sz="900" b="0">
                    <a:latin typeface="Arial Narrow" pitchFamily="34" charset="0"/>
                  </a:rPr>
                  <a:t>Rizik</a:t>
                </a:r>
                <a:endParaRPr lang="en-US" b="0">
                  <a:latin typeface="Arial Narrow" pitchFamily="34" charset="0"/>
                </a:endParaRPr>
              </a:p>
            </c:rich>
          </c:tx>
          <c:layout>
            <c:manualLayout>
              <c:xMode val="edge"/>
              <c:yMode val="edge"/>
              <c:x val="0.45822641415660448"/>
              <c:y val="0.86794939504513158"/>
            </c:manualLayout>
          </c:layout>
          <c:overlay val="0"/>
        </c:title>
        <c:numFmt formatCode="#,##0.0" sourceLinked="0"/>
        <c:majorTickMark val="in"/>
        <c:minorTickMark val="none"/>
        <c:tickLblPos val="nextTo"/>
        <c:spPr>
          <a:ln w="3175">
            <a:solidFill>
              <a:srgbClr val="B3B3B3"/>
            </a:solidFill>
            <a:prstDash val="solid"/>
          </a:ln>
        </c:spPr>
        <c:txPr>
          <a:bodyPr rot="0" vert="horz"/>
          <a:lstStyle/>
          <a:p>
            <a:pPr>
              <a:defRPr sz="600" b="0" i="0" u="none" strike="noStrike" baseline="0">
                <a:solidFill>
                  <a:srgbClr val="000000"/>
                </a:solidFill>
                <a:latin typeface="Segoe UI"/>
                <a:ea typeface="Segoe UI"/>
                <a:cs typeface="Segoe UI"/>
              </a:defRPr>
            </a:pPr>
            <a:endParaRPr lang="en-US"/>
          </a:p>
        </c:txPr>
        <c:crossAx val="212767920"/>
        <c:crosses val="autoZero"/>
        <c:crossBetween val="midCat"/>
        <c:majorUnit val="5.000000000000001E-3"/>
      </c:valAx>
      <c:valAx>
        <c:axId val="212767920"/>
        <c:scaling>
          <c:orientation val="minMax"/>
        </c:scaling>
        <c:delete val="0"/>
        <c:axPos val="l"/>
        <c:title>
          <c:tx>
            <c:rich>
              <a:bodyPr/>
              <a:lstStyle/>
              <a:p>
                <a:pPr>
                  <a:defRPr sz="1050" b="1" i="0" u="none" strike="noStrike" baseline="0">
                    <a:solidFill>
                      <a:srgbClr val="000000"/>
                    </a:solidFill>
                    <a:latin typeface="Calibri"/>
                    <a:ea typeface="Calibri"/>
                    <a:cs typeface="Calibri"/>
                  </a:defRPr>
                </a:pPr>
                <a:r>
                  <a:rPr lang="bs-Latn-BA" sz="800" b="0"/>
                  <a:t>Trošak</a:t>
                </a:r>
                <a:endParaRPr lang="en-US" sz="800" b="0"/>
              </a:p>
            </c:rich>
          </c:tx>
          <c:layout>
            <c:manualLayout>
              <c:xMode val="edge"/>
              <c:yMode val="edge"/>
              <c:x val="1.630329999151673E-2"/>
              <c:y val="0.39230242942193211"/>
            </c:manualLayout>
          </c:layout>
          <c:overlay val="0"/>
        </c:title>
        <c:numFmt formatCode="#,##0.0" sourceLinked="0"/>
        <c:majorTickMark val="in"/>
        <c:minorTickMark val="none"/>
        <c:tickLblPos val="nextTo"/>
        <c:spPr>
          <a:ln w="3175">
            <a:solidFill>
              <a:srgbClr val="B3B3B3"/>
            </a:solidFill>
            <a:prstDash val="solid"/>
          </a:ln>
        </c:spPr>
        <c:txPr>
          <a:bodyPr rot="0" vert="horz"/>
          <a:lstStyle/>
          <a:p>
            <a:pPr>
              <a:defRPr sz="600" b="0" i="0" u="none" strike="noStrike" baseline="0">
                <a:solidFill>
                  <a:srgbClr val="000000"/>
                </a:solidFill>
                <a:latin typeface="Segoe UI"/>
                <a:ea typeface="Segoe UI"/>
                <a:cs typeface="Segoe UI"/>
              </a:defRPr>
            </a:pPr>
            <a:endParaRPr lang="en-US"/>
          </a:p>
        </c:txPr>
        <c:crossAx val="646195840"/>
        <c:crossesAt val="0"/>
        <c:crossBetween val="midCat"/>
        <c:majorUnit val="0.1"/>
        <c:minorUnit val="5.000000000000001E-2"/>
      </c:valAx>
      <c:spPr>
        <a:solidFill>
          <a:srgbClr val="FFFFFF"/>
        </a:solidFill>
        <a:ln w="3175">
          <a:solidFill>
            <a:srgbClr val="B3B3B3"/>
          </a:solidFill>
          <a:prstDash val="solid"/>
        </a:ln>
      </c:spPr>
    </c:plotArea>
    <c:plotVisOnly val="1"/>
    <c:dispBlanksAs val="gap"/>
    <c:showDLblsOverMax val="0"/>
  </c:chart>
  <c:spPr>
    <a:ln w="9525">
      <a:solidFill>
        <a:srgbClr val="B3B3B3"/>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063168196602084"/>
          <c:y val="0.17469025462726281"/>
          <c:w val="0.75911161665297477"/>
          <c:h val="0.64313978934451455"/>
        </c:manualLayout>
      </c:layout>
      <c:scatterChart>
        <c:scatterStyle val="lineMarker"/>
        <c:varyColors val="0"/>
        <c:ser>
          <c:idx val="0"/>
          <c:order val="0"/>
          <c:tx>
            <c:strRef>
              <c:f>Tables!$C$181</c:f>
              <c:strCache>
                <c:ptCount val="1"/>
                <c:pt idx="0">
                  <c:v>S1</c:v>
                </c:pt>
              </c:strCache>
            </c:strRef>
          </c:tx>
          <c:spPr>
            <a:ln w="25400">
              <a:noFill/>
            </a:ln>
            <a:effectLst/>
          </c:spPr>
          <c:marker>
            <c:symbol val="circle"/>
            <c:size val="5"/>
            <c:spPr>
              <a:solidFill>
                <a:srgbClr val="4B8CAD"/>
              </a:solidFill>
              <a:ln w="9525">
                <a:noFill/>
              </a:ln>
            </c:spPr>
          </c:marker>
          <c:dLbls>
            <c:spPr>
              <a:noFill/>
              <a:ln w="25400">
                <a:noFill/>
              </a:ln>
            </c:spPr>
            <c:txPr>
              <a:bodyPr/>
              <a:lstStyle/>
              <a:p>
                <a:pPr>
                  <a:defRPr sz="10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Tables!$C$187</c:f>
              <c:numCache>
                <c:formatCode>0.0000_);[Red]\(0.0000\)</c:formatCode>
                <c:ptCount val="1"/>
                <c:pt idx="0">
                  <c:v>5.9783839011976774</c:v>
                </c:pt>
              </c:numCache>
            </c:numRef>
          </c:xVal>
          <c:yVal>
            <c:numRef>
              <c:f>Tables!$C$182</c:f>
              <c:numCache>
                <c:formatCode>0.0000_);[Red]\(0.0000\)</c:formatCode>
                <c:ptCount val="1"/>
                <c:pt idx="0">
                  <c:v>24.445064952765932</c:v>
                </c:pt>
              </c:numCache>
            </c:numRef>
          </c:yVal>
          <c:smooth val="0"/>
          <c:extLst xmlns:c16r2="http://schemas.microsoft.com/office/drawing/2015/06/chart">
            <c:ext xmlns:c16="http://schemas.microsoft.com/office/drawing/2014/chart" uri="{C3380CC4-5D6E-409C-BE32-E72D297353CC}">
              <c16:uniqueId val="{00000000-55CF-419D-A2CA-C1A19F9E08DB}"/>
            </c:ext>
          </c:extLst>
        </c:ser>
        <c:ser>
          <c:idx val="1"/>
          <c:order val="1"/>
          <c:tx>
            <c:strRef>
              <c:f>Tables!$D$181</c:f>
              <c:strCache>
                <c:ptCount val="1"/>
                <c:pt idx="0">
                  <c:v>S2</c:v>
                </c:pt>
              </c:strCache>
            </c:strRef>
          </c:tx>
          <c:spPr>
            <a:ln w="25400">
              <a:noFill/>
            </a:ln>
            <a:effectLst/>
          </c:spPr>
          <c:marker>
            <c:symbol val="diamond"/>
            <c:size val="5"/>
            <c:spPr>
              <a:solidFill>
                <a:srgbClr val="C00000"/>
              </a:solidFill>
              <a:ln w="9525">
                <a:noFill/>
              </a:ln>
            </c:spPr>
          </c:marker>
          <c:dLbls>
            <c:dLbl>
              <c:idx val="0"/>
              <c:layout>
                <c:manualLayout>
                  <c:x val="-5.9334139105592792E-2"/>
                  <c:y val="3.769140164899891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0-DC68-45AE-88D8-3BB482B008D3}"/>
                </c:ext>
                <c:ext xmlns:c15="http://schemas.microsoft.com/office/drawing/2012/chart" uri="{CE6537A1-D6FC-4f65-9D91-7224C49458BB}"/>
              </c:extLst>
            </c:dLbl>
            <c:spPr>
              <a:noFill/>
              <a:ln w="25400">
                <a:noFill/>
              </a:ln>
            </c:spPr>
            <c:txPr>
              <a:bodyPr/>
              <a:lstStyle/>
              <a:p>
                <a:pPr>
                  <a:defRPr sz="10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Tables!$D$187</c:f>
              <c:numCache>
                <c:formatCode>0.0000_);[Red]\(0.0000\)</c:formatCode>
                <c:ptCount val="1"/>
                <c:pt idx="0">
                  <c:v>5.9778835046174024</c:v>
                </c:pt>
              </c:numCache>
            </c:numRef>
          </c:xVal>
          <c:yVal>
            <c:numRef>
              <c:f>Tables!$D$182</c:f>
              <c:numCache>
                <c:formatCode>0.0000_);[Red]\(0.0000\)</c:formatCode>
                <c:ptCount val="1"/>
                <c:pt idx="0">
                  <c:v>24.436735520245829</c:v>
                </c:pt>
              </c:numCache>
            </c:numRef>
          </c:yVal>
          <c:smooth val="0"/>
          <c:extLst xmlns:c16r2="http://schemas.microsoft.com/office/drawing/2015/06/chart">
            <c:ext xmlns:c16="http://schemas.microsoft.com/office/drawing/2014/chart" uri="{C3380CC4-5D6E-409C-BE32-E72D297353CC}">
              <c16:uniqueId val="{00000001-55CF-419D-A2CA-C1A19F9E08DB}"/>
            </c:ext>
          </c:extLst>
        </c:ser>
        <c:ser>
          <c:idx val="3"/>
          <c:order val="2"/>
          <c:tx>
            <c:strRef>
              <c:f>Tables!$E$181</c:f>
              <c:strCache>
                <c:ptCount val="1"/>
                <c:pt idx="0">
                  <c:v>S3</c:v>
                </c:pt>
              </c:strCache>
            </c:strRef>
          </c:tx>
          <c:spPr>
            <a:ln w="25400">
              <a:noFill/>
            </a:ln>
            <a:effectLst/>
          </c:spPr>
          <c:marker>
            <c:symbol val="square"/>
            <c:size val="5"/>
            <c:spPr>
              <a:solidFill>
                <a:srgbClr val="231F20"/>
              </a:solidFill>
              <a:ln w="9525">
                <a:noFill/>
              </a:ln>
            </c:spPr>
          </c:marker>
          <c:dLbls>
            <c:dLbl>
              <c:idx val="0"/>
              <c:layout>
                <c:manualLayout>
                  <c:x val="-5.05438962751346E-2"/>
                  <c:y val="-7.5382803297997736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1-DC68-45AE-88D8-3BB482B008D3}"/>
                </c:ext>
                <c:ext xmlns:c15="http://schemas.microsoft.com/office/drawing/2012/chart" uri="{CE6537A1-D6FC-4f65-9D91-7224C49458BB}"/>
              </c:extLst>
            </c:dLbl>
            <c:spPr>
              <a:noFill/>
              <a:ln w="25400">
                <a:noFill/>
              </a:ln>
            </c:spPr>
            <c:txPr>
              <a:bodyPr/>
              <a:lstStyle/>
              <a:p>
                <a:pPr>
                  <a:defRPr sz="10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Tables!$E$187</c:f>
              <c:numCache>
                <c:formatCode>0.0000_);[Red]\(0.0000\)</c:formatCode>
                <c:ptCount val="1"/>
                <c:pt idx="0">
                  <c:v>5.9856581438239083</c:v>
                </c:pt>
              </c:numCache>
            </c:numRef>
          </c:xVal>
          <c:yVal>
            <c:numRef>
              <c:f>Tables!$E$182</c:f>
              <c:numCache>
                <c:formatCode>0.0000_);[Red]\(0.0000\)</c:formatCode>
                <c:ptCount val="1"/>
                <c:pt idx="0">
                  <c:v>24.463779656244022</c:v>
                </c:pt>
              </c:numCache>
            </c:numRef>
          </c:yVal>
          <c:smooth val="0"/>
          <c:extLst xmlns:c16r2="http://schemas.microsoft.com/office/drawing/2015/06/chart">
            <c:ext xmlns:c16="http://schemas.microsoft.com/office/drawing/2014/chart" uri="{C3380CC4-5D6E-409C-BE32-E72D297353CC}">
              <c16:uniqueId val="{00000002-55CF-419D-A2CA-C1A19F9E08DB}"/>
            </c:ext>
          </c:extLst>
        </c:ser>
        <c:ser>
          <c:idx val="2"/>
          <c:order val="3"/>
          <c:tx>
            <c:strRef>
              <c:f>Tables!$F$181</c:f>
              <c:strCache>
                <c:ptCount val="1"/>
                <c:pt idx="0">
                  <c:v>S4</c:v>
                </c:pt>
              </c:strCache>
            </c:strRef>
          </c:tx>
          <c:spPr>
            <a:ln w="25400">
              <a:noFill/>
            </a:ln>
            <a:effectLst/>
          </c:spPr>
          <c:marker>
            <c:symbol val="triangle"/>
            <c:size val="5"/>
            <c:spPr>
              <a:solidFill>
                <a:srgbClr val="96BA79"/>
              </a:solidFill>
              <a:ln w="9525">
                <a:noFill/>
              </a:ln>
            </c:spPr>
          </c:marker>
          <c:dLbls>
            <c:spPr>
              <a:noFill/>
              <a:ln w="25400">
                <a:noFill/>
              </a:ln>
            </c:spPr>
            <c:txPr>
              <a:bodyPr/>
              <a:lstStyle/>
              <a:p>
                <a:pPr>
                  <a:defRPr sz="1000" b="0" i="0" u="none" strike="noStrike" baseline="0">
                    <a:solidFill>
                      <a:srgbClr val="000000"/>
                    </a:solidFill>
                    <a:latin typeface="Segoe UI"/>
                    <a:ea typeface="Segoe UI"/>
                    <a:cs typeface="Segoe UI"/>
                  </a:defRPr>
                </a:pPr>
                <a:endParaRPr lang="en-US"/>
              </a:p>
            </c:txPr>
            <c:dLblPos val="l"/>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Tables!$F$187</c:f>
              <c:numCache>
                <c:formatCode>0.0000_);[Red]\(0.0000\)</c:formatCode>
                <c:ptCount val="1"/>
                <c:pt idx="0">
                  <c:v>6.5551887878304278</c:v>
                </c:pt>
              </c:numCache>
            </c:numRef>
          </c:xVal>
          <c:yVal>
            <c:numRef>
              <c:f>Tables!$F$182</c:f>
              <c:numCache>
                <c:formatCode>0.0000_);[Red]\(0.0000\)</c:formatCode>
                <c:ptCount val="1"/>
                <c:pt idx="0">
                  <c:v>24.61426863341666</c:v>
                </c:pt>
              </c:numCache>
            </c:numRef>
          </c:yVal>
          <c:smooth val="0"/>
          <c:extLst xmlns:c16r2="http://schemas.microsoft.com/office/drawing/2015/06/chart">
            <c:ext xmlns:c16="http://schemas.microsoft.com/office/drawing/2014/chart" uri="{C3380CC4-5D6E-409C-BE32-E72D297353CC}">
              <c16:uniqueId val="{00000003-55CF-419D-A2CA-C1A19F9E08DB}"/>
            </c:ext>
          </c:extLst>
        </c:ser>
        <c:dLbls>
          <c:showLegendKey val="0"/>
          <c:showVal val="0"/>
          <c:showCatName val="0"/>
          <c:showSerName val="0"/>
          <c:showPercent val="0"/>
          <c:showBubbleSize val="0"/>
        </c:dLbls>
        <c:axId val="212771840"/>
        <c:axId val="212773800"/>
      </c:scatterChart>
      <c:valAx>
        <c:axId val="212771840"/>
        <c:scaling>
          <c:orientation val="minMax"/>
        </c:scaling>
        <c:delete val="0"/>
        <c:axPos val="b"/>
        <c:title>
          <c:tx>
            <c:rich>
              <a:bodyPr/>
              <a:lstStyle/>
              <a:p>
                <a:pPr>
                  <a:defRPr sz="800" b="1" i="0" u="none" strike="noStrike" baseline="0">
                    <a:solidFill>
                      <a:srgbClr val="000000"/>
                    </a:solidFill>
                    <a:latin typeface="Segoe UI" panose="020B0502040204020203" pitchFamily="34" charset="0"/>
                    <a:ea typeface="Segoe UI" panose="020B0502040204020203" pitchFamily="34" charset="0"/>
                    <a:cs typeface="Segoe UI" panose="020B0502040204020203" pitchFamily="34" charset="0"/>
                  </a:defRPr>
                </a:pPr>
                <a:r>
                  <a:rPr lang="bs-Latn-BA" sz="800" b="0">
                    <a:latin typeface="Segoe UI" panose="020B0502040204020203" pitchFamily="34" charset="0"/>
                    <a:ea typeface="Segoe UI" panose="020B0502040204020203" pitchFamily="34" charset="0"/>
                    <a:cs typeface="Segoe UI" panose="020B0502040204020203" pitchFamily="34" charset="0"/>
                  </a:rPr>
                  <a:t>Rizik</a:t>
                </a:r>
              </a:p>
            </c:rich>
          </c:tx>
          <c:layout>
            <c:manualLayout>
              <c:xMode val="edge"/>
              <c:yMode val="edge"/>
              <c:x val="0.48434458278527687"/>
              <c:y val="0.90543782027246456"/>
            </c:manualLayout>
          </c:layout>
          <c:overlay val="0"/>
        </c:title>
        <c:numFmt formatCode="#,##0.0" sourceLinked="0"/>
        <c:majorTickMark val="in"/>
        <c:minorTickMark val="none"/>
        <c:tickLblPos val="nextTo"/>
        <c:spPr>
          <a:ln w="3175">
            <a:solidFill>
              <a:srgbClr val="B3B3B3"/>
            </a:solidFill>
            <a:prstDash val="solid"/>
          </a:ln>
        </c:spPr>
        <c:txPr>
          <a:bodyPr rot="0" vert="horz"/>
          <a:lstStyle/>
          <a:p>
            <a:pPr>
              <a:defRPr sz="800" b="0" i="0" u="none" strike="noStrike" baseline="0">
                <a:solidFill>
                  <a:srgbClr val="000000"/>
                </a:solidFill>
                <a:latin typeface="Segoe UI"/>
                <a:ea typeface="Segoe UI"/>
                <a:cs typeface="Segoe UI"/>
              </a:defRPr>
            </a:pPr>
            <a:endParaRPr lang="en-US"/>
          </a:p>
        </c:txPr>
        <c:crossAx val="212773800"/>
        <c:crosses val="autoZero"/>
        <c:crossBetween val="midCat"/>
      </c:valAx>
      <c:valAx>
        <c:axId val="212773800"/>
        <c:scaling>
          <c:orientation val="minMax"/>
        </c:scaling>
        <c:delete val="0"/>
        <c:axPos val="l"/>
        <c:title>
          <c:tx>
            <c:rich>
              <a:bodyPr/>
              <a:lstStyle/>
              <a:p>
                <a:pPr>
                  <a:defRPr sz="800" b="1" i="0" u="none" strike="noStrike" baseline="0">
                    <a:solidFill>
                      <a:srgbClr val="000000"/>
                    </a:solidFill>
                    <a:latin typeface="Segoe UI" panose="020B0502040204020203" pitchFamily="34" charset="0"/>
                    <a:ea typeface="Segoe UI" panose="020B0502040204020203" pitchFamily="34" charset="0"/>
                    <a:cs typeface="Segoe UI" panose="020B0502040204020203" pitchFamily="34" charset="0"/>
                  </a:defRPr>
                </a:pPr>
                <a:r>
                  <a:rPr lang="bs-Latn-BA" sz="800" b="0">
                    <a:latin typeface="Segoe UI" panose="020B0502040204020203" pitchFamily="34" charset="0"/>
                    <a:ea typeface="Segoe UI" panose="020B0502040204020203" pitchFamily="34" charset="0"/>
                    <a:cs typeface="Segoe UI" panose="020B0502040204020203" pitchFamily="34" charset="0"/>
                  </a:rPr>
                  <a:t>Trošak</a:t>
                </a:r>
                <a:endParaRPr lang="en-US" sz="800" b="0">
                  <a:latin typeface="Segoe UI" panose="020B0502040204020203" pitchFamily="34" charset="0"/>
                  <a:ea typeface="Segoe UI" panose="020B0502040204020203" pitchFamily="34" charset="0"/>
                  <a:cs typeface="Segoe UI" panose="020B0502040204020203" pitchFamily="34" charset="0"/>
                </a:endParaRPr>
              </a:p>
            </c:rich>
          </c:tx>
          <c:layout>
            <c:manualLayout>
              <c:xMode val="edge"/>
              <c:yMode val="edge"/>
              <c:x val="2.5219864218434074E-2"/>
              <c:y val="0.37378426655001457"/>
            </c:manualLayout>
          </c:layout>
          <c:overlay val="0"/>
        </c:title>
        <c:numFmt formatCode="#,##0.0" sourceLinked="0"/>
        <c:majorTickMark val="in"/>
        <c:minorTickMark val="none"/>
        <c:tickLblPos val="nextTo"/>
        <c:spPr>
          <a:ln w="3175">
            <a:solidFill>
              <a:srgbClr val="B3B3B3"/>
            </a:solidFill>
            <a:prstDash val="solid"/>
          </a:ln>
        </c:spPr>
        <c:txPr>
          <a:bodyPr rot="0" vert="horz"/>
          <a:lstStyle/>
          <a:p>
            <a:pPr>
              <a:defRPr sz="800" b="0" i="0" u="none" strike="noStrike" baseline="0">
                <a:solidFill>
                  <a:srgbClr val="000000"/>
                </a:solidFill>
                <a:latin typeface="Segoe UI" panose="020B0502040204020203" pitchFamily="34" charset="0"/>
                <a:ea typeface="Segoe UI" panose="020B0502040204020203" pitchFamily="34" charset="0"/>
                <a:cs typeface="Segoe UI" panose="020B0502040204020203" pitchFamily="34" charset="0"/>
              </a:defRPr>
            </a:pPr>
            <a:endParaRPr lang="en-US"/>
          </a:p>
        </c:txPr>
        <c:crossAx val="212771840"/>
        <c:crossesAt val="0"/>
        <c:crossBetween val="midCat"/>
        <c:majorUnit val="5.000000000000001E-2"/>
      </c:valAx>
      <c:spPr>
        <a:solidFill>
          <a:srgbClr val="FFFFFF"/>
        </a:solidFill>
        <a:ln w="3175">
          <a:solidFill>
            <a:srgbClr val="B3B3B3"/>
          </a:solidFill>
          <a:prstDash val="solid"/>
        </a:ln>
      </c:spPr>
    </c:plotArea>
    <c:plotVisOnly val="1"/>
    <c:dispBlanksAs val="gap"/>
    <c:showDLblsOverMax val="0"/>
  </c:chart>
  <c:spPr>
    <a:ln w="9525">
      <a:solidFill>
        <a:srgbClr val="B3B3B3"/>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s-Latn-BA" sz="700">
                <a:latin typeface="Arial Narrow" panose="020B0606020202030204" pitchFamily="34" charset="0"/>
              </a:rPr>
              <a:t>Prije dekompozicije SDR-a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151D-4481-A555-C941CDE829F1}"/>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151D-4481-A555-C941CDE829F1}"/>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151D-4481-A555-C941CDE829F1}"/>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151D-4481-A555-C941CDE829F1}"/>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151D-4481-A555-C941CDE829F1}"/>
              </c:ext>
            </c:extLst>
          </c:dPt>
          <c:dLbls>
            <c:dLbl>
              <c:idx val="0"/>
              <c:layout>
                <c:manualLayout>
                  <c:x val="1.463397709787268E-2"/>
                  <c:y val="-9.7763973648132205E-3"/>
                </c:manualLayout>
              </c:layout>
              <c:tx>
                <c:rich>
                  <a:bodyPr/>
                  <a:lstStyle/>
                  <a:p>
                    <a:fld id="{522CC479-426D-4212-86A0-4B7A5FD7A9E8}" type="CELLRANGE">
                      <a:rPr lang="en-US" baseline="0"/>
                      <a:pPr/>
                      <a:t>[CELLRANGE]</a:t>
                    </a:fld>
                    <a:r>
                      <a:rPr lang="en-US" baseline="0"/>
                      <a:t>; </a:t>
                    </a:r>
                    <a:fld id="{431E0C68-A43D-4151-A63D-7A3D00B5CE09}" type="VALUE">
                      <a:rPr lang="en-US" baseline="0"/>
                      <a:pPr/>
                      <a:t>[VALUE]</a:t>
                    </a:fld>
                    <a:endParaRPr lang="en-US" baseline="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51D-4481-A555-C941CDE829F1}"/>
                </c:ext>
                <c:ext xmlns:c15="http://schemas.microsoft.com/office/drawing/2012/chart" uri="{CE6537A1-D6FC-4f65-9D91-7224C49458BB}">
                  <c15:dlblFieldTable/>
                  <c15:showDataLabelsRange val="1"/>
                </c:ext>
              </c:extLst>
            </c:dLbl>
            <c:dLbl>
              <c:idx val="1"/>
              <c:tx>
                <c:rich>
                  <a:bodyPr/>
                  <a:lstStyle/>
                  <a:p>
                    <a:fld id="{E9ACF600-A924-4883-81F6-0C04846CA202}" type="CELLRANGE">
                      <a:rPr lang="en-US"/>
                      <a:pPr/>
                      <a:t>[CELLRANGE]</a:t>
                    </a:fld>
                    <a:r>
                      <a:rPr lang="en-US" baseline="0"/>
                      <a:t>; </a:t>
                    </a:r>
                    <a:fld id="{E5765459-7C47-4A01-BD18-FA91C4150694}"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Lst>
            </c:dLbl>
            <c:dLbl>
              <c:idx val="2"/>
              <c:layout>
                <c:manualLayout>
                  <c:x val="2.0004406256884776E-2"/>
                  <c:y val="-0.2793492107785448"/>
                </c:manualLayout>
              </c:layout>
              <c:tx>
                <c:rich>
                  <a:bodyPr/>
                  <a:lstStyle/>
                  <a:p>
                    <a:fld id="{03D11CFE-2DA6-4E4D-AAB9-E1269D78A922}" type="CELLRANGE">
                      <a:rPr lang="en-US" baseline="0"/>
                      <a:pPr/>
                      <a:t>[CELLRANGE]</a:t>
                    </a:fld>
                    <a:r>
                      <a:rPr lang="en-US" baseline="0"/>
                      <a:t>; </a:t>
                    </a:r>
                    <a:fld id="{D2886FF1-E568-43BC-A420-1DC6DE724136}" type="VALUE">
                      <a:rPr lang="en-US" baseline="0"/>
                      <a:pPr/>
                      <a:t>[VALUE]</a:t>
                    </a:fld>
                    <a:endParaRPr lang="en-US" baseline="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51D-4481-A555-C941CDE829F1}"/>
                </c:ext>
                <c:ext xmlns:c15="http://schemas.microsoft.com/office/drawing/2012/chart" uri="{CE6537A1-D6FC-4f65-9D91-7224C49458BB}">
                  <c15:dlblFieldTable/>
                  <c15:showDataLabelsRange val="1"/>
                </c:ext>
              </c:extLst>
            </c:dLbl>
            <c:dLbl>
              <c:idx val="3"/>
              <c:layout>
                <c:manualLayout>
                  <c:x val="-0.25147306024949129"/>
                  <c:y val="2.846098783106657E-2"/>
                </c:manualLayout>
              </c:layout>
              <c:tx>
                <c:rich>
                  <a:bodyPr/>
                  <a:lstStyle/>
                  <a:p>
                    <a:fld id="{6DF38997-62F7-42D9-BC4E-2CDC8DF35BA9}" type="CELLRANGE">
                      <a:rPr lang="en-US" baseline="0"/>
                      <a:pPr/>
                      <a:t>[CELLRANGE]</a:t>
                    </a:fld>
                    <a:r>
                      <a:rPr lang="en-US" baseline="0"/>
                      <a:t>; </a:t>
                    </a:r>
                    <a:fld id="{1B27DB4A-EA0E-4644-999D-3B090C786922}" type="VALUE">
                      <a:rPr lang="en-US" baseline="0"/>
                      <a:pPr/>
                      <a:t>[VALUE]</a:t>
                    </a:fld>
                    <a:endParaRPr lang="en-US" baseline="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51D-4481-A555-C941CDE829F1}"/>
                </c:ext>
                <c:ext xmlns:c15="http://schemas.microsoft.com/office/drawing/2012/chart" uri="{CE6537A1-D6FC-4f65-9D91-7224C49458BB}">
                  <c15:dlblFieldTable/>
                  <c15:showDataLabelsRange val="1"/>
                </c:ext>
              </c:extLst>
            </c:dLbl>
            <c:dLbl>
              <c:idx val="4"/>
              <c:tx>
                <c:rich>
                  <a:bodyPr/>
                  <a:lstStyle/>
                  <a:p>
                    <a:fld id="{D1AD52E3-6FD3-43F5-AD70-D2F0699677BC}" type="CELLRANGE">
                      <a:rPr lang="en-US"/>
                      <a:pPr/>
                      <a:t>[CELLRANGE]</a:t>
                    </a:fld>
                    <a:r>
                      <a:rPr lang="en-US" baseline="0"/>
                      <a:t>; </a:t>
                    </a:r>
                    <a:fld id="{BBD1645B-CA0A-4BB3-A318-F3137DAC3953}"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showDataLabelsRange val="1"/>
              </c:ext>
            </c:extLst>
          </c:dLbls>
          <c:val>
            <c:numRef>
              <c:f>'LOANS External &amp; Domestic'!$U$1403:$U$1407</c:f>
              <c:numCache>
                <c:formatCode>0.00%</c:formatCode>
                <c:ptCount val="5"/>
                <c:pt idx="0">
                  <c:v>0.27429558079223998</c:v>
                </c:pt>
                <c:pt idx="1">
                  <c:v>0.11726199614518477</c:v>
                </c:pt>
                <c:pt idx="2">
                  <c:v>0.60311777772319497</c:v>
                </c:pt>
                <c:pt idx="3">
                  <c:v>0</c:v>
                </c:pt>
                <c:pt idx="4">
                  <c:v>5.3246453393801683E-3</c:v>
                </c:pt>
              </c:numCache>
            </c:numRef>
          </c:val>
          <c:extLst xmlns:c16r2="http://schemas.microsoft.com/office/drawing/2015/06/chart">
            <c:ext xmlns:c16="http://schemas.microsoft.com/office/drawing/2014/chart" uri="{C3380CC4-5D6E-409C-BE32-E72D297353CC}">
              <c16:uniqueId val="{0000000A-151D-4481-A555-C941CDE829F1}"/>
            </c:ext>
            <c:ext xmlns:c15="http://schemas.microsoft.com/office/drawing/2012/chart" uri="{02D57815-91ED-43cb-92C2-25804820EDAC}">
              <c15:filteredCategoryTitle>
                <c15:cat>
                  <c:strRef>
                    <c:extLst xmlns:c16="http://schemas.microsoft.com/office/drawing/2014/chart" xmlns:c16r2="http://schemas.microsoft.com/office/drawing/2015/06/chart">
                      <c:ext uri="{02D57815-91ED-43cb-92C2-25804820EDAC}">
                        <c15:formulaRef>
                          <c15:sqref>'LOANS External &amp; Domestic'!$T$1403:$T$1407</c15:sqref>
                        </c15:formulaRef>
                      </c:ext>
                    </c:extLst>
                    <c:strCache>
                      <c:ptCount val="5"/>
                      <c:pt idx="0">
                        <c:v>SDR</c:v>
                      </c:pt>
                      <c:pt idx="1">
                        <c:v>USD</c:v>
                      </c:pt>
                      <c:pt idx="2">
                        <c:v>EUR</c:v>
                      </c:pt>
                      <c:pt idx="3">
                        <c:v>GBP</c:v>
                      </c:pt>
                      <c:pt idx="4">
                        <c:v>JPY</c:v>
                      </c:pt>
                    </c:strCache>
                  </c:strRef>
                </c15:cat>
              </c15:filteredCategoryTitle>
            </c:ext>
            <c:ext xmlns:c15="http://schemas.microsoft.com/office/drawing/2012/chart" uri="{02D57815-91ED-43cb-92C2-25804820EDAC}">
              <c15:datalabelsRange>
                <c15:f>'LOANS External &amp; Domestic'!$T$1403:$T$1407</c15:f>
                <c15:dlblRangeCache>
                  <c:ptCount val="5"/>
                  <c:pt idx="0">
                    <c:v>SDR</c:v>
                  </c:pt>
                  <c:pt idx="1">
                    <c:v>USD</c:v>
                  </c:pt>
                  <c:pt idx="2">
                    <c:v>EUR</c:v>
                  </c:pt>
                  <c:pt idx="3">
                    <c:v>GBP</c:v>
                  </c:pt>
                  <c:pt idx="4">
                    <c:v>JPY</c:v>
                  </c:pt>
                </c15:dlblRangeCache>
              </c15:datalabelsRange>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bs-Latn-BA" sz="105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r>
              <a:rPr lang="bs-Latn-BA" sz="700" b="0" i="0" u="none" strike="noStrike" kern="1200" spc="0" baseline="0">
                <a:solidFill>
                  <a:sysClr val="windowText" lastClr="000000">
                    <a:lumMod val="65000"/>
                    <a:lumOff val="35000"/>
                  </a:sysClr>
                </a:solidFill>
                <a:latin typeface="Arial Narrow" panose="020B0606020202030204" pitchFamily="34" charset="0"/>
                <a:ea typeface="+mn-ea"/>
                <a:cs typeface="Arial" panose="020B0604020202020204" pitchFamily="34" charset="0"/>
              </a:rPr>
              <a:t>Poslije dekompozicije SDR-a</a:t>
            </a:r>
          </a:p>
        </c:rich>
      </c:tx>
      <c:overlay val="0"/>
      <c:spPr>
        <a:noFill/>
        <a:ln>
          <a:noFill/>
        </a:ln>
        <a:effectLst/>
      </c:spPr>
      <c:txPr>
        <a:bodyPr rot="0" spcFirstLastPara="1" vertOverflow="ellipsis" vert="horz" wrap="square" anchor="ctr" anchorCtr="1"/>
        <a:lstStyle/>
        <a:p>
          <a:pPr algn="ctr" rtl="0">
            <a:defRPr lang="bs-Latn-BA" sz="105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n-US"/>
        </a:p>
      </c:txPr>
    </c:title>
    <c:autoTitleDeleted val="0"/>
    <c:view3D>
      <c:rotX val="30"/>
      <c:rotY val="1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4F7-438C-A432-DACAAC227664}"/>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4F7-438C-A432-DACAAC227664}"/>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E4F7-438C-A432-DACAAC227664}"/>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E4F7-438C-A432-DACAAC227664}"/>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E4F7-438C-A432-DACAAC227664}"/>
              </c:ext>
            </c:extLst>
          </c:dPt>
          <c:dLbls>
            <c:dLbl>
              <c:idx val="0"/>
              <c:layout>
                <c:manualLayout>
                  <c:x val="7.4664484394480674E-2"/>
                  <c:y val="5.3545240546589136E-2"/>
                </c:manualLayout>
              </c:layout>
              <c:tx>
                <c:rich>
                  <a:bodyPr/>
                  <a:lstStyle/>
                  <a:p>
                    <a:fld id="{94BDD68A-8EB2-4ED3-B863-172E845821CF}" type="CELLRANGE">
                      <a:rPr lang="en-US" baseline="0"/>
                      <a:pPr/>
                      <a:t>[CELLRANGE]</a:t>
                    </a:fld>
                    <a:r>
                      <a:rPr lang="en-US" baseline="0"/>
                      <a:t>; </a:t>
                    </a:r>
                    <a:fld id="{3AC3A16E-E063-41BA-A5B8-648A840F1652}" type="PERCENTAGE">
                      <a:rPr lang="en-US" baseline="0"/>
                      <a:pPr/>
                      <a:t>[PERCENTAGE]</a:t>
                    </a:fld>
                    <a:endParaRPr lang="en-US" baseline="0"/>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E4F7-438C-A432-DACAAC227664}"/>
                </c:ext>
                <c:ext xmlns:c15="http://schemas.microsoft.com/office/drawing/2012/chart" uri="{CE6537A1-D6FC-4f65-9D91-7224C49458BB}">
                  <c15:dlblFieldTable/>
                  <c15:showDataLabelsRange val="1"/>
                </c:ext>
              </c:extLst>
            </c:dLbl>
            <c:dLbl>
              <c:idx val="1"/>
              <c:layout>
                <c:manualLayout>
                  <c:x val="3.9626425777390749E-2"/>
                  <c:y val="6.5188053150814718E-2"/>
                </c:manualLayout>
              </c:layout>
              <c:tx>
                <c:rich>
                  <a:bodyPr/>
                  <a:lstStyle/>
                  <a:p>
                    <a:fld id="{31C3A58B-CC04-47BA-9DE6-2EC761890B25}" type="CELLRANGE">
                      <a:rPr lang="en-US" baseline="0"/>
                      <a:pPr/>
                      <a:t>[CELLRANGE]</a:t>
                    </a:fld>
                    <a:r>
                      <a:rPr lang="en-US" baseline="0"/>
                      <a:t>; </a:t>
                    </a:r>
                    <a:fld id="{54BBE9FD-03D1-4927-9BAF-615C62428033}" type="PERCENTAGE">
                      <a:rPr lang="en-US" baseline="0"/>
                      <a:pPr/>
                      <a:t>[PERCENTAGE]</a:t>
                    </a:fld>
                    <a:endParaRPr lang="en-US" baseline="0"/>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E4F7-438C-A432-DACAAC227664}"/>
                </c:ext>
                <c:ext xmlns:c15="http://schemas.microsoft.com/office/drawing/2012/chart" uri="{CE6537A1-D6FC-4f65-9D91-7224C49458BB}">
                  <c15:dlblFieldTable/>
                  <c15:showDataLabelsRange val="1"/>
                </c:ext>
              </c:extLst>
            </c:dLbl>
            <c:dLbl>
              <c:idx val="2"/>
              <c:tx>
                <c:rich>
                  <a:bodyPr/>
                  <a:lstStyle/>
                  <a:p>
                    <a:fld id="{24D619DC-24D6-4274-919B-C12BF6E6CD68}" type="CELLRANGE">
                      <a:rPr lang="en-US"/>
                      <a:pPr/>
                      <a:t>[CELLRANGE]</a:t>
                    </a:fld>
                    <a:r>
                      <a:rPr lang="en-US" baseline="0"/>
                      <a:t>; </a:t>
                    </a:r>
                    <a:fld id="{87DE0A80-450D-4478-8FC8-7C049BF43E30}" type="PERCENTAGE">
                      <a:rPr lang="en-US" baseline="0"/>
                      <a:pPr/>
                      <a:t>[PERCENTAGE]</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Lst>
            </c:dLbl>
            <c:dLbl>
              <c:idx val="3"/>
              <c:tx>
                <c:rich>
                  <a:bodyPr/>
                  <a:lstStyle/>
                  <a:p>
                    <a:fld id="{445B5BD8-2368-4385-A01A-0A2A07F0C95A}" type="CELLRANGE">
                      <a:rPr lang="en-US"/>
                      <a:pPr/>
                      <a:t>[CELLRANGE]</a:t>
                    </a:fld>
                    <a:r>
                      <a:rPr lang="en-US" baseline="0"/>
                      <a:t>; </a:t>
                    </a:r>
                    <a:fld id="{7A69906C-8427-4D73-9AE3-9739244A88B4}" type="PERCENTAGE">
                      <a:rPr lang="en-US" baseline="0"/>
                      <a:pPr/>
                      <a:t>[PERCENTAGE]</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Lst>
            </c:dLbl>
            <c:dLbl>
              <c:idx val="4"/>
              <c:tx>
                <c:rich>
                  <a:bodyPr/>
                  <a:lstStyle/>
                  <a:p>
                    <a:fld id="{DC012FC8-8CCE-42FA-9222-BF02CBB93C34}" type="CELLRANGE">
                      <a:rPr lang="en-US"/>
                      <a:pPr/>
                      <a:t>[CELLRANGE]</a:t>
                    </a:fld>
                    <a:r>
                      <a:rPr lang="en-US" baseline="0"/>
                      <a:t>; </a:t>
                    </a:r>
                    <a:fld id="{A09CB284-4423-40F3-B65A-A2F46E5697DA}" type="PERCENTAGE">
                      <a:rPr lang="en-US" baseline="0"/>
                      <a:pPr/>
                      <a:t>[PERCENTAGE]</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showDataLabelsRange val="1"/>
              </c:ext>
            </c:extLst>
          </c:dLbls>
          <c:val>
            <c:numRef>
              <c:f>'LOANS External &amp; Domestic'!$T$1412:$T$1416</c:f>
              <c:numCache>
                <c:formatCode>#,##0.00</c:formatCode>
                <c:ptCount val="5"/>
                <c:pt idx="0">
                  <c:v>725406922.30020428</c:v>
                </c:pt>
                <c:pt idx="1">
                  <c:v>2153621290.535358</c:v>
                </c:pt>
                <c:pt idx="2">
                  <c:v>69466452.542036012</c:v>
                </c:pt>
                <c:pt idx="3">
                  <c:v>88195837.061710194</c:v>
                </c:pt>
                <c:pt idx="4">
                  <c:v>93766830.872562841</c:v>
                </c:pt>
              </c:numCache>
            </c:numRef>
          </c:val>
          <c:extLst xmlns:c16r2="http://schemas.microsoft.com/office/drawing/2015/06/chart">
            <c:ext xmlns:c16="http://schemas.microsoft.com/office/drawing/2014/chart" uri="{C3380CC4-5D6E-409C-BE32-E72D297353CC}">
              <c16:uniqueId val="{0000000A-E4F7-438C-A432-DACAAC227664}"/>
            </c:ext>
            <c:ext xmlns:c15="http://schemas.microsoft.com/office/drawing/2012/chart" uri="{02D57815-91ED-43cb-92C2-25804820EDAC}">
              <c15:filteredCategoryTitle>
                <c15:cat>
                  <c:strRef>
                    <c:extLst xmlns:c16="http://schemas.microsoft.com/office/drawing/2014/chart" xmlns:c16r2="http://schemas.microsoft.com/office/drawing/2015/06/chart">
                      <c:ext uri="{02D57815-91ED-43cb-92C2-25804820EDAC}">
                        <c15:formulaRef>
                          <c15:sqref>'LOANS External &amp; Domestic'!$S$1412:$S$1416</c15:sqref>
                        </c15:formulaRef>
                      </c:ext>
                    </c:extLst>
                    <c:strCache>
                      <c:ptCount val="5"/>
                      <c:pt idx="0">
                        <c:v>USD</c:v>
                      </c:pt>
                      <c:pt idx="1">
                        <c:v>EUR</c:v>
                      </c:pt>
                      <c:pt idx="2">
                        <c:v>GBP</c:v>
                      </c:pt>
                      <c:pt idx="3">
                        <c:v>JPY</c:v>
                      </c:pt>
                      <c:pt idx="4">
                        <c:v>CHY</c:v>
                      </c:pt>
                    </c:strCache>
                  </c:strRef>
                </c15:cat>
              </c15:filteredCategoryTitle>
            </c:ext>
            <c:ext xmlns:c15="http://schemas.microsoft.com/office/drawing/2012/chart" uri="{02D57815-91ED-43cb-92C2-25804820EDAC}">
              <c15:datalabelsRange>
                <c15:f>'LOANS External &amp; Domestic'!$S$1412:$S$1416</c15:f>
                <c15:dlblRangeCache>
                  <c:ptCount val="5"/>
                  <c:pt idx="0">
                    <c:v>USD</c:v>
                  </c:pt>
                  <c:pt idx="1">
                    <c:v>EUR</c:v>
                  </c:pt>
                  <c:pt idx="2">
                    <c:v>GBP</c:v>
                  </c:pt>
                  <c:pt idx="3">
                    <c:v>JPY</c:v>
                  </c:pt>
                  <c:pt idx="4">
                    <c:v>CHY</c:v>
                  </c:pt>
                </c15:dlblRangeCache>
              </c15:datalabelsRange>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6846270798452004"/>
          <c:y val="9.854710983069126E-2"/>
          <c:w val="0.47408752818057592"/>
          <c:h val="0.77587031491704861"/>
        </c:manualLayout>
      </c:layout>
      <c:pie3DChart>
        <c:varyColors val="1"/>
        <c:ser>
          <c:idx val="0"/>
          <c:order val="0"/>
          <c:explosion val="5"/>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E9F-4F03-95A3-52C86ADD738D}"/>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E9F-4F03-95A3-52C86ADD738D}"/>
              </c:ext>
            </c:extLst>
          </c:dPt>
          <c:dLbls>
            <c:dLbl>
              <c:idx val="0"/>
              <c:layout>
                <c:manualLayout>
                  <c:x val="1.2421771142243583E-2"/>
                  <c:y val="-4.5130918110727884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9E9F-4F03-95A3-52C86ADD738D}"/>
                </c:ext>
                <c:ext xmlns:c15="http://schemas.microsoft.com/office/drawing/2012/chart" uri="{CE6537A1-D6FC-4f65-9D91-7224C49458BB}"/>
              </c:extLst>
            </c:dLbl>
            <c:dLbl>
              <c:idx val="1"/>
              <c:layout>
                <c:manualLayout>
                  <c:x val="-1.7776527934008239E-2"/>
                  <c:y val="-0.38590494639621808"/>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9E9F-4F03-95A3-52C86ADD738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'LOANS External &amp; Domestic'!$Q$1378:$Q$1379</c:f>
              <c:strCache>
                <c:ptCount val="2"/>
                <c:pt idx="0">
                  <c:v>Varijabilna</c:v>
                </c:pt>
                <c:pt idx="1">
                  <c:v>Fiksna kamata</c:v>
                </c:pt>
              </c:strCache>
            </c:strRef>
          </c:cat>
          <c:val>
            <c:numRef>
              <c:f>'LOANS External &amp; Domestic'!$R$1378:$R$1379</c:f>
              <c:numCache>
                <c:formatCode>0.00%</c:formatCode>
                <c:ptCount val="2"/>
                <c:pt idx="0">
                  <c:v>0.37706088128711862</c:v>
                </c:pt>
                <c:pt idx="1">
                  <c:v>0.62293911871288143</c:v>
                </c:pt>
              </c:numCache>
            </c:numRef>
          </c:val>
          <c:extLst xmlns:c16r2="http://schemas.microsoft.com/office/drawing/2015/06/chart">
            <c:ext xmlns:c16="http://schemas.microsoft.com/office/drawing/2014/chart" uri="{C3380CC4-5D6E-409C-BE32-E72D297353CC}">
              <c16:uniqueId val="{00000004-9E9F-4F03-95A3-52C86ADD738D}"/>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UNUTRAŠNJI!$T$62</c:f>
              <c:strCache>
                <c:ptCount val="1"/>
                <c:pt idx="0">
                  <c:v>Iznos duga</c:v>
                </c:pt>
              </c:strCache>
            </c:strRef>
          </c:tx>
          <c:spPr>
            <a:solidFill>
              <a:schemeClr val="accent1"/>
            </a:solidFill>
            <a:ln>
              <a:noFill/>
            </a:ln>
            <a:effectLst/>
          </c:spPr>
          <c:invertIfNegative val="0"/>
          <c:cat>
            <c:strRef>
              <c:f>UNUTRAŠNJI!$S$63:$S$66</c:f>
              <c:strCache>
                <c:ptCount val="4"/>
                <c:pt idx="0">
                  <c:v>(0 - 1) %</c:v>
                </c:pt>
                <c:pt idx="1">
                  <c:v>(1 - 2) %</c:v>
                </c:pt>
                <c:pt idx="2">
                  <c:v>(2 - 3) %</c:v>
                </c:pt>
                <c:pt idx="3">
                  <c:v>(3 - 4) %</c:v>
                </c:pt>
              </c:strCache>
            </c:strRef>
          </c:cat>
          <c:val>
            <c:numRef>
              <c:f>UNUTRAŠNJI!$T$63:$T$66</c:f>
              <c:numCache>
                <c:formatCode>#,##0</c:formatCode>
                <c:ptCount val="4"/>
                <c:pt idx="0">
                  <c:v>420</c:v>
                </c:pt>
                <c:pt idx="1">
                  <c:v>160</c:v>
                </c:pt>
                <c:pt idx="2">
                  <c:v>74.277457999999996</c:v>
                </c:pt>
                <c:pt idx="3">
                  <c:v>100</c:v>
                </c:pt>
              </c:numCache>
            </c:numRef>
          </c:val>
          <c:extLst xmlns:c16r2="http://schemas.microsoft.com/office/drawing/2015/06/chart">
            <c:ext xmlns:c16="http://schemas.microsoft.com/office/drawing/2014/chart" uri="{C3380CC4-5D6E-409C-BE32-E72D297353CC}">
              <c16:uniqueId val="{00000000-2DC6-4527-AF6E-EC4774F62930}"/>
            </c:ext>
          </c:extLst>
        </c:ser>
        <c:dLbls>
          <c:showLegendKey val="0"/>
          <c:showVal val="0"/>
          <c:showCatName val="0"/>
          <c:showSerName val="0"/>
          <c:showPercent val="0"/>
          <c:showBubbleSize val="0"/>
        </c:dLbls>
        <c:gapWidth val="182"/>
        <c:axId val="646182120"/>
        <c:axId val="646182904"/>
      </c:barChart>
      <c:catAx>
        <c:axId val="646182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646182904"/>
        <c:crosses val="autoZero"/>
        <c:auto val="1"/>
        <c:lblAlgn val="ctr"/>
        <c:lblOffset val="100"/>
        <c:noMultiLvlLbl val="0"/>
      </c:catAx>
      <c:valAx>
        <c:axId val="6461829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6461821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v>Vanjski dug</c:v>
          </c:tx>
          <c:spPr>
            <a:pattFill prst="wdDnDiag">
              <a:fgClr>
                <a:schemeClr val="accent1"/>
              </a:fgClr>
              <a:bgClr>
                <a:schemeClr val="bg1"/>
              </a:bgClr>
            </a:pattFill>
            <a:ln>
              <a:solidFill>
                <a:schemeClr val="accent1"/>
              </a:solidFill>
            </a:ln>
            <a:effectLst/>
          </c:spPr>
          <c:invertIfNegative val="0"/>
          <c:cat>
            <c:numRef>
              <c:f>[1]VANJSKI!$E$103:$AI$103</c:f>
              <c:numCache>
                <c:formatCode>0</c:formatCode>
                <c:ptCount val="31"/>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pt idx="23">
                  <c:v>2045</c:v>
                </c:pt>
                <c:pt idx="24">
                  <c:v>2046</c:v>
                </c:pt>
                <c:pt idx="25">
                  <c:v>2047</c:v>
                </c:pt>
                <c:pt idx="26">
                  <c:v>2048</c:v>
                </c:pt>
                <c:pt idx="27">
                  <c:v>2049</c:v>
                </c:pt>
                <c:pt idx="28">
                  <c:v>2050</c:v>
                </c:pt>
                <c:pt idx="29">
                  <c:v>2051</c:v>
                </c:pt>
                <c:pt idx="30">
                  <c:v>2052</c:v>
                </c:pt>
              </c:numCache>
            </c:numRef>
          </c:cat>
          <c:val>
            <c:numRef>
              <c:f>[1]VANJSKI!$E$105:$AI$105</c:f>
              <c:numCache>
                <c:formatCode>0</c:formatCode>
                <c:ptCount val="31"/>
                <c:pt idx="0">
                  <c:v>445.16536506058884</c:v>
                </c:pt>
                <c:pt idx="1">
                  <c:v>646.51436465758309</c:v>
                </c:pt>
                <c:pt idx="2">
                  <c:v>664.50923909654068</c:v>
                </c:pt>
                <c:pt idx="3">
                  <c:v>524.94395285197379</c:v>
                </c:pt>
                <c:pt idx="4">
                  <c:v>406.64317771231998</c:v>
                </c:pt>
                <c:pt idx="5">
                  <c:v>349.71112589659475</c:v>
                </c:pt>
                <c:pt idx="6">
                  <c:v>326.74749833625566</c:v>
                </c:pt>
                <c:pt idx="7">
                  <c:v>304.9576581884221</c:v>
                </c:pt>
                <c:pt idx="8">
                  <c:v>286.91494800014436</c:v>
                </c:pt>
                <c:pt idx="9">
                  <c:v>236.41290905129225</c:v>
                </c:pt>
                <c:pt idx="10">
                  <c:v>174.07531310670487</c:v>
                </c:pt>
                <c:pt idx="11">
                  <c:v>149.30111499272385</c:v>
                </c:pt>
                <c:pt idx="12">
                  <c:v>131.03946273868578</c:v>
                </c:pt>
                <c:pt idx="13">
                  <c:v>118.26842538170018</c:v>
                </c:pt>
                <c:pt idx="14">
                  <c:v>251.00265299793315</c:v>
                </c:pt>
                <c:pt idx="15">
                  <c:v>80.410394576861478</c:v>
                </c:pt>
                <c:pt idx="16">
                  <c:v>65.756650052783883</c:v>
                </c:pt>
                <c:pt idx="17">
                  <c:v>42.542866071221262</c:v>
                </c:pt>
                <c:pt idx="18">
                  <c:v>31.276117231566168</c:v>
                </c:pt>
                <c:pt idx="19">
                  <c:v>27.160915939593313</c:v>
                </c:pt>
                <c:pt idx="20">
                  <c:v>25.308176132155612</c:v>
                </c:pt>
                <c:pt idx="21">
                  <c:v>23.764583206325785</c:v>
                </c:pt>
                <c:pt idx="22">
                  <c:v>22.297450383692869</c:v>
                </c:pt>
                <c:pt idx="23">
                  <c:v>20.487414934205969</c:v>
                </c:pt>
                <c:pt idx="24">
                  <c:v>16.113003141508941</c:v>
                </c:pt>
                <c:pt idx="25">
                  <c:v>9.2241576828553153</c:v>
                </c:pt>
                <c:pt idx="26">
                  <c:v>9.2241576828553153</c:v>
                </c:pt>
                <c:pt idx="27">
                  <c:v>7.4935012954905167</c:v>
                </c:pt>
                <c:pt idx="28">
                  <c:v>1.6755916642237176</c:v>
                </c:pt>
                <c:pt idx="29">
                  <c:v>1.5687056329569176</c:v>
                </c:pt>
                <c:pt idx="30">
                  <c:v>1.5034345398155178</c:v>
                </c:pt>
              </c:numCache>
            </c:numRef>
          </c:val>
          <c:extLst xmlns:c16r2="http://schemas.microsoft.com/office/drawing/2015/06/chart">
            <c:ext xmlns:c16="http://schemas.microsoft.com/office/drawing/2014/chart" uri="{C3380CC4-5D6E-409C-BE32-E72D297353CC}">
              <c16:uniqueId val="{00000000-451B-4068-ACC5-673270B76634}"/>
            </c:ext>
          </c:extLst>
        </c:ser>
        <c:ser>
          <c:idx val="1"/>
          <c:order val="1"/>
          <c:tx>
            <c:strRef>
              <c:f>[Grafikoni.xlsx]VANJSKI!$D$104</c:f>
              <c:strCache>
                <c:ptCount val="1"/>
                <c:pt idx="0">
                  <c:v>Unutarnji dug</c:v>
                </c:pt>
              </c:strCache>
            </c:strRef>
          </c:tx>
          <c:spPr>
            <a:noFill/>
            <a:ln>
              <a:solidFill>
                <a:schemeClr val="accent1"/>
              </a:solidFill>
            </a:ln>
            <a:effectLst/>
          </c:spPr>
          <c:invertIfNegative val="0"/>
          <c:cat>
            <c:numRef>
              <c:f>[1]VANJSKI!$E$103:$AI$103</c:f>
              <c:numCache>
                <c:formatCode>0</c:formatCode>
                <c:ptCount val="31"/>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pt idx="23">
                  <c:v>2045</c:v>
                </c:pt>
                <c:pt idx="24">
                  <c:v>2046</c:v>
                </c:pt>
                <c:pt idx="25">
                  <c:v>2047</c:v>
                </c:pt>
                <c:pt idx="26">
                  <c:v>2048</c:v>
                </c:pt>
                <c:pt idx="27">
                  <c:v>2049</c:v>
                </c:pt>
                <c:pt idx="28">
                  <c:v>2050</c:v>
                </c:pt>
                <c:pt idx="29">
                  <c:v>2051</c:v>
                </c:pt>
                <c:pt idx="30">
                  <c:v>2052</c:v>
                </c:pt>
              </c:numCache>
            </c:numRef>
          </c:cat>
          <c:val>
            <c:numRef>
              <c:f>[1]VANJSKI!$E$104:$AI$104</c:f>
              <c:numCache>
                <c:formatCode>0</c:formatCode>
                <c:ptCount val="31"/>
                <c:pt idx="0">
                  <c:v>255.58548999999999</c:v>
                </c:pt>
                <c:pt idx="1">
                  <c:v>55.798144000000001</c:v>
                </c:pt>
                <c:pt idx="2">
                  <c:v>30.659859999999998</c:v>
                </c:pt>
                <c:pt idx="3">
                  <c:v>71.362015999999997</c:v>
                </c:pt>
                <c:pt idx="4">
                  <c:v>120.36000900000001</c:v>
                </c:pt>
                <c:pt idx="5">
                  <c:v>100.511939</c:v>
                </c:pt>
                <c:pt idx="6">
                  <c:v>30</c:v>
                </c:pt>
                <c:pt idx="7">
                  <c:v>30</c:v>
                </c:pt>
                <c:pt idx="8">
                  <c:v>0</c:v>
                </c:pt>
                <c:pt idx="9">
                  <c:v>30</c:v>
                </c:pt>
                <c:pt idx="10">
                  <c:v>0</c:v>
                </c:pt>
                <c:pt idx="11">
                  <c:v>0</c:v>
                </c:pt>
                <c:pt idx="12">
                  <c:v>0</c:v>
                </c:pt>
                <c:pt idx="13">
                  <c:v>30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numCache>
            </c:numRef>
          </c:val>
          <c:extLst xmlns:c16r2="http://schemas.microsoft.com/office/drawing/2015/06/chart">
            <c:ext xmlns:c16="http://schemas.microsoft.com/office/drawing/2014/chart" uri="{C3380CC4-5D6E-409C-BE32-E72D297353CC}">
              <c16:uniqueId val="{00000001-451B-4068-ACC5-673270B76634}"/>
            </c:ext>
          </c:extLst>
        </c:ser>
        <c:dLbls>
          <c:showLegendKey val="0"/>
          <c:showVal val="0"/>
          <c:showCatName val="0"/>
          <c:showSerName val="0"/>
          <c:showPercent val="0"/>
          <c:showBubbleSize val="0"/>
        </c:dLbls>
        <c:gapWidth val="219"/>
        <c:overlap val="100"/>
        <c:axId val="646188784"/>
        <c:axId val="646192704"/>
      </c:barChart>
      <c:catAx>
        <c:axId val="64618878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192704"/>
        <c:crosses val="autoZero"/>
        <c:auto val="1"/>
        <c:lblAlgn val="ctr"/>
        <c:lblOffset val="100"/>
        <c:noMultiLvlLbl val="0"/>
      </c:catAx>
      <c:valAx>
        <c:axId val="646192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6461887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6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Sheet4!$J$20</c:f>
              <c:strCache>
                <c:ptCount val="1"/>
                <c:pt idx="0">
                  <c:v>Dospijeća glavnica RFI</c:v>
                </c:pt>
              </c:strCache>
            </c:strRef>
          </c:tx>
          <c:spPr>
            <a:pattFill prst="wdDnDiag">
              <a:fgClr>
                <a:schemeClr val="accent1"/>
              </a:fgClr>
              <a:bgClr>
                <a:schemeClr val="bg1"/>
              </a:bgClr>
            </a:pattFill>
            <a:ln>
              <a:solidFill>
                <a:schemeClr val="accent1"/>
              </a:solidFill>
            </a:ln>
            <a:effectLst/>
          </c:spPr>
          <c:invertIfNegative val="0"/>
          <c:cat>
            <c:numRef>
              <c:f>Sheet4!$K$19:$Q$19</c:f>
              <c:numCache>
                <c:formatCode>General</c:formatCode>
                <c:ptCount val="7"/>
                <c:pt idx="0">
                  <c:v>2022</c:v>
                </c:pt>
                <c:pt idx="1">
                  <c:v>2023</c:v>
                </c:pt>
                <c:pt idx="2">
                  <c:v>2024</c:v>
                </c:pt>
                <c:pt idx="3">
                  <c:v>2025</c:v>
                </c:pt>
                <c:pt idx="4">
                  <c:v>2026</c:v>
                </c:pt>
                <c:pt idx="5">
                  <c:v>2027</c:v>
                </c:pt>
                <c:pt idx="6">
                  <c:v>2028</c:v>
                </c:pt>
              </c:numCache>
            </c:numRef>
          </c:cat>
          <c:val>
            <c:numRef>
              <c:f>Sheet4!$K$20:$Q$20</c:f>
              <c:numCache>
                <c:formatCode>#,##0</c:formatCode>
                <c:ptCount val="7"/>
                <c:pt idx="0">
                  <c:v>0</c:v>
                </c:pt>
                <c:pt idx="1">
                  <c:v>98.686563124499983</c:v>
                </c:pt>
                <c:pt idx="2">
                  <c:v>197.37312624899997</c:v>
                </c:pt>
                <c:pt idx="3">
                  <c:v>98.686563124499983</c:v>
                </c:pt>
                <c:pt idx="4">
                  <c:v>0</c:v>
                </c:pt>
                <c:pt idx="5">
                  <c:v>0</c:v>
                </c:pt>
                <c:pt idx="6">
                  <c:v>0</c:v>
                </c:pt>
              </c:numCache>
            </c:numRef>
          </c:val>
          <c:extLst xmlns:c16r2="http://schemas.microsoft.com/office/drawing/2015/06/chart">
            <c:ext xmlns:c16="http://schemas.microsoft.com/office/drawing/2014/chart" uri="{C3380CC4-5D6E-409C-BE32-E72D297353CC}">
              <c16:uniqueId val="{00000000-056C-4144-BCDF-694F6A166A58}"/>
            </c:ext>
          </c:extLst>
        </c:ser>
        <c:ser>
          <c:idx val="1"/>
          <c:order val="1"/>
          <c:tx>
            <c:strRef>
              <c:f>Sheet4!$J$21</c:f>
              <c:strCache>
                <c:ptCount val="1"/>
                <c:pt idx="0">
                  <c:v>Dospijeća glavnica EFF</c:v>
                </c:pt>
              </c:strCache>
            </c:strRef>
          </c:tx>
          <c:spPr>
            <a:noFill/>
            <a:ln>
              <a:solidFill>
                <a:schemeClr val="accent1"/>
              </a:solidFill>
            </a:ln>
            <a:effectLst/>
          </c:spPr>
          <c:invertIfNegative val="0"/>
          <c:cat>
            <c:numRef>
              <c:f>Sheet4!$K$19:$Q$19</c:f>
              <c:numCache>
                <c:formatCode>General</c:formatCode>
                <c:ptCount val="7"/>
                <c:pt idx="0">
                  <c:v>2022</c:v>
                </c:pt>
                <c:pt idx="1">
                  <c:v>2023</c:v>
                </c:pt>
                <c:pt idx="2">
                  <c:v>2024</c:v>
                </c:pt>
                <c:pt idx="3">
                  <c:v>2025</c:v>
                </c:pt>
                <c:pt idx="4">
                  <c:v>2026</c:v>
                </c:pt>
                <c:pt idx="5">
                  <c:v>2027</c:v>
                </c:pt>
                <c:pt idx="6">
                  <c:v>2028</c:v>
                </c:pt>
              </c:numCache>
            </c:numRef>
          </c:cat>
          <c:val>
            <c:numRef>
              <c:f>Sheet4!$K$21:$Q$21</c:f>
              <c:numCache>
                <c:formatCode>#,##0</c:formatCode>
                <c:ptCount val="7"/>
                <c:pt idx="0">
                  <c:v>25.579556201817667</c:v>
                </c:pt>
                <c:pt idx="1">
                  <c:v>34.10607494113534</c:v>
                </c:pt>
                <c:pt idx="2">
                  <c:v>34.10607494113534</c:v>
                </c:pt>
                <c:pt idx="3">
                  <c:v>34.10607494113534</c:v>
                </c:pt>
                <c:pt idx="4">
                  <c:v>34.10607494113534</c:v>
                </c:pt>
                <c:pt idx="5">
                  <c:v>17.053037478635339</c:v>
                </c:pt>
                <c:pt idx="6">
                  <c:v>8.5265186425056285</c:v>
                </c:pt>
              </c:numCache>
            </c:numRef>
          </c:val>
          <c:extLst xmlns:c16r2="http://schemas.microsoft.com/office/drawing/2015/06/chart">
            <c:ext xmlns:c16="http://schemas.microsoft.com/office/drawing/2014/chart" uri="{C3380CC4-5D6E-409C-BE32-E72D297353CC}">
              <c16:uniqueId val="{00000001-056C-4144-BCDF-694F6A166A58}"/>
            </c:ext>
          </c:extLst>
        </c:ser>
        <c:dLbls>
          <c:showLegendKey val="0"/>
          <c:showVal val="0"/>
          <c:showCatName val="0"/>
          <c:showSerName val="0"/>
          <c:showPercent val="0"/>
          <c:showBubbleSize val="0"/>
        </c:dLbls>
        <c:gapWidth val="299"/>
        <c:overlap val="100"/>
        <c:axId val="646185648"/>
        <c:axId val="646190744"/>
      </c:barChart>
      <c:catAx>
        <c:axId val="64618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190744"/>
        <c:crosses val="autoZero"/>
        <c:auto val="1"/>
        <c:lblAlgn val="ctr"/>
        <c:lblOffset val="100"/>
        <c:noMultiLvlLbl val="0"/>
      </c:catAx>
      <c:valAx>
        <c:axId val="646190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6461856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51E-46FC-B958-4C00D79BD60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51E-46FC-B958-4C00D79BD60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51E-46FC-B958-4C00D79BD60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51E-46FC-B958-4C00D79BD60F}"/>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51E-46FC-B958-4C00D79BD60F}"/>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C51E-46FC-B958-4C00D79BD60F}"/>
              </c:ext>
            </c:extLst>
          </c:dPt>
          <c:dLbls>
            <c:dLbl>
              <c:idx val="0"/>
              <c:layout>
                <c:manualLayout>
                  <c:x val="6.4725088975528547E-2"/>
                  <c:y val="4.2628774422735348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C51E-46FC-B958-4C00D79BD60F}"/>
                </c:ext>
                <c:ext xmlns:c15="http://schemas.microsoft.com/office/drawing/2012/chart" uri="{CE6537A1-D6FC-4f65-9D91-7224C49458BB}">
                  <c15:layout>
                    <c:manualLayout>
                      <c:w val="0.24560949298813373"/>
                      <c:h val="0.17740674955595026"/>
                    </c:manualLayout>
                  </c15:layout>
                </c:ext>
              </c:extLst>
            </c:dLbl>
            <c:dLbl>
              <c:idx val="1"/>
              <c:layout>
                <c:manualLayout>
                  <c:x val="4.3149946062565839E-3"/>
                  <c:y val="-2.8419182948490232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C51E-46FC-B958-4C00D79BD60F}"/>
                </c:ext>
                <c:ext xmlns:c15="http://schemas.microsoft.com/office/drawing/2012/chart" uri="{CE6537A1-D6FC-4f65-9D91-7224C49458BB}">
                  <c15:layout>
                    <c:manualLayout>
                      <c:w val="0.26577954454722286"/>
                      <c:h val="0.17740674955595026"/>
                    </c:manualLayout>
                  </c15:layout>
                </c:ext>
              </c:extLst>
            </c:dLbl>
            <c:dLbl>
              <c:idx val="2"/>
              <c:layout>
                <c:manualLayout>
                  <c:x val="-0.10571736785329018"/>
                  <c:y val="0.10657193605683823"/>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C51E-46FC-B958-4C00D79BD60F}"/>
                </c:ext>
                <c:ext xmlns:c15="http://schemas.microsoft.com/office/drawing/2012/chart" uri="{CE6537A1-D6FC-4f65-9D91-7224C49458BB}">
                  <c15:layout>
                    <c:manualLayout>
                      <c:w val="0.25613807982740022"/>
                      <c:h val="0.17740674955595026"/>
                    </c:manualLayout>
                  </c15:layout>
                </c:ext>
              </c:extLst>
            </c:dLbl>
            <c:dLbl>
              <c:idx val="3"/>
              <c:layout>
                <c:manualLayout>
                  <c:x val="3.8834951456310524E-2"/>
                  <c:y val="-2.1314387211367674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C51E-46FC-B958-4C00D79BD60F}"/>
                </c:ext>
                <c:ext xmlns:c15="http://schemas.microsoft.com/office/drawing/2012/chart" uri="{CE6537A1-D6FC-4f65-9D91-7224C49458BB}"/>
              </c:extLst>
            </c:dLbl>
            <c:dLbl>
              <c:idx val="4"/>
              <c:layout>
                <c:manualLayout>
                  <c:x val="-3.4519956850053955E-2"/>
                  <c:y val="-4.9733570159857902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C51E-46FC-B958-4C00D79BD60F}"/>
                </c:ext>
                <c:ext xmlns:c15="http://schemas.microsoft.com/office/drawing/2012/chart" uri="{CE6537A1-D6FC-4f65-9D91-7224C49458BB}"/>
              </c:extLst>
            </c:dLbl>
            <c:dLbl>
              <c:idx val="5"/>
              <c:spPr>
                <a:noFill/>
                <a:ln>
                  <a:noFill/>
                </a:ln>
                <a:effectLst/>
              </c:spPr>
              <c:txPr>
                <a:bodyPr rot="0" spcFirstLastPara="1" vertOverflow="ellipsis" horzOverflow="clip"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C51E-46FC-B958-4C00D79BD60F}"/>
                </c:ext>
                <c:ext xmlns:c15="http://schemas.microsoft.com/office/drawing/2012/chart" uri="{CE6537A1-D6FC-4f65-9D91-7224C49458BB}">
                  <c15:spPr xmlns:c15="http://schemas.microsoft.com/office/drawing/2012/chart">
                    <a:prstGeom prst="rect">
                      <a:avLst/>
                    </a:prstGeom>
                    <a:noFill/>
                    <a:ln>
                      <a:noFill/>
                    </a:ln>
                  </c15:spPr>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Sheet5!$B$24:$B$29</c:f>
              <c:strCache>
                <c:ptCount val="6"/>
                <c:pt idx="0">
                  <c:v>SDR</c:v>
                </c:pt>
                <c:pt idx="1">
                  <c:v>USD</c:v>
                </c:pt>
                <c:pt idx="2">
                  <c:v>GBP</c:v>
                </c:pt>
                <c:pt idx="3">
                  <c:v>JPY</c:v>
                </c:pt>
                <c:pt idx="4">
                  <c:v>EUR</c:v>
                </c:pt>
                <c:pt idx="5">
                  <c:v>BAM</c:v>
                </c:pt>
              </c:strCache>
            </c:strRef>
          </c:cat>
          <c:val>
            <c:numRef>
              <c:f>Sheet5!$E$24:$E$29</c:f>
              <c:numCache>
                <c:formatCode>0.00%</c:formatCode>
                <c:ptCount val="6"/>
                <c:pt idx="0">
                  <c:v>0.24068884007476682</c:v>
                </c:pt>
                <c:pt idx="1">
                  <c:v>0.10289323190732801</c:v>
                </c:pt>
                <c:pt idx="2">
                  <c:v>0</c:v>
                </c:pt>
                <c:pt idx="3">
                  <c:v>4.672268916808186E-3</c:v>
                </c:pt>
                <c:pt idx="4">
                  <c:v>0.52922408973166524</c:v>
                </c:pt>
                <c:pt idx="5">
                  <c:v>0.12252156936943182</c:v>
                </c:pt>
              </c:numCache>
            </c:numRef>
          </c:val>
          <c:extLst xmlns:c16r2="http://schemas.microsoft.com/office/drawing/2015/06/chart">
            <c:ext xmlns:c16="http://schemas.microsoft.com/office/drawing/2014/chart" uri="{C3380CC4-5D6E-409C-BE32-E72D297353CC}">
              <c16:uniqueId val="{0000000C-C51E-46FC-B958-4C00D79BD60F}"/>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827-4FE7-8C8C-6229CC156C1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827-4FE7-8C8C-6229CC156C1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827-4FE7-8C8C-6229CC156C1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827-4FE7-8C8C-6229CC156C16}"/>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827-4FE7-8C8C-6229CC156C16}"/>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E827-4FE7-8C8C-6229CC156C16}"/>
              </c:ext>
            </c:extLst>
          </c:dPt>
          <c:dLbls>
            <c:dLbl>
              <c:idx val="0"/>
              <c:layout>
                <c:manualLayout>
                  <c:x val="2.6513136354415837E-2"/>
                  <c:y val="-1.4209311757877516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E827-4FE7-8C8C-6229CC156C16}"/>
                </c:ext>
                <c:ext xmlns:c15="http://schemas.microsoft.com/office/drawing/2012/chart" uri="{CE6537A1-D6FC-4f65-9D91-7224C49458BB}">
                  <c15:layout>
                    <c:manualLayout>
                      <c:w val="0.22949346339847609"/>
                      <c:h val="0.1600710479573712"/>
                    </c:manualLayout>
                  </c15:layout>
                </c:ext>
              </c:extLst>
            </c:dLbl>
            <c:dLbl>
              <c:idx val="1"/>
              <c:layout>
                <c:manualLayout>
                  <c:x val="4.8607416649762508E-2"/>
                  <c:y val="-6.3943161634103046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E827-4FE7-8C8C-6229CC156C16}"/>
                </c:ext>
                <c:ext xmlns:c15="http://schemas.microsoft.com/office/drawing/2012/chart" uri="{CE6537A1-D6FC-4f65-9D91-7224C49458BB}"/>
              </c:extLst>
            </c:dLbl>
            <c:dLbl>
              <c:idx val="2"/>
              <c:layout>
                <c:manualLayout>
                  <c:x val="1.8017102712655709E-2"/>
                  <c:y val="0.13499111900532859"/>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E827-4FE7-8C8C-6229CC156C16}"/>
                </c:ext>
                <c:ext xmlns:c15="http://schemas.microsoft.com/office/drawing/2012/chart" uri="{CE6537A1-D6FC-4f65-9D91-7224C49458BB}"/>
              </c:extLst>
            </c:dLbl>
            <c:dLbl>
              <c:idx val="3"/>
              <c:layout>
                <c:manualLayout>
                  <c:x val="-0.12372796965394092"/>
                  <c:y val="-0.12078152753108348"/>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E827-4FE7-8C8C-6229CC156C16}"/>
                </c:ext>
                <c:ext xmlns:c15="http://schemas.microsoft.com/office/drawing/2012/chart" uri="{CE6537A1-D6FC-4f65-9D91-7224C49458BB}">
                  <c15:layout>
                    <c:manualLayout>
                      <c:w val="0.21175158235060179"/>
                      <c:h val="0.17740674955595026"/>
                    </c:manualLayout>
                  </c15:layout>
                </c:ext>
              </c:extLst>
            </c:dLbl>
            <c:dLbl>
              <c:idx val="4"/>
              <c:layout>
                <c:manualLayout>
                  <c:x val="2.2094280295346581E-2"/>
                  <c:y val="2.1314387211367657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E827-4FE7-8C8C-6229CC156C16}"/>
                </c:ext>
                <c:ext xmlns:c15="http://schemas.microsoft.com/office/drawing/2012/chart" uri="{CE6537A1-D6FC-4f65-9D91-7224C49458BB}">
                  <c15:layout>
                    <c:manualLayout>
                      <c:w val="0.22253359113473092"/>
                      <c:h val="0.17740674955595026"/>
                    </c:manualLayout>
                  </c15:layout>
                </c:ext>
              </c:extLst>
            </c:dLbl>
            <c:dLbl>
              <c:idx val="5"/>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Sheet5!$G$24:$G$29</c:f>
              <c:strCache>
                <c:ptCount val="6"/>
                <c:pt idx="0">
                  <c:v>USD</c:v>
                </c:pt>
                <c:pt idx="1">
                  <c:v>GBP</c:v>
                </c:pt>
                <c:pt idx="2">
                  <c:v>JPY</c:v>
                </c:pt>
                <c:pt idx="3">
                  <c:v>EUR</c:v>
                </c:pt>
                <c:pt idx="4">
                  <c:v>CHY</c:v>
                </c:pt>
                <c:pt idx="5">
                  <c:v>BAM</c:v>
                </c:pt>
              </c:strCache>
            </c:strRef>
          </c:cat>
          <c:val>
            <c:numRef>
              <c:f>Sheet5!$I$24:$I$29</c:f>
              <c:numCache>
                <c:formatCode>0.00%</c:formatCode>
                <c:ptCount val="6"/>
                <c:pt idx="0">
                  <c:v>0.20333268487052816</c:v>
                </c:pt>
                <c:pt idx="1">
                  <c:v>1.9471727162048633E-2</c:v>
                </c:pt>
                <c:pt idx="2">
                  <c:v>2.4721649295036258E-2</c:v>
                </c:pt>
                <c:pt idx="3">
                  <c:v>0.60366914796679061</c:v>
                </c:pt>
                <c:pt idx="4">
                  <c:v>2.6283221336164533E-2</c:v>
                </c:pt>
                <c:pt idx="5">
                  <c:v>0.1225215693694318</c:v>
                </c:pt>
              </c:numCache>
            </c:numRef>
          </c:val>
          <c:extLst xmlns:c16r2="http://schemas.microsoft.com/office/drawing/2015/06/chart">
            <c:ext xmlns:c16="http://schemas.microsoft.com/office/drawing/2014/chart" uri="{C3380CC4-5D6E-409C-BE32-E72D297353CC}">
              <c16:uniqueId val="{0000000C-E827-4FE7-8C8C-6229CC156C16}"/>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0.01014</cdr:x>
      <cdr:y>0.00851</cdr:y>
    </cdr:from>
    <cdr:to>
      <cdr:x>0.05797</cdr:x>
      <cdr:y>0.15605</cdr:y>
    </cdr:to>
    <cdr:sp macro="" textlink="">
      <cdr:nvSpPr>
        <cdr:cNvPr id="2" name="TextBox 1">
          <a:extLst xmlns:a="http://schemas.openxmlformats.org/drawingml/2006/main">
            <a:ext uri="{FF2B5EF4-FFF2-40B4-BE49-F238E27FC236}">
              <a16:creationId xmlns="" xmlns:a16="http://schemas.microsoft.com/office/drawing/2014/main" id="{CB6506F7-655E-4158-842D-84423CD0F672}"/>
            </a:ext>
          </a:extLst>
        </cdr:cNvPr>
        <cdr:cNvSpPr txBox="1"/>
      </cdr:nvSpPr>
      <cdr:spPr>
        <a:xfrm xmlns:a="http://schemas.openxmlformats.org/drawingml/2006/main">
          <a:off x="59167" y="14180"/>
          <a:ext cx="279115" cy="245837"/>
        </a:xfrm>
        <a:prstGeom xmlns:a="http://schemas.openxmlformats.org/drawingml/2006/main" prst="rect">
          <a:avLst/>
        </a:prstGeom>
      </cdr:spPr>
      <cdr:txBody>
        <a:bodyPr xmlns:a="http://schemas.openxmlformats.org/drawingml/2006/main" vertOverflow="clip" wrap="none" rtlCol="0">
          <a:spAutoFit/>
        </a:bodyPr>
        <a:lstStyle xmlns:a="http://schemas.openxmlformats.org/drawingml/2006/main"/>
        <a:p xmlns:a="http://schemas.openxmlformats.org/drawingml/2006/main">
          <a:r>
            <a:rPr lang="bs-Latn-BA" sz="900" b="0">
              <a:solidFill>
                <a:srgbClr val="4B82AD"/>
              </a:solidFill>
              <a:latin typeface="Segoe UI" panose="020B0502040204020203" pitchFamily="34" charset="0"/>
            </a:rPr>
            <a:t>%</a:t>
          </a:r>
          <a:endParaRPr lang="en-US" sz="900" b="0">
            <a:solidFill>
              <a:srgbClr val="4B82AD"/>
            </a:solidFill>
            <a:latin typeface="Segoe UI" panose="020B0502040204020203"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0.01477</cdr:x>
      <cdr:y>0.01333</cdr:y>
    </cdr:from>
    <cdr:to>
      <cdr:x>0.0667</cdr:x>
      <cdr:y>0.11538</cdr:y>
    </cdr:to>
    <cdr:sp macro="" textlink="">
      <cdr:nvSpPr>
        <cdr:cNvPr id="2" name="TextBox 1">
          <a:extLst xmlns:a="http://schemas.openxmlformats.org/drawingml/2006/main">
            <a:ext uri="{FF2B5EF4-FFF2-40B4-BE49-F238E27FC236}">
              <a16:creationId xmlns="" xmlns:a16="http://schemas.microsoft.com/office/drawing/2014/main" id="{C5CD35B2-0EB9-49C9-B347-212315F43E9D}"/>
            </a:ext>
          </a:extLst>
        </cdr:cNvPr>
        <cdr:cNvSpPr txBox="1"/>
      </cdr:nvSpPr>
      <cdr:spPr>
        <a:xfrm xmlns:a="http://schemas.openxmlformats.org/drawingml/2006/main">
          <a:off x="85382" y="36576"/>
          <a:ext cx="300082" cy="279948"/>
        </a:xfrm>
        <a:prstGeom xmlns:a="http://schemas.openxmlformats.org/drawingml/2006/main" prst="rect">
          <a:avLst/>
        </a:prstGeom>
      </cdr:spPr>
      <cdr:txBody>
        <a:bodyPr xmlns:a="http://schemas.openxmlformats.org/drawingml/2006/main" vertOverflow="clip" wrap="none" rtlCol="0">
          <a:spAutoFit/>
        </a:bodyPr>
        <a:lstStyle xmlns:a="http://schemas.openxmlformats.org/drawingml/2006/main"/>
        <a:p xmlns:a="http://schemas.openxmlformats.org/drawingml/2006/main">
          <a:r>
            <a:rPr lang="bs-Latn-BA" sz="1100" b="0">
              <a:solidFill>
                <a:srgbClr val="4B82AD"/>
              </a:solidFill>
              <a:latin typeface="Segoe UI" panose="020B0502040204020203" pitchFamily="34" charset="0"/>
            </a:rPr>
            <a:t>%</a:t>
          </a:r>
          <a:endParaRPr lang="en-US" sz="1100" b="0">
            <a:solidFill>
              <a:srgbClr val="4B82AD"/>
            </a:solidFill>
            <a:latin typeface="Segoe UI" panose="020B0502040204020203"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3355B-18DD-4A86-87A0-06BC801B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7560</Words>
  <Characters>43098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Strategija upravljanja dugom                                 2022-2024.</vt:lpstr>
    </vt:vector>
  </TitlesOfParts>
  <Company>BOSNA I HERCEGOVINA                                                                                                                                  fEDERACIJA BOSNE I HERCEGOVINE                                                                                                        FEDERALNO MINISTARSTVO FINANSIJA                                                                                                  FEDERALNO MINISTARSTVO FINANCIJA</Company>
  <LinksUpToDate>false</LinksUpToDate>
  <CharactersWithSpaces>50557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Strategija upravljanja dugom                                 2022-2024.</dc:title>
  <dc:creator>Pasalic Besim</dc:creator>
  <cp:lastModifiedBy>Igor Ljubas</cp:lastModifiedBy>
  <cp:revision>8</cp:revision>
  <cp:lastPrinted>2022-04-25T11:25:00Z</cp:lastPrinted>
  <dcterms:created xsi:type="dcterms:W3CDTF">2022-04-21T08:30:00Z</dcterms:created>
  <dcterms:modified xsi:type="dcterms:W3CDTF">2022-04-25T11:28:00Z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-999192908</vt:i4>
  </property>
</Properties>
</file>