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E7" w:rsidRDefault="00F82927">
      <w:pPr>
        <w:spacing w:after="0" w:line="259" w:lineRule="auto"/>
        <w:ind w:left="152" w:right="0"/>
        <w:jc w:val="left"/>
      </w:pPr>
      <w:r>
        <w:rPr>
          <w:b/>
        </w:rPr>
        <w:t xml:space="preserve">Упутство за попуњавање обрасца “Пријава кредитног посла” (Образац </w:t>
      </w:r>
    </w:p>
    <w:p w:rsidR="00FB0AE7" w:rsidRDefault="00F82927">
      <w:pPr>
        <w:spacing w:after="0" w:line="259" w:lineRule="auto"/>
        <w:ind w:left="32" w:right="0" w:firstLine="0"/>
        <w:jc w:val="left"/>
      </w:pPr>
      <w:r>
        <w:rPr>
          <w:b/>
        </w:rPr>
        <w:t xml:space="preserve">П-КП) </w:t>
      </w:r>
      <w:r>
        <w:rPr>
          <w:b/>
          <w:i/>
        </w:rPr>
        <w:t>Пријава посла кредитног задужења и посла кредитног одобрења</w:t>
      </w:r>
      <w:r>
        <w:rPr>
          <w:b/>
        </w:rPr>
        <w:t xml:space="preserve"> </w:t>
      </w:r>
    </w:p>
    <w:p w:rsidR="00FB0AE7" w:rsidRDefault="00F82927">
      <w:pPr>
        <w:spacing w:after="0" w:line="259" w:lineRule="auto"/>
        <w:ind w:left="0" w:right="0" w:firstLine="0"/>
        <w:jc w:val="left"/>
      </w:pPr>
      <w:r>
        <w:t xml:space="preserve"> </w:t>
      </w:r>
    </w:p>
    <w:p w:rsidR="00FB0AE7" w:rsidRDefault="00F82927">
      <w:pPr>
        <w:ind w:left="-5" w:right="0"/>
      </w:pPr>
      <w:r>
        <w:t xml:space="preserve">Обвезник извјештавања из члана 3. Правилника о начину, обрасцима и роковима извјештавања о кредитним пословима са иностранством, који закључи уговор о кредитном задужењу или уговор о кредитном одобрењу дужан је доставити Федералном министарству финансија попуњени образац П-КП. Уз образац П-КП, обвезник предаје и образац И/КП са попуњеном табелом А (уколико је кредит већ у коришћењу, треба бити попуњена и табела Б обрасца И/КП). </w:t>
      </w:r>
    </w:p>
    <w:p w:rsidR="00FB0AE7" w:rsidRDefault="00F82927">
      <w:pPr>
        <w:ind w:left="-5" w:right="0"/>
      </w:pPr>
      <w:r>
        <w:t xml:space="preserve">По пријему обрасца П-КП Федерално министарство финансија (у даљем тексту: Министарство) уноси податке у базу података и кредиту додјељује регистарски број под којим се тај кредит даље прати. Министарство потом подносиоцу пријаве доставља “Потврду о регистрацији кредита”. </w:t>
      </w:r>
    </w:p>
    <w:p w:rsidR="00FB0AE7" w:rsidRDefault="00F82927">
      <w:pPr>
        <w:ind w:left="-5" w:right="0"/>
      </w:pPr>
      <w:r>
        <w:t xml:space="preserve">Обвезник извјештавања такође доставља образац П-КП и када дође до промјене уговора о кредиту. У том случају попуњавају се само рубрике: подаци о подносиоцу пријаве, подаци о резиденту – дужнику/кредитору (у зависности од пријављеног посла кредитног задужења, односно посла кредитног одобрења), регистарски број кредита и поља чији се садржај мијења. </w:t>
      </w:r>
    </w:p>
    <w:p w:rsidR="00FB0AE7" w:rsidRDefault="00F82927">
      <w:pPr>
        <w:ind w:left="-5" w:right="0"/>
      </w:pPr>
      <w:r>
        <w:t xml:space="preserve">Уколико дужник одустаје од коришћења уговореног кредита, који је регистрован код  Министарства, резидент ће о томе у писаној форми обавијестити Министарство, без обзира да ли се ради о послу кредитног задужења или о послу кредитног одобрења. </w:t>
      </w:r>
    </w:p>
    <w:p w:rsidR="00FB0AE7" w:rsidRDefault="00F82927">
      <w:pPr>
        <w:ind w:left="-5" w:right="0"/>
      </w:pPr>
      <w:r>
        <w:t xml:space="preserve">Образац П-КП потписује и овјерава резидент који је закључио уговор о кредитном задужењу, односно кредитном одобрењу, или друга особа која је овлашћена за достављање извјештаја. </w:t>
      </w:r>
    </w:p>
    <w:p w:rsidR="00FB0AE7" w:rsidRDefault="00F82927">
      <w:pPr>
        <w:spacing w:after="0" w:line="259" w:lineRule="auto"/>
        <w:ind w:left="0" w:right="0" w:firstLine="0"/>
        <w:jc w:val="left"/>
      </w:pPr>
      <w:r>
        <w:rPr>
          <w:b/>
        </w:rPr>
        <w:t xml:space="preserve"> </w:t>
      </w:r>
    </w:p>
    <w:p w:rsidR="00FB0AE7" w:rsidRDefault="00F82927">
      <w:pPr>
        <w:spacing w:after="0" w:line="259" w:lineRule="auto"/>
        <w:ind w:left="-5" w:right="0"/>
        <w:jc w:val="left"/>
      </w:pPr>
      <w:r>
        <w:rPr>
          <w:b/>
        </w:rPr>
        <w:t xml:space="preserve">Упутство за попуњавање поља </w:t>
      </w:r>
    </w:p>
    <w:p w:rsidR="00FB0AE7" w:rsidRDefault="00F82927">
      <w:pPr>
        <w:ind w:left="-5" w:right="0"/>
      </w:pPr>
      <w:r>
        <w:t xml:space="preserve">На лијевој страни обрасца, испод наслова и дијела који попуњава Министарство, у одговарајуће поље уноси се ознака “ü”, у зависности од тога да ли се пријављује: </w:t>
      </w:r>
    </w:p>
    <w:p w:rsidR="00FB0AE7" w:rsidRDefault="00F82927">
      <w:pPr>
        <w:ind w:left="-5" w:right="4841"/>
      </w:pPr>
      <w:r>
        <w:t xml:space="preserve">- </w:t>
      </w:r>
      <w:r>
        <w:tab/>
        <w:t xml:space="preserve">посао кредитног задужења или - </w:t>
      </w:r>
      <w:r>
        <w:tab/>
        <w:t xml:space="preserve">посао кредитног одобрења. </w:t>
      </w:r>
    </w:p>
    <w:p w:rsidR="00FB0AE7" w:rsidRDefault="00F82927">
      <w:pPr>
        <w:ind w:left="-5" w:right="0"/>
      </w:pPr>
      <w:r>
        <w:t xml:space="preserve">Поља у наставку попуњавају се у зависности од кредитног посла. </w:t>
      </w:r>
    </w:p>
    <w:p w:rsidR="00FB0AE7" w:rsidRDefault="00F82927">
      <w:pPr>
        <w:ind w:left="-5" w:right="0"/>
      </w:pPr>
      <w:r>
        <w:t xml:space="preserve">У поља у наставку уписују се подаци о подносиоцу пријаве. </w:t>
      </w:r>
    </w:p>
    <w:p w:rsidR="004B1333" w:rsidRDefault="004B1333" w:rsidP="004B1333">
      <w:pPr>
        <w:ind w:left="0" w:right="0"/>
        <w:rPr>
          <w:rFonts w:eastAsiaTheme="minorHAnsi"/>
          <w:strike/>
        </w:rPr>
      </w:pPr>
      <w:r>
        <w:rPr>
          <w:strike/>
        </w:rPr>
        <w:t xml:space="preserve">Уколико је подносилац пријаве, односно страна у кредитном послу са иностранством физичко лице, поље “ЈИБ/ЈМБГ” попуњава се уношењем јединственог матичног броја грађанина (ЈМБГ). </w:t>
      </w:r>
    </w:p>
    <w:p w:rsidR="004B1333" w:rsidRDefault="004B1333" w:rsidP="004B1333">
      <w:pPr>
        <w:ind w:left="0" w:right="0"/>
        <w:rPr>
          <w:color w:val="FF0000"/>
        </w:rPr>
      </w:pPr>
      <w:r>
        <w:rPr>
          <w:color w:val="FF0000"/>
        </w:rPr>
        <w:t>Уколико је подносилац пријаве, односно страна у кредитном послу са иностранством физичко лице, попуњава поље Име ( име оца ) и презиме, Адреса и Телефон/Фаx.</w:t>
      </w:r>
    </w:p>
    <w:p w:rsidR="004B1333" w:rsidRDefault="004B1333" w:rsidP="004B1333">
      <w:pPr>
        <w:ind w:left="0" w:right="0"/>
      </w:pPr>
      <w:r>
        <w:t xml:space="preserve">У свим осталим случајевима уноси се </w:t>
      </w:r>
      <w:r>
        <w:rPr>
          <w:color w:val="FF0000"/>
        </w:rPr>
        <w:t>Назив фирме, Матични број, ЈИБ, Претежна дјелатност, Адреса и Телефон/Фаx.</w:t>
      </w:r>
      <w:r>
        <w:rPr>
          <w:strike/>
        </w:rPr>
        <w:t>ЈИБ подносиоца пријаве</w:t>
      </w:r>
      <w:r>
        <w:t xml:space="preserve">. </w:t>
      </w:r>
    </w:p>
    <w:p w:rsidR="00FB0AE7" w:rsidRDefault="00F82927">
      <w:pPr>
        <w:ind w:left="-5" w:right="0"/>
      </w:pPr>
      <w:bookmarkStart w:id="0" w:name="_GoBack"/>
      <w:bookmarkEnd w:id="0"/>
      <w:r>
        <w:lastRenderedPageBreak/>
        <w:t xml:space="preserve">У рубрику “Подаци о кредитном послу”, у поље “Датум закључења уговора” уписује се датум закључења или датум измјене уговора о кредитном послу са иностранством. Уколико има више измјена уговора, уписује се датум посљедње измјене (формат: “дд.мм.гггг”). </w:t>
      </w:r>
    </w:p>
    <w:p w:rsidR="00FB0AE7" w:rsidRDefault="00F82927">
      <w:pPr>
        <w:ind w:left="-5" w:right="0"/>
      </w:pPr>
      <w:r>
        <w:t xml:space="preserve">У поље “Регистарски број” уписује се број под којим је кредит регистрован код Министарства. Уколико кредит још није регистрован, поље се не попуњава. </w:t>
      </w:r>
    </w:p>
    <w:p w:rsidR="00FB0AE7" w:rsidRDefault="00F82927">
      <w:pPr>
        <w:ind w:left="-5" w:right="0"/>
      </w:pPr>
      <w:r>
        <w:t xml:space="preserve">Поље “Сектор резидента - дужника </w:t>
      </w:r>
      <w:r>
        <w:rPr>
          <w:i/>
        </w:rPr>
        <w:t>(код посла кредитног задужења)</w:t>
      </w:r>
      <w:r>
        <w:t xml:space="preserve">/кредитора </w:t>
      </w:r>
      <w:r>
        <w:rPr>
          <w:i/>
        </w:rPr>
        <w:t>(код посла кредитног одобрења)</w:t>
      </w:r>
      <w:r>
        <w:t xml:space="preserve">” попуњава се означавањем једне од понуђених опција: </w:t>
      </w:r>
    </w:p>
    <w:p w:rsidR="00FB0AE7" w:rsidRDefault="00F82927">
      <w:pPr>
        <w:numPr>
          <w:ilvl w:val="0"/>
          <w:numId w:val="1"/>
        </w:numPr>
        <w:ind w:right="0" w:hanging="360"/>
      </w:pPr>
      <w:r>
        <w:t xml:space="preserve">Ванбуџетски фондови су: Фонд пензијско-инвалидског осигурања, Фонд здравственог осигурања и Завод за запошљавање. </w:t>
      </w:r>
    </w:p>
    <w:p w:rsidR="00FB0AE7" w:rsidRDefault="00F82927">
      <w:pPr>
        <w:numPr>
          <w:ilvl w:val="0"/>
          <w:numId w:val="1"/>
        </w:numPr>
        <w:ind w:right="0" w:hanging="360"/>
      </w:pPr>
      <w:r>
        <w:t xml:space="preserve">Институције јавног сектора Федерације БиХ су институције основане у складу са посебним прописима. </w:t>
      </w:r>
    </w:p>
    <w:p w:rsidR="00FB0AE7" w:rsidRDefault="00F82927">
      <w:pPr>
        <w:numPr>
          <w:ilvl w:val="0"/>
          <w:numId w:val="1"/>
        </w:numPr>
        <w:ind w:right="0" w:hanging="360"/>
      </w:pPr>
      <w:r>
        <w:t xml:space="preserve">Развојна банка Федерације БиХ је банка основана у складу са Законом о  Развојној банци Федерације БиХ. </w:t>
      </w:r>
    </w:p>
    <w:p w:rsidR="00FB0AE7" w:rsidRDefault="00F82927">
      <w:pPr>
        <w:numPr>
          <w:ilvl w:val="0"/>
          <w:numId w:val="1"/>
        </w:numPr>
        <w:ind w:right="0" w:hanging="360"/>
      </w:pPr>
      <w:r>
        <w:t xml:space="preserve">Јединице локалне самоуправе су општина или град, успостављени у складу са законима Федерације. </w:t>
      </w:r>
    </w:p>
    <w:p w:rsidR="00FB0AE7" w:rsidRDefault="00F82927">
      <w:pPr>
        <w:numPr>
          <w:ilvl w:val="0"/>
          <w:numId w:val="1"/>
        </w:numPr>
        <w:ind w:right="0" w:hanging="360"/>
      </w:pPr>
      <w:r>
        <w:t xml:space="preserve">Банке и банкарске институције су све домаће банке и банкарске институције, те филијале страних банака, које су основане и послују у складу са Законом о банкама Федерације БиХ и имају дозволу за рад од Агенције за банкарство Федерације. </w:t>
      </w:r>
    </w:p>
    <w:p w:rsidR="00FB0AE7" w:rsidRDefault="00F82927">
      <w:pPr>
        <w:numPr>
          <w:ilvl w:val="0"/>
          <w:numId w:val="1"/>
        </w:numPr>
        <w:ind w:right="0" w:hanging="360"/>
      </w:pPr>
      <w:r>
        <w:t xml:space="preserve">Небанкарске финансијске институције су остале депозитне и недепозитне институције, које нису класификоване као банке, а које прикупљају депозите или њихове блиске сурогате, односно врше финансијску дјелатност. У небанкарске финансијске институције укључују се: финансијске институције које имају дозволу за рад од Агенције за банкарство Федерације БиХ, осим микрокредитних фондација, осигуравајућих друштва, пензијских фондова који не улазе у јавни сектор, остали финансијски посредници у које се убрајају различите специјализоване финансијске институције (које не прикупљају депозите) чије су примарне активности различити специфични облици кредитирања, помоћне финансијске институције које не обављају финансијско посредовање, већ им је функција олакшавање функционисања различитих сегмената финансијског система (берзе, мјењачнице, брокерске куће, инвестициони фондови, друштва за управљање инвестиционим фондовима, комисије за хартије од вриједности, централни регистри хартија од вриејдности и слично) и друге финансијске организације. </w:t>
      </w:r>
    </w:p>
    <w:p w:rsidR="00FB0AE7" w:rsidRDefault="00F82927">
      <w:pPr>
        <w:numPr>
          <w:ilvl w:val="0"/>
          <w:numId w:val="1"/>
        </w:numPr>
        <w:ind w:right="0" w:hanging="360"/>
      </w:pPr>
      <w:r>
        <w:t xml:space="preserve">Јавна и државна предузећа су: предузећа које оснивају БиХ, ентитети, Брчко Дистрикт, јединице локалне самоуправе, са најмање 50% учешћа или су под њиховом заједничком контролом, а ради обављања дјелатности од општег интереса (нпр. предузећа из система електропривреде, шумска газдинства и предузећа, поште, лутрије, јавна комунална предузећа, водоводи и канализације, гробља и друго), те сва друга предузећа која у структури власништва имају преко 50% државног капитала (било које институције јавног сектора). </w:t>
      </w:r>
    </w:p>
    <w:p w:rsidR="00FB0AE7" w:rsidRDefault="00F82927">
      <w:pPr>
        <w:numPr>
          <w:ilvl w:val="0"/>
          <w:numId w:val="1"/>
        </w:numPr>
        <w:ind w:right="0" w:hanging="360"/>
      </w:pPr>
      <w:r>
        <w:lastRenderedPageBreak/>
        <w:t xml:space="preserve">Приватна предузећа и друштва су сва правна лица која оснивају правна и/или физичка лица ради обављања дјелатности у циљу стицања добити, осим јавних предузећа. У ову групу спадају и све образовне, школске, здравствене, васпитне и друге установе и организације са већинским приватним капиталом које обављају дјелатности у циљу стицања добити. </w:t>
      </w:r>
    </w:p>
    <w:p w:rsidR="00FB0AE7" w:rsidRDefault="00F82927">
      <w:pPr>
        <w:numPr>
          <w:ilvl w:val="0"/>
          <w:numId w:val="1"/>
        </w:numPr>
        <w:ind w:right="0" w:hanging="360"/>
      </w:pPr>
      <w:r>
        <w:t xml:space="preserve">Непрофитне организације су све организације чија активност не може бити извор профита њиховим власницима и нису основане ради стицања добити. У ову групу спадају: агенције, невладине и друге институције и органи који се не финансирају из буџета (агенције за осигурање, за  банкарство, за осигурање депозита и слично), микорокредитне фондације и остале непрофитне организације (политичке странке, вјерске заједнице, удружења грађана, хуманитарне организације, струковне организације, аматерске спортске организације, културна друштва и слично). </w:t>
      </w:r>
    </w:p>
    <w:p w:rsidR="00FB0AE7" w:rsidRDefault="00F82927">
      <w:pPr>
        <w:numPr>
          <w:ilvl w:val="0"/>
          <w:numId w:val="1"/>
        </w:numPr>
        <w:ind w:right="0" w:hanging="360"/>
      </w:pPr>
      <w:r>
        <w:t xml:space="preserve">Предузетници су физичка лица која обављају самосталну дјелатност у своје име и за свој рачун ради стицања дохотка продајом робе, производа и услуга на тржишту. У ову групу спадају: занатске, трговачке, угоститељске и друге радње, радионице, канцеларије, бирои, агенције, студија, пансиони, атељеи, лабораторије и слично, као и нотари, адвокати, вјештаци, процјенитељи, пољопривредни произвођачи и друго. </w:t>
      </w:r>
    </w:p>
    <w:p w:rsidR="00FB0AE7" w:rsidRDefault="00F82927">
      <w:pPr>
        <w:numPr>
          <w:ilvl w:val="0"/>
          <w:numId w:val="1"/>
        </w:numPr>
        <w:ind w:right="0" w:hanging="360"/>
      </w:pPr>
      <w:r>
        <w:t xml:space="preserve">Физичка лица су резиденти БиХ. </w:t>
      </w:r>
    </w:p>
    <w:p w:rsidR="00FB0AE7" w:rsidRDefault="00F82927">
      <w:pPr>
        <w:spacing w:after="0" w:line="259" w:lineRule="auto"/>
        <w:ind w:left="0" w:right="0" w:firstLine="0"/>
        <w:jc w:val="left"/>
      </w:pPr>
      <w:r>
        <w:t xml:space="preserve"> </w:t>
      </w:r>
    </w:p>
    <w:p w:rsidR="00FB0AE7" w:rsidRDefault="00F82927">
      <w:pPr>
        <w:ind w:left="-5" w:right="0"/>
      </w:pPr>
      <w:r>
        <w:t xml:space="preserve">У поља у наставку уписују се основни подаци о нерезиденту – кредитору </w:t>
      </w:r>
      <w:r>
        <w:rPr>
          <w:i/>
        </w:rPr>
        <w:t>(код посла кредитног задужења)</w:t>
      </w:r>
      <w:r>
        <w:t xml:space="preserve">/дужнику </w:t>
      </w:r>
      <w:r>
        <w:rPr>
          <w:i/>
        </w:rPr>
        <w:t>(код посла кредитног одобрења)</w:t>
      </w:r>
      <w:r>
        <w:t xml:space="preserve">, као и означавање сектора нерезидента – кредитора </w:t>
      </w:r>
      <w:r>
        <w:rPr>
          <w:i/>
        </w:rPr>
        <w:t>(код посла кредитног задужења)</w:t>
      </w:r>
      <w:r>
        <w:t xml:space="preserve">/дужника </w:t>
      </w:r>
      <w:r>
        <w:rPr>
          <w:i/>
        </w:rPr>
        <w:t xml:space="preserve">(код посла кредитног одобрења). </w:t>
      </w:r>
    </w:p>
    <w:p w:rsidR="00FB0AE7" w:rsidRDefault="00F82927">
      <w:pPr>
        <w:ind w:left="-5" w:right="0"/>
      </w:pPr>
      <w:r>
        <w:t xml:space="preserve">Поље “Власнички однос кредитор/дужник” попуњава се избором једне од понуђених опција, водећи рачуна о врсти посла: кредитно задужење или кредитно одобрење. </w:t>
      </w:r>
    </w:p>
    <w:p w:rsidR="00FB0AE7" w:rsidRDefault="00F82927">
      <w:pPr>
        <w:ind w:left="-5" w:right="0"/>
      </w:pPr>
      <w:r>
        <w:t xml:space="preserve">Поље “Опис кредита - врста уговора” попуњава се означавањем једне од понуђених опција, и то: </w:t>
      </w:r>
    </w:p>
    <w:p w:rsidR="00FB0AE7" w:rsidRDefault="00F82927">
      <w:pPr>
        <w:numPr>
          <w:ilvl w:val="0"/>
          <w:numId w:val="2"/>
        </w:numPr>
        <w:ind w:right="0" w:hanging="360"/>
      </w:pPr>
      <w:r>
        <w:t xml:space="preserve">Нормалан – већина кредита је овог типа, тј. појединачни кредити с уговореним роковима доспијећа и каматном стопом, </w:t>
      </w:r>
    </w:p>
    <w:p w:rsidR="00FB0AE7" w:rsidRDefault="00F82927">
      <w:pPr>
        <w:numPr>
          <w:ilvl w:val="0"/>
          <w:numId w:val="2"/>
        </w:numPr>
        <w:ind w:right="0" w:hanging="360"/>
      </w:pPr>
      <w:r>
        <w:t xml:space="preserve">Револвинг – врста уговора којим кредитор одобрава кредит у одређеном износу и у одређеном временском периоду. Отплатом дијела кредита пружа се могућност новог коришћења, тако да висина дуга никад не смије прећи уговорени лимит. </w:t>
      </w:r>
    </w:p>
    <w:p w:rsidR="00FB0AE7" w:rsidRDefault="00F82927">
      <w:pPr>
        <w:numPr>
          <w:ilvl w:val="0"/>
          <w:numId w:val="2"/>
        </w:numPr>
        <w:ind w:right="0" w:hanging="360"/>
      </w:pPr>
      <w:r>
        <w:t xml:space="preserve">Оквирни – врста уговора којим кредитор, у одређеном временском периоду, одобрава коришћење више појединачних кредита, с тим да укупан износ свих кредита не може бити већи од уговореног оквирног износа. Услови појединачних кредита не морају бити исти. Образац И/КП доставља се уз оквирни уговор, само у случају да појединачни кредити унутар оквирног уговора имају јединствени план отплате према иностранству. </w:t>
      </w:r>
    </w:p>
    <w:p w:rsidR="00FB0AE7" w:rsidRDefault="00F82927">
      <w:pPr>
        <w:numPr>
          <w:ilvl w:val="0"/>
          <w:numId w:val="2"/>
        </w:numPr>
        <w:ind w:right="0" w:hanging="360"/>
      </w:pPr>
      <w:r>
        <w:lastRenderedPageBreak/>
        <w:t xml:space="preserve">Појединачни кредит унутар оквирног – Образац И/КП доставља се за сваки појединачни кредит само уколико појединачни кредити унутар оквирног кредита имају различите планове отплате према иностранству. </w:t>
      </w:r>
    </w:p>
    <w:p w:rsidR="00FB0AE7" w:rsidRDefault="00F82927">
      <w:pPr>
        <w:numPr>
          <w:ilvl w:val="0"/>
          <w:numId w:val="2"/>
        </w:numPr>
        <w:ind w:right="0" w:hanging="360"/>
      </w:pPr>
      <w:r>
        <w:t xml:space="preserve">Репрограмирани – појединачни кредит на основу споразума са кредитором којим се дужнику омогућава да раније закључени кредит (цијели или дио) врати у новим уговореним роковима и уз друге услове. </w:t>
      </w:r>
    </w:p>
    <w:p w:rsidR="00FB0AE7" w:rsidRDefault="00F82927">
      <w:pPr>
        <w:numPr>
          <w:ilvl w:val="0"/>
          <w:numId w:val="2"/>
        </w:numPr>
        <w:ind w:right="0" w:hanging="360"/>
      </w:pPr>
      <w:r>
        <w:t xml:space="preserve">Рефинансирани – појединачни кредит на основу посебног споразума са кредитором који се узима ради отплате другог раније закљученог кредита. Новим кредитом отплаћују се доспјеле обвезе по главницама и каматама и/или будућа доспијећа главница и камата. </w:t>
      </w:r>
    </w:p>
    <w:p w:rsidR="00FB0AE7" w:rsidRDefault="00F82927">
      <w:pPr>
        <w:numPr>
          <w:ilvl w:val="0"/>
          <w:numId w:val="2"/>
        </w:numPr>
        <w:ind w:right="0" w:hanging="360"/>
      </w:pPr>
      <w:r>
        <w:t xml:space="preserve">Замјена дуга – појединачни кредит којим се уз повољније услове отплаћује раније закључени кредит, при чему кредитори не морају бити исти. </w:t>
      </w:r>
    </w:p>
    <w:p w:rsidR="00FB0AE7" w:rsidRDefault="00F82927">
      <w:pPr>
        <w:numPr>
          <w:ilvl w:val="0"/>
          <w:numId w:val="2"/>
        </w:numPr>
        <w:ind w:right="0" w:hanging="360"/>
      </w:pPr>
      <w:r>
        <w:t xml:space="preserve">Кредит који одобрава група кредитора (образац се доставља уписом података за све кредиторе, проширивањем обрасца). </w:t>
      </w:r>
    </w:p>
    <w:p w:rsidR="00FB0AE7" w:rsidRDefault="00F82927">
      <w:pPr>
        <w:numPr>
          <w:ilvl w:val="0"/>
          <w:numId w:val="2"/>
        </w:numPr>
        <w:ind w:right="0" w:hanging="360"/>
      </w:pPr>
      <w:r>
        <w:t xml:space="preserve">Обвезнице – дужнички вриједносни папири. </w:t>
      </w:r>
    </w:p>
    <w:p w:rsidR="00FB0AE7" w:rsidRDefault="00F82927">
      <w:pPr>
        <w:numPr>
          <w:ilvl w:val="0"/>
          <w:numId w:val="2"/>
        </w:numPr>
        <w:ind w:right="0" w:hanging="360"/>
      </w:pPr>
      <w:r>
        <w:t xml:space="preserve">Продаја/уступање домаћег потраживања нерезиденту – у случају када резидент своје потраживање према другом резиденту у цијелости или дјелимично прода или уступи нерезиденту, а о истом не обавијести дужника резидента (или неким другим правним послом с нерезидентом доведе дужника резидента у положај који по економској намјени представља кредитно задужење према иностранству). </w:t>
      </w:r>
    </w:p>
    <w:p w:rsidR="00FB0AE7" w:rsidRDefault="00F82927">
      <w:pPr>
        <w:numPr>
          <w:ilvl w:val="0"/>
          <w:numId w:val="2"/>
        </w:numPr>
        <w:ind w:right="0" w:hanging="360"/>
      </w:pPr>
      <w:r>
        <w:t xml:space="preserve">Преузимање потраживања према нерезиденту од других нерезидената – у случају када резидент од нерезидента купи потраживање које тај нерезидент има према неком другом нерезиденту или истом наведено потраживање буде уступљено (или када неким другим правним послом са нерезидентом стекне потраживање које по својој економској намјени представља кредитно потраживање према иностранству). </w:t>
      </w:r>
    </w:p>
    <w:p w:rsidR="00FB0AE7" w:rsidRDefault="00F82927">
      <w:pPr>
        <w:spacing w:after="0" w:line="259" w:lineRule="auto"/>
        <w:ind w:left="0" w:right="0" w:firstLine="0"/>
        <w:jc w:val="left"/>
      </w:pPr>
      <w:r>
        <w:t xml:space="preserve"> </w:t>
      </w:r>
    </w:p>
    <w:p w:rsidR="00FB0AE7" w:rsidRDefault="00F82927">
      <w:pPr>
        <w:ind w:left="-5" w:right="0"/>
      </w:pPr>
      <w:r>
        <w:t xml:space="preserve">Поље “Врста кредитног посла” попуњава се означавањем једне од понуђених опција, и у складу са Правилником о начину, обрасцима и роковима извјештавања о кредитним пословима са иностранством. </w:t>
      </w:r>
    </w:p>
    <w:p w:rsidR="00FB0AE7" w:rsidRDefault="00F82927">
      <w:pPr>
        <w:ind w:left="-5" w:right="0"/>
      </w:pPr>
      <w:r>
        <w:t xml:space="preserve">Под краткорочном банкарском кредитном линијом подразумијева се код посла кредитног задужења дозвољено прекорачење на рачуну домаће банке код иностране банке према уговору, односно код посла кредитног одобрења дозвољено прекорачење на рачуну иностране банке отвореном код домаће банке према уговору.  </w:t>
      </w:r>
    </w:p>
    <w:p w:rsidR="00FB0AE7" w:rsidRDefault="00F82927">
      <w:pPr>
        <w:ind w:left="-5" w:right="0"/>
      </w:pPr>
      <w:r>
        <w:t xml:space="preserve">У поље “Трајање кредита” уписује се број година, мјесеци, односно дана од првог коришћења до задње отплате главнице у облику “ггг.мм.дд”. Нпр. уколико је кредит одобрен на 18 мјесеци, навести “001-06-00”. </w:t>
      </w:r>
    </w:p>
    <w:p w:rsidR="00FB0AE7" w:rsidRDefault="00F82927">
      <w:pPr>
        <w:ind w:left="-5" w:right="0"/>
      </w:pPr>
      <w:r>
        <w:t xml:space="preserve">Поље “Крајњи корисник кредита” попуњава се уписивањем назива и матичног броја крајњег корисника кредита, код посла кредитног задужења. Назив крајњег корисника различит је од назива дужника, само уколико домаћа особа (обично </w:t>
      </w:r>
      <w:r>
        <w:lastRenderedPageBreak/>
        <w:t xml:space="preserve">банка) закључи кредит у своје име, а за рачун крајњег корисника. Уколико постоји више крајњих корисника, поље се не попуњава. </w:t>
      </w:r>
    </w:p>
    <w:p w:rsidR="00FB0AE7" w:rsidRDefault="00F82927">
      <w:pPr>
        <w:ind w:left="-5" w:right="0"/>
      </w:pPr>
      <w:r>
        <w:t xml:space="preserve">Поља која се односе на осигурање отплате, односно наплате кредита попуњавају се означавањем једне од понуђених опција инструмента обезбјеђења отплате (код кредитног задужења), односно наплате (код кредитног  одобрења). </w:t>
      </w:r>
    </w:p>
    <w:p w:rsidR="00FB0AE7" w:rsidRDefault="00F82927">
      <w:pPr>
        <w:ind w:left="-5" w:right="0"/>
      </w:pPr>
      <w:r>
        <w:t xml:space="preserve">Поља у наставку попуњавају се у зависности да ли се пријављује посао кредитног задужења или посао кредитног одобрења. Код посла кредитног задужења попуњава се поље на лијевој страни и означава сектор (нпр. уколико је инструмент обезбјеђења “2. Гаранција”, сектор гаранта може имати вриједност: “1.Федерација БиХ” (само у случајевима предвиђеним законом) или “7. Банке”. </w:t>
      </w:r>
    </w:p>
    <w:p w:rsidR="00FB0AE7" w:rsidRDefault="00F82927">
      <w:pPr>
        <w:ind w:left="-5" w:right="0"/>
      </w:pPr>
      <w:r>
        <w:t xml:space="preserve">У пољу: “Динамика отплате / наплате главнице” означава се број “1” – ако сваки ануитет у себи садржи једнак дио главнице који се отплаћује), број “2” – ако се отплата базира на једнаким ануитетима, а број “3”– ако је отплата главнице једнократна. У свим осталим случајевима означава се број “4”. </w:t>
      </w:r>
    </w:p>
    <w:p w:rsidR="00FB0AE7" w:rsidRDefault="00F82927">
      <w:pPr>
        <w:ind w:left="-5" w:right="0"/>
      </w:pPr>
      <w:r>
        <w:t xml:space="preserve">Уколико је у пољу “Отплата се базира на” изабрано “сваком коришћењу“, поља “Грејс период”, “Број отплата главнице у години” и “Укупан број отплате главнице” попуњавају се само када су њихове вриједности исте за свако коришћење. Иначе се ова поља не попуњавају (у том случају у пољу “Динамика отплате / наплате главнице” треба одабрати : “4 - остало”). </w:t>
      </w:r>
    </w:p>
    <w:p w:rsidR="00FB0AE7" w:rsidRDefault="00F82927">
      <w:pPr>
        <w:ind w:left="-5" w:right="0"/>
      </w:pPr>
      <w:r>
        <w:t xml:space="preserve">Код попуњавања поља “Плаћање камата”, уколико подносилац пријаве није у могућности утврдити удио камате у отплати кредита (нпр. код лизинг аранжмана), у овом пољу треба одабрати опцију “камата укључена у главницу” и у том случају, код попуњавања плана отплате у обрасцу И/КП, све планиране отплате исказују се као отплате главнице. </w:t>
      </w:r>
    </w:p>
    <w:p w:rsidR="00FB0AE7" w:rsidRDefault="00F82927">
      <w:pPr>
        <w:spacing w:after="0" w:line="259" w:lineRule="auto"/>
        <w:ind w:left="0" w:right="0" w:firstLine="0"/>
        <w:jc w:val="left"/>
      </w:pPr>
      <w:r>
        <w:t xml:space="preserve"> </w:t>
      </w:r>
    </w:p>
    <w:sectPr w:rsidR="00FB0AE7">
      <w:pgSz w:w="12240" w:h="15840"/>
      <w:pgMar w:top="1487" w:right="1698" w:bottom="170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947C7"/>
    <w:multiLevelType w:val="hybridMultilevel"/>
    <w:tmpl w:val="C70494B0"/>
    <w:lvl w:ilvl="0" w:tplc="9C8E9D4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B211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FC02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8CCC7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E6A4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E486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DE1F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67E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9E05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657B5C"/>
    <w:multiLevelType w:val="hybridMultilevel"/>
    <w:tmpl w:val="8FA8A048"/>
    <w:lvl w:ilvl="0" w:tplc="7AC453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7E930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446A6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14C6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304F7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C6A16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092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E8087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F0728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E7"/>
    <w:rsid w:val="004B1333"/>
    <w:rsid w:val="00F82927"/>
    <w:rsid w:val="00FB0AE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3F8CF-342B-458A-B487-F82AC07A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Uputstvo za popunjavanje obrasca “Prijava kreditnog posla” (Obrazac P-KP)</vt:lpstr>
    </vt:vector>
  </TitlesOfParts>
  <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popunjavanje obrasca “Prijava kreditnog posla” (Obrazac P-KP)</dc:title>
  <dc:subject/>
  <dc:creator>mbradara</dc:creator>
  <cp:keywords/>
  <cp:lastModifiedBy>amela hadziahmetovic</cp:lastModifiedBy>
  <cp:revision>3</cp:revision>
  <dcterms:created xsi:type="dcterms:W3CDTF">2021-04-23T08:23:00Z</dcterms:created>
  <dcterms:modified xsi:type="dcterms:W3CDTF">2021-04-23T08:32:00Z</dcterms:modified>
</cp:coreProperties>
</file>